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D741320">
      <w:pPr>
        <w:widowControl w:val="0"/>
        <w:spacing w:line="276" w:lineRule="auto"/>
        <w:rPr>
          <w:rFonts w:ascii="Arial" w:hAnsi="Arial" w:eastAsia="Arial" w:cs="Arial"/>
          <w:color w:val="000000"/>
          <w:sz w:val="22"/>
          <w:szCs w:val="22"/>
        </w:rPr>
      </w:pPr>
    </w:p>
    <w:tbl>
      <w:tblPr>
        <w:tblStyle w:val="12"/>
        <w:tblW w:w="10313" w:type="dxa"/>
        <w:tblInd w:w="0" w:type="dxa"/>
        <w:tblLayout w:type="fixed"/>
        <w:tblCellMar>
          <w:top w:w="0" w:type="dxa"/>
          <w:left w:w="108" w:type="dxa"/>
          <w:bottom w:w="0" w:type="dxa"/>
          <w:right w:w="108" w:type="dxa"/>
        </w:tblCellMar>
      </w:tblPr>
      <w:tblGrid>
        <w:gridCol w:w="10077"/>
        <w:gridCol w:w="236"/>
      </w:tblGrid>
      <w:tr w14:paraId="5BA08AC3">
        <w:tblPrEx>
          <w:tblCellMar>
            <w:top w:w="0" w:type="dxa"/>
            <w:left w:w="108" w:type="dxa"/>
            <w:bottom w:w="0" w:type="dxa"/>
            <w:right w:w="108" w:type="dxa"/>
          </w:tblCellMar>
        </w:tblPrEx>
        <w:tc>
          <w:tcPr>
            <w:tcW w:w="10312" w:type="dxa"/>
            <w:gridSpan w:val="2"/>
            <w:tcBorders>
              <w:top w:val="single" w:color="000000" w:sz="4" w:space="0"/>
              <w:left w:val="single" w:color="000000" w:sz="4" w:space="0"/>
              <w:bottom w:val="single" w:color="000000" w:sz="4" w:space="0"/>
              <w:right w:val="single" w:color="000000" w:sz="4" w:space="0"/>
            </w:tcBorders>
            <w:shd w:val="clear" w:color="auto" w:fill="auto"/>
          </w:tcPr>
          <w:p w14:paraId="390E5A56">
            <w:pPr>
              <w:widowControl w:val="0"/>
              <w:rPr>
                <w:rFonts w:ascii="Arial" w:hAnsi="Arial" w:eastAsia="Arial" w:cs="Arial"/>
                <w:sz w:val="24"/>
                <w:szCs w:val="24"/>
              </w:rPr>
            </w:pPr>
          </w:p>
          <w:tbl>
            <w:tblPr>
              <w:tblStyle w:val="12"/>
              <w:tblW w:w="10056" w:type="dxa"/>
              <w:tblInd w:w="0" w:type="dxa"/>
              <w:tblLayout w:type="fixed"/>
              <w:tblCellMar>
                <w:top w:w="0" w:type="dxa"/>
                <w:left w:w="108" w:type="dxa"/>
                <w:bottom w:w="0" w:type="dxa"/>
                <w:right w:w="108" w:type="dxa"/>
              </w:tblCellMar>
            </w:tblPr>
            <w:tblGrid>
              <w:gridCol w:w="10056"/>
            </w:tblGrid>
            <w:tr w14:paraId="0CDA5A47">
              <w:tblPrEx>
                <w:tblCellMar>
                  <w:top w:w="0" w:type="dxa"/>
                  <w:left w:w="108" w:type="dxa"/>
                  <w:bottom w:w="0" w:type="dxa"/>
                  <w:right w:w="108" w:type="dxa"/>
                </w:tblCellMar>
              </w:tblPrEx>
              <w:tc>
                <w:tcPr>
                  <w:tcW w:w="10056" w:type="dxa"/>
                  <w:tcBorders>
                    <w:top w:val="single" w:color="000000" w:sz="4" w:space="0"/>
                    <w:left w:val="single" w:color="000000" w:sz="4" w:space="0"/>
                    <w:bottom w:val="single" w:color="000000" w:sz="4" w:space="0"/>
                    <w:right w:val="single" w:color="000000" w:sz="4" w:space="0"/>
                  </w:tcBorders>
                  <w:shd w:val="clear" w:color="auto" w:fill="auto"/>
                </w:tcPr>
                <w:p w14:paraId="76AC796B">
                  <w:pPr>
                    <w:widowControl w:val="0"/>
                    <w:jc w:val="center"/>
                    <w:rPr>
                      <w:rFonts w:ascii="Arial" w:hAnsi="Arial" w:eastAsia="Arial" w:cs="Arial"/>
                      <w:b/>
                      <w:sz w:val="24"/>
                      <w:szCs w:val="24"/>
                    </w:rPr>
                  </w:pPr>
                  <w:r>
                    <w:rPr>
                      <w:rFonts w:ascii="Arial" w:hAnsi="Arial" w:eastAsia="Arial" w:cs="Arial"/>
                      <w:b/>
                      <w:sz w:val="24"/>
                      <w:szCs w:val="24"/>
                    </w:rPr>
                    <w:t>PREGÃO ELETRÔNICO N.º 30/2025</w:t>
                  </w:r>
                </w:p>
                <w:p w14:paraId="51BAF874">
                  <w:pPr>
                    <w:widowControl w:val="0"/>
                    <w:jc w:val="center"/>
                    <w:rPr>
                      <w:rFonts w:ascii="Arial" w:hAnsi="Arial" w:eastAsia="Arial" w:cs="Arial"/>
                      <w:sz w:val="24"/>
                      <w:szCs w:val="24"/>
                    </w:rPr>
                  </w:pPr>
                  <w:r>
                    <w:rPr>
                      <w:rFonts w:ascii="Arial" w:hAnsi="Arial" w:eastAsia="Arial" w:cs="Arial"/>
                      <w:b/>
                      <w:sz w:val="24"/>
                      <w:szCs w:val="24"/>
                    </w:rPr>
                    <w:t xml:space="preserve">Processo n.º </w:t>
                  </w:r>
                  <w:r>
                    <w:rPr>
                      <w:rFonts w:hint="default" w:ascii="Arial" w:hAnsi="Arial" w:eastAsia="Arial" w:cs="Arial"/>
                      <w:b/>
                      <w:sz w:val="24"/>
                      <w:szCs w:val="24"/>
                      <w:lang w:val="pt-BR"/>
                    </w:rPr>
                    <w:t>273</w:t>
                  </w:r>
                  <w:r>
                    <w:rPr>
                      <w:rFonts w:ascii="Arial" w:hAnsi="Arial" w:eastAsia="Arial" w:cs="Arial"/>
                      <w:b/>
                      <w:sz w:val="24"/>
                      <w:szCs w:val="24"/>
                    </w:rPr>
                    <w:t>/2025</w:t>
                  </w:r>
                </w:p>
              </w:tc>
            </w:tr>
          </w:tbl>
          <w:p w14:paraId="2FC60AFE">
            <w:pPr>
              <w:widowControl w:val="0"/>
              <w:jc w:val="both"/>
              <w:rPr>
                <w:rFonts w:ascii="Arial" w:hAnsi="Arial" w:eastAsia="Arial" w:cs="Arial"/>
                <w:sz w:val="24"/>
                <w:szCs w:val="24"/>
              </w:rPr>
            </w:pPr>
          </w:p>
        </w:tc>
      </w:tr>
      <w:tr w14:paraId="14CD3B66">
        <w:tblPrEx>
          <w:tblCellMar>
            <w:top w:w="0" w:type="dxa"/>
            <w:left w:w="108" w:type="dxa"/>
            <w:bottom w:w="0" w:type="dxa"/>
            <w:right w:w="108" w:type="dxa"/>
          </w:tblCellMar>
        </w:tblPrEx>
        <w:tc>
          <w:tcPr>
            <w:tcW w:w="10279" w:type="dxa"/>
            <w:tcBorders>
              <w:top w:val="single" w:color="000000" w:sz="4" w:space="0"/>
              <w:left w:val="single" w:color="000000" w:sz="4" w:space="0"/>
              <w:bottom w:val="single" w:color="000000" w:sz="4" w:space="0"/>
              <w:right w:val="single" w:color="000000" w:sz="4" w:space="0"/>
            </w:tcBorders>
            <w:shd w:val="clear" w:color="auto" w:fill="auto"/>
          </w:tcPr>
          <w:p w14:paraId="38F84889">
            <w:pPr>
              <w:widowControl w:val="0"/>
              <w:jc w:val="both"/>
              <w:rPr>
                <w:rFonts w:ascii="Arial" w:hAnsi="Arial" w:eastAsia="Arial" w:cs="Arial"/>
                <w:sz w:val="24"/>
                <w:szCs w:val="24"/>
              </w:rPr>
            </w:pPr>
          </w:p>
          <w:tbl>
            <w:tblPr>
              <w:tblStyle w:val="12"/>
              <w:tblW w:w="10055" w:type="dxa"/>
              <w:tblInd w:w="0" w:type="dxa"/>
              <w:tblLayout w:type="fixed"/>
              <w:tblCellMar>
                <w:top w:w="0" w:type="dxa"/>
                <w:left w:w="108" w:type="dxa"/>
                <w:bottom w:w="0" w:type="dxa"/>
                <w:right w:w="108" w:type="dxa"/>
              </w:tblCellMar>
            </w:tblPr>
            <w:tblGrid>
              <w:gridCol w:w="10055"/>
            </w:tblGrid>
            <w:tr w14:paraId="1968438A">
              <w:tblPrEx>
                <w:tblCellMar>
                  <w:top w:w="0" w:type="dxa"/>
                  <w:left w:w="108" w:type="dxa"/>
                  <w:bottom w:w="0" w:type="dxa"/>
                  <w:right w:w="108" w:type="dxa"/>
                </w:tblCellMar>
              </w:tblPrEx>
              <w:tc>
                <w:tcPr>
                  <w:tcW w:w="10055" w:type="dxa"/>
                  <w:tcBorders>
                    <w:top w:val="single" w:color="000000" w:sz="4" w:space="0"/>
                    <w:left w:val="single" w:color="000000" w:sz="4" w:space="0"/>
                    <w:bottom w:val="single" w:color="000000" w:sz="4" w:space="0"/>
                    <w:right w:val="single" w:color="000000" w:sz="4" w:space="0"/>
                  </w:tcBorders>
                  <w:shd w:val="clear" w:color="auto" w:fill="auto"/>
                </w:tcPr>
                <w:p w14:paraId="2803869D">
                  <w:pPr>
                    <w:widowControl w:val="0"/>
                    <w:jc w:val="both"/>
                    <w:rPr>
                      <w:rFonts w:ascii="Arial" w:hAnsi="Arial" w:eastAsia="Arial" w:cs="Arial"/>
                      <w:sz w:val="22"/>
                      <w:szCs w:val="22"/>
                    </w:rPr>
                  </w:pPr>
                </w:p>
                <w:p w14:paraId="2A4FFC85">
                  <w:pPr>
                    <w:widowControl w:val="0"/>
                    <w:jc w:val="both"/>
                    <w:rPr>
                      <w:rFonts w:ascii="Arial" w:hAnsi="Arial" w:eastAsia="Arial" w:cs="Arial"/>
                      <w:sz w:val="18"/>
                      <w:szCs w:val="18"/>
                    </w:rPr>
                  </w:pPr>
                  <w:r>
                    <w:rPr>
                      <w:rFonts w:ascii="Arial" w:hAnsi="Arial" w:eastAsia="Arial" w:cs="Arial"/>
                      <w:color w:val="000000"/>
                      <w:sz w:val="18"/>
                      <w:szCs w:val="18"/>
                    </w:rPr>
                    <w:t xml:space="preserve">O Presente </w:t>
                  </w:r>
                  <w:r>
                    <w:rPr>
                      <w:rFonts w:ascii="Arial" w:hAnsi="Arial" w:eastAsia="Arial" w:cs="Arial"/>
                      <w:b/>
                      <w:color w:val="000000"/>
                      <w:sz w:val="18"/>
                      <w:szCs w:val="18"/>
                    </w:rPr>
                    <w:t>Pregão Eletrônico</w:t>
                  </w:r>
                  <w:r>
                    <w:rPr>
                      <w:rFonts w:ascii="Arial" w:hAnsi="Arial" w:eastAsia="Arial" w:cs="Arial"/>
                      <w:color w:val="000000"/>
                      <w:sz w:val="18"/>
                      <w:szCs w:val="18"/>
                    </w:rPr>
                    <w:t xml:space="preserve"> tem por objeto </w:t>
                  </w:r>
                  <w:r>
                    <w:rPr>
                      <w:rFonts w:ascii="Arial" w:hAnsi="Arial" w:eastAsia="Arial" w:cs="Arial"/>
                      <w:b/>
                      <w:i/>
                      <w:sz w:val="18"/>
                      <w:szCs w:val="18"/>
                    </w:rPr>
                    <w:t>REGISTRO DE PREÇO PARA FUTURA E EVENTUAL Contratação de empresa especializada na prestação de serviços de nutrição e fornecimento de alimentação escolar, abrangendo o fornecimento de gêneros alimentícios, preparo, cocção, transporte, armazenamento, distribuição das refeições, fornecimento de gás GLP, e todos os demais insumos, bem como a higienização e o acompanhamento nutricional, destinados ao atendimento dos alunos regularmente matriculados na rede pública municipal de ensino de Rondonópolis/MT., por meio de licitações públicas para atender as necessidades da Secretaria Municipal de Educação, Cultura, Esporte e Lazer de Rondonópolis-MT, conforme especificações e quantitativos estabelecidos no Edital e seus anexos.</w:t>
                  </w:r>
                </w:p>
                <w:p w14:paraId="599738BB">
                  <w:pPr>
                    <w:widowControl w:val="0"/>
                    <w:jc w:val="both"/>
                    <w:rPr>
                      <w:rFonts w:ascii="Arial" w:hAnsi="Arial" w:eastAsia="Arial" w:cs="Arial"/>
                      <w:sz w:val="22"/>
                      <w:szCs w:val="22"/>
                    </w:rPr>
                  </w:pPr>
                </w:p>
              </w:tc>
            </w:tr>
          </w:tbl>
          <w:p w14:paraId="4FF3C44C">
            <w:pPr>
              <w:widowControl w:val="0"/>
              <w:jc w:val="both"/>
              <w:rPr>
                <w:rFonts w:ascii="Arial" w:hAnsi="Arial" w:eastAsia="Arial" w:cs="Arial"/>
                <w:sz w:val="24"/>
                <w:szCs w:val="24"/>
              </w:rPr>
            </w:pPr>
          </w:p>
          <w:tbl>
            <w:tblPr>
              <w:tblStyle w:val="12"/>
              <w:tblW w:w="10055" w:type="dxa"/>
              <w:tblInd w:w="0" w:type="dxa"/>
              <w:tblLayout w:type="fixed"/>
              <w:tblCellMar>
                <w:top w:w="0" w:type="dxa"/>
                <w:left w:w="108" w:type="dxa"/>
                <w:bottom w:w="0" w:type="dxa"/>
                <w:right w:w="108" w:type="dxa"/>
              </w:tblCellMar>
            </w:tblPr>
            <w:tblGrid>
              <w:gridCol w:w="10055"/>
            </w:tblGrid>
            <w:tr w14:paraId="011807A0">
              <w:tblPrEx>
                <w:tblCellMar>
                  <w:top w:w="0" w:type="dxa"/>
                  <w:left w:w="108" w:type="dxa"/>
                  <w:bottom w:w="0" w:type="dxa"/>
                  <w:right w:w="108" w:type="dxa"/>
                </w:tblCellMar>
              </w:tblPrEx>
              <w:tc>
                <w:tcPr>
                  <w:tcW w:w="10055" w:type="dxa"/>
                  <w:tcBorders>
                    <w:top w:val="single" w:color="000000" w:sz="4" w:space="0"/>
                    <w:left w:val="single" w:color="000000" w:sz="4" w:space="0"/>
                    <w:bottom w:val="single" w:color="000000" w:sz="4" w:space="0"/>
                    <w:right w:val="single" w:color="000000" w:sz="4" w:space="0"/>
                  </w:tcBorders>
                  <w:shd w:val="clear" w:color="auto" w:fill="auto"/>
                </w:tcPr>
                <w:p w14:paraId="55BE762B">
                  <w:pPr>
                    <w:widowControl w:val="0"/>
                    <w:jc w:val="center"/>
                    <w:rPr>
                      <w:rFonts w:ascii="Arial" w:hAnsi="Arial" w:eastAsia="Arial" w:cs="Arial"/>
                      <w:sz w:val="24"/>
                      <w:szCs w:val="24"/>
                    </w:rPr>
                  </w:pPr>
                </w:p>
                <w:p w14:paraId="06C8324E">
                  <w:pPr>
                    <w:widowControl w:val="0"/>
                    <w:jc w:val="center"/>
                    <w:rPr>
                      <w:rFonts w:ascii="Arial" w:hAnsi="Arial" w:eastAsia="Arial" w:cs="Arial"/>
                      <w:sz w:val="24"/>
                      <w:szCs w:val="24"/>
                    </w:rPr>
                  </w:pPr>
                  <w:r>
                    <w:rPr>
                      <w:rFonts w:ascii="Arial" w:hAnsi="Arial" w:eastAsia="Arial" w:cs="Arial"/>
                      <w:sz w:val="24"/>
                      <w:szCs w:val="24"/>
                    </w:rPr>
                    <w:t>SESSÃO PÚBLICA PARA RECEBIMENTO DAS PROPOSTAS E DOCUMENTOS PARA HABILITAÇÃO</w:t>
                  </w:r>
                </w:p>
                <w:p w14:paraId="493E9647">
                  <w:pPr>
                    <w:widowControl w:val="0"/>
                    <w:jc w:val="center"/>
                    <w:rPr>
                      <w:rFonts w:ascii="Arial" w:hAnsi="Arial" w:eastAsia="Arial" w:cs="Arial"/>
                      <w:sz w:val="24"/>
                      <w:szCs w:val="24"/>
                    </w:rPr>
                  </w:pPr>
                </w:p>
              </w:tc>
            </w:tr>
          </w:tbl>
          <w:p w14:paraId="11E932D6">
            <w:pPr>
              <w:widowControl w:val="0"/>
              <w:jc w:val="both"/>
              <w:rPr>
                <w:rFonts w:ascii="Arial" w:hAnsi="Arial" w:eastAsia="Arial" w:cs="Arial"/>
                <w:sz w:val="24"/>
                <w:szCs w:val="24"/>
              </w:rPr>
            </w:pPr>
          </w:p>
          <w:tbl>
            <w:tblPr>
              <w:tblStyle w:val="12"/>
              <w:tblW w:w="10055" w:type="dxa"/>
              <w:tblInd w:w="0" w:type="dxa"/>
              <w:tblLayout w:type="fixed"/>
              <w:tblCellMar>
                <w:top w:w="0" w:type="dxa"/>
                <w:left w:w="108" w:type="dxa"/>
                <w:bottom w:w="0" w:type="dxa"/>
                <w:right w:w="108" w:type="dxa"/>
              </w:tblCellMar>
            </w:tblPr>
            <w:tblGrid>
              <w:gridCol w:w="10055"/>
            </w:tblGrid>
            <w:tr w14:paraId="0697C14C">
              <w:tblPrEx>
                <w:tblCellMar>
                  <w:top w:w="0" w:type="dxa"/>
                  <w:left w:w="108" w:type="dxa"/>
                  <w:bottom w:w="0" w:type="dxa"/>
                  <w:right w:w="108" w:type="dxa"/>
                </w:tblCellMar>
              </w:tblPrEx>
              <w:tc>
                <w:tcPr>
                  <w:tcW w:w="10055" w:type="dxa"/>
                  <w:tcBorders>
                    <w:top w:val="single" w:color="000000" w:sz="4" w:space="0"/>
                    <w:left w:val="single" w:color="000000" w:sz="4" w:space="0"/>
                    <w:bottom w:val="single" w:color="000000" w:sz="4" w:space="0"/>
                    <w:right w:val="single" w:color="000000" w:sz="4" w:space="0"/>
                  </w:tcBorders>
                  <w:shd w:val="clear" w:color="auto" w:fill="auto"/>
                </w:tcPr>
                <w:p w14:paraId="3A4FE794">
                  <w:pPr>
                    <w:widowControl w:val="0"/>
                    <w:jc w:val="both"/>
                    <w:rPr>
                      <w:rFonts w:ascii="Arial" w:hAnsi="Arial" w:eastAsia="Arial" w:cs="Arial"/>
                      <w:sz w:val="24"/>
                      <w:szCs w:val="24"/>
                    </w:rPr>
                  </w:pPr>
                </w:p>
                <w:p w14:paraId="2673E1B6">
                  <w:pPr>
                    <w:widowControl w:val="0"/>
                    <w:jc w:val="both"/>
                    <w:rPr>
                      <w:rFonts w:ascii="Arial" w:hAnsi="Arial" w:eastAsia="Arial" w:cs="Arial"/>
                      <w:b/>
                      <w:sz w:val="24"/>
                      <w:szCs w:val="24"/>
                    </w:rPr>
                  </w:pPr>
                  <w:r>
                    <w:rPr>
                      <w:rFonts w:ascii="Arial" w:hAnsi="Arial" w:eastAsia="Arial" w:cs="Arial"/>
                      <w:sz w:val="24"/>
                      <w:szCs w:val="24"/>
                    </w:rPr>
                    <w:t xml:space="preserve">Local: </w:t>
                  </w:r>
                  <w:r>
                    <w:fldChar w:fldCharType="begin"/>
                  </w:r>
                  <w:r>
                    <w:instrText xml:space="preserve"> HYPERLINK "http://www.bllcompras.org.br/" \h </w:instrText>
                  </w:r>
                  <w:r>
                    <w:fldChar w:fldCharType="separate"/>
                  </w:r>
                  <w:r>
                    <w:rPr>
                      <w:rFonts w:ascii="Arial" w:hAnsi="Arial" w:eastAsia="Arial" w:cs="Arial"/>
                      <w:b/>
                      <w:color w:val="0000FF"/>
                      <w:sz w:val="24"/>
                      <w:szCs w:val="24"/>
                      <w:u w:val="single"/>
                    </w:rPr>
                    <w:t>bllcompras.com</w:t>
                  </w:r>
                  <w:r>
                    <w:rPr>
                      <w:rFonts w:ascii="Arial" w:hAnsi="Arial" w:eastAsia="Arial" w:cs="Arial"/>
                      <w:b/>
                      <w:color w:val="0000FF"/>
                      <w:sz w:val="24"/>
                      <w:szCs w:val="24"/>
                      <w:u w:val="single"/>
                    </w:rPr>
                    <w:fldChar w:fldCharType="end"/>
                  </w:r>
                </w:p>
                <w:p w14:paraId="46A6C31B">
                  <w:pPr>
                    <w:widowControl w:val="0"/>
                    <w:jc w:val="both"/>
                    <w:rPr>
                      <w:rFonts w:ascii="Arial" w:hAnsi="Arial" w:eastAsia="Arial" w:cs="Arial"/>
                      <w:sz w:val="24"/>
                      <w:szCs w:val="24"/>
                    </w:rPr>
                  </w:pPr>
                </w:p>
              </w:tc>
            </w:tr>
          </w:tbl>
          <w:p w14:paraId="06DF35F6">
            <w:pPr>
              <w:widowControl w:val="0"/>
              <w:jc w:val="both"/>
              <w:rPr>
                <w:rFonts w:ascii="Arial" w:hAnsi="Arial" w:eastAsia="Arial" w:cs="Arial"/>
                <w:sz w:val="24"/>
                <w:szCs w:val="24"/>
              </w:rPr>
            </w:pPr>
          </w:p>
          <w:tbl>
            <w:tblPr>
              <w:tblStyle w:val="12"/>
              <w:tblW w:w="10055" w:type="dxa"/>
              <w:tblInd w:w="0" w:type="dxa"/>
              <w:tblLayout w:type="fixed"/>
              <w:tblCellMar>
                <w:top w:w="0" w:type="dxa"/>
                <w:left w:w="108" w:type="dxa"/>
                <w:bottom w:w="0" w:type="dxa"/>
                <w:right w:w="108" w:type="dxa"/>
              </w:tblCellMar>
            </w:tblPr>
            <w:tblGrid>
              <w:gridCol w:w="10055"/>
            </w:tblGrid>
            <w:tr w14:paraId="4DF7B6E2">
              <w:tblPrEx>
                <w:tblCellMar>
                  <w:top w:w="0" w:type="dxa"/>
                  <w:left w:w="108" w:type="dxa"/>
                  <w:bottom w:w="0" w:type="dxa"/>
                  <w:right w:w="108" w:type="dxa"/>
                </w:tblCellMar>
              </w:tblPrEx>
              <w:tc>
                <w:tcPr>
                  <w:tcW w:w="10055" w:type="dxa"/>
                  <w:tcBorders>
                    <w:top w:val="single" w:color="000000" w:sz="4" w:space="0"/>
                    <w:left w:val="single" w:color="000000" w:sz="4" w:space="0"/>
                    <w:bottom w:val="single" w:color="000000" w:sz="4" w:space="0"/>
                    <w:right w:val="single" w:color="000000" w:sz="4" w:space="0"/>
                  </w:tcBorders>
                  <w:shd w:val="clear" w:color="auto" w:fill="auto"/>
                </w:tcPr>
                <w:p w14:paraId="3C25DE6E">
                  <w:pPr>
                    <w:widowControl w:val="0"/>
                    <w:jc w:val="both"/>
                    <w:rPr>
                      <w:rFonts w:ascii="Arial" w:hAnsi="Arial" w:eastAsia="Arial" w:cs="Arial"/>
                      <w:sz w:val="24"/>
                      <w:szCs w:val="24"/>
                    </w:rPr>
                  </w:pPr>
                </w:p>
                <w:p w14:paraId="13D3076B">
                  <w:pPr>
                    <w:widowControl w:val="0"/>
                    <w:jc w:val="both"/>
                    <w:rPr>
                      <w:rFonts w:ascii="Arial" w:hAnsi="Arial" w:eastAsia="Arial" w:cs="Arial"/>
                      <w:b/>
                      <w:color w:val="000000"/>
                      <w:sz w:val="24"/>
                      <w:szCs w:val="24"/>
                    </w:rPr>
                  </w:pPr>
                  <w:r>
                    <w:rPr>
                      <w:rFonts w:ascii="Arial" w:hAnsi="Arial" w:eastAsia="Arial" w:cs="Arial"/>
                      <w:sz w:val="24"/>
                      <w:szCs w:val="24"/>
                    </w:rPr>
                    <w:t xml:space="preserve">Data da sessão: </w:t>
                  </w:r>
                  <w:r>
                    <w:rPr>
                      <w:rFonts w:hint="default" w:ascii="Arial" w:hAnsi="Arial" w:eastAsia="Arial" w:cs="Arial"/>
                      <w:b/>
                      <w:color w:val="FF0000"/>
                      <w:sz w:val="24"/>
                      <w:szCs w:val="24"/>
                      <w:lang w:val="pt-BR"/>
                    </w:rPr>
                    <w:t>22/08/</w:t>
                  </w:r>
                  <w:r>
                    <w:rPr>
                      <w:rFonts w:ascii="Arial" w:hAnsi="Arial" w:eastAsia="Arial" w:cs="Arial"/>
                      <w:b/>
                      <w:color w:val="FF0000"/>
                      <w:sz w:val="24"/>
                      <w:szCs w:val="24"/>
                    </w:rPr>
                    <w:t>2025</w:t>
                  </w:r>
                </w:p>
                <w:p w14:paraId="21D0451A">
                  <w:pPr>
                    <w:widowControl w:val="0"/>
                    <w:jc w:val="both"/>
                    <w:rPr>
                      <w:rFonts w:ascii="Arial" w:hAnsi="Arial" w:eastAsia="Arial" w:cs="Arial"/>
                      <w:sz w:val="24"/>
                      <w:szCs w:val="24"/>
                    </w:rPr>
                  </w:pPr>
                </w:p>
              </w:tc>
            </w:tr>
          </w:tbl>
          <w:p w14:paraId="332FDE09">
            <w:pPr>
              <w:widowControl w:val="0"/>
              <w:jc w:val="both"/>
              <w:rPr>
                <w:rFonts w:ascii="Arial" w:hAnsi="Arial" w:eastAsia="Arial" w:cs="Arial"/>
                <w:sz w:val="24"/>
                <w:szCs w:val="24"/>
              </w:rPr>
            </w:pPr>
          </w:p>
          <w:p w14:paraId="4E65C241">
            <w:pPr>
              <w:widowControl w:val="0"/>
              <w:jc w:val="both"/>
              <w:rPr>
                <w:rFonts w:ascii="Arial" w:hAnsi="Arial" w:eastAsia="Arial" w:cs="Arial"/>
                <w:sz w:val="24"/>
                <w:szCs w:val="24"/>
              </w:rPr>
            </w:pPr>
          </w:p>
          <w:tbl>
            <w:tblPr>
              <w:tblStyle w:val="12"/>
              <w:tblW w:w="10055" w:type="dxa"/>
              <w:tblInd w:w="0" w:type="dxa"/>
              <w:tblLayout w:type="fixed"/>
              <w:tblCellMar>
                <w:top w:w="0" w:type="dxa"/>
                <w:left w:w="108" w:type="dxa"/>
                <w:bottom w:w="0" w:type="dxa"/>
                <w:right w:w="108" w:type="dxa"/>
              </w:tblCellMar>
            </w:tblPr>
            <w:tblGrid>
              <w:gridCol w:w="10055"/>
            </w:tblGrid>
            <w:tr w14:paraId="07B43B04">
              <w:tblPrEx>
                <w:tblCellMar>
                  <w:top w:w="0" w:type="dxa"/>
                  <w:left w:w="108" w:type="dxa"/>
                  <w:bottom w:w="0" w:type="dxa"/>
                  <w:right w:w="108" w:type="dxa"/>
                </w:tblCellMar>
              </w:tblPrEx>
              <w:tc>
                <w:tcPr>
                  <w:tcW w:w="10055" w:type="dxa"/>
                  <w:tcBorders>
                    <w:top w:val="single" w:color="000000" w:sz="4" w:space="0"/>
                    <w:left w:val="single" w:color="000000" w:sz="4" w:space="0"/>
                    <w:bottom w:val="single" w:color="000000" w:sz="4" w:space="0"/>
                    <w:right w:val="single" w:color="000000" w:sz="4" w:space="0"/>
                  </w:tcBorders>
                  <w:shd w:val="clear" w:color="auto" w:fill="auto"/>
                </w:tcPr>
                <w:p w14:paraId="30DA204A">
                  <w:pPr>
                    <w:widowControl w:val="0"/>
                    <w:jc w:val="both"/>
                    <w:rPr>
                      <w:rFonts w:ascii="Arial" w:hAnsi="Arial" w:eastAsia="Arial" w:cs="Arial"/>
                      <w:sz w:val="24"/>
                      <w:szCs w:val="24"/>
                    </w:rPr>
                  </w:pPr>
                </w:p>
                <w:p w14:paraId="3B158735">
                  <w:pPr>
                    <w:widowControl w:val="0"/>
                    <w:tabs>
                      <w:tab w:val="left" w:pos="6435"/>
                    </w:tabs>
                    <w:jc w:val="both"/>
                    <w:rPr>
                      <w:rFonts w:ascii="Arial" w:hAnsi="Arial" w:eastAsia="Arial" w:cs="Arial"/>
                      <w:b/>
                      <w:color w:val="000000"/>
                      <w:sz w:val="24"/>
                      <w:szCs w:val="24"/>
                    </w:rPr>
                  </w:pPr>
                  <w:r>
                    <w:rPr>
                      <w:rFonts w:ascii="Arial" w:hAnsi="Arial" w:eastAsia="Arial" w:cs="Arial"/>
                      <w:sz w:val="24"/>
                      <w:szCs w:val="24"/>
                    </w:rPr>
                    <w:t xml:space="preserve">Horário: </w:t>
                  </w:r>
                  <w:r>
                    <w:rPr>
                      <w:rFonts w:ascii="Arial" w:hAnsi="Arial" w:eastAsia="Arial" w:cs="Arial"/>
                      <w:b/>
                      <w:color w:val="000000"/>
                      <w:sz w:val="24"/>
                      <w:szCs w:val="24"/>
                    </w:rPr>
                    <w:t>09h30min – Horário de Brasília</w:t>
                  </w:r>
                  <w:r>
                    <w:rPr>
                      <w:rFonts w:ascii="Arial" w:hAnsi="Arial" w:eastAsia="Arial" w:cs="Arial"/>
                      <w:b/>
                      <w:color w:val="000000"/>
                      <w:sz w:val="24"/>
                      <w:szCs w:val="24"/>
                    </w:rPr>
                    <w:tab/>
                  </w:r>
                </w:p>
                <w:p w14:paraId="43F0CB4E">
                  <w:pPr>
                    <w:widowControl w:val="0"/>
                    <w:jc w:val="both"/>
                    <w:rPr>
                      <w:rFonts w:ascii="Arial" w:hAnsi="Arial" w:eastAsia="Arial" w:cs="Arial"/>
                      <w:sz w:val="24"/>
                      <w:szCs w:val="24"/>
                    </w:rPr>
                  </w:pPr>
                </w:p>
              </w:tc>
            </w:tr>
          </w:tbl>
          <w:p w14:paraId="2848CD77">
            <w:pPr>
              <w:widowControl w:val="0"/>
              <w:jc w:val="both"/>
              <w:rPr>
                <w:rFonts w:ascii="Arial" w:hAnsi="Arial" w:eastAsia="Arial" w:cs="Arial"/>
                <w:sz w:val="24"/>
                <w:szCs w:val="24"/>
              </w:rPr>
            </w:pPr>
          </w:p>
          <w:p w14:paraId="0BFF0CE0">
            <w:pPr>
              <w:widowControl w:val="0"/>
              <w:jc w:val="both"/>
              <w:rPr>
                <w:rFonts w:ascii="Arial" w:hAnsi="Arial" w:eastAsia="Arial" w:cs="Arial"/>
                <w:sz w:val="24"/>
                <w:szCs w:val="24"/>
              </w:rPr>
            </w:pPr>
          </w:p>
          <w:tbl>
            <w:tblPr>
              <w:tblStyle w:val="12"/>
              <w:tblW w:w="10055" w:type="dxa"/>
              <w:tblInd w:w="0" w:type="dxa"/>
              <w:tblLayout w:type="fixed"/>
              <w:tblCellMar>
                <w:top w:w="0" w:type="dxa"/>
                <w:left w:w="108" w:type="dxa"/>
                <w:bottom w:w="0" w:type="dxa"/>
                <w:right w:w="108" w:type="dxa"/>
              </w:tblCellMar>
            </w:tblPr>
            <w:tblGrid>
              <w:gridCol w:w="10055"/>
            </w:tblGrid>
            <w:tr w14:paraId="4B3A19EF">
              <w:tblPrEx>
                <w:tblCellMar>
                  <w:top w:w="0" w:type="dxa"/>
                  <w:left w:w="108" w:type="dxa"/>
                  <w:bottom w:w="0" w:type="dxa"/>
                  <w:right w:w="108" w:type="dxa"/>
                </w:tblCellMar>
              </w:tblPrEx>
              <w:tc>
                <w:tcPr>
                  <w:tcW w:w="10055" w:type="dxa"/>
                  <w:tcBorders>
                    <w:top w:val="single" w:color="000000" w:sz="4" w:space="0"/>
                    <w:left w:val="single" w:color="000000" w:sz="4" w:space="0"/>
                    <w:bottom w:val="single" w:color="000000" w:sz="4" w:space="0"/>
                    <w:right w:val="single" w:color="000000" w:sz="4" w:space="0"/>
                  </w:tcBorders>
                  <w:shd w:val="clear" w:color="auto" w:fill="auto"/>
                </w:tcPr>
                <w:p w14:paraId="529D9B28">
                  <w:pPr>
                    <w:widowControl w:val="0"/>
                    <w:jc w:val="both"/>
                    <w:rPr>
                      <w:rFonts w:ascii="Arial" w:hAnsi="Arial" w:eastAsia="Arial" w:cs="Arial"/>
                      <w:sz w:val="24"/>
                      <w:szCs w:val="24"/>
                    </w:rPr>
                  </w:pPr>
                </w:p>
                <w:p w14:paraId="035626B3">
                  <w:pPr>
                    <w:widowControl w:val="0"/>
                    <w:jc w:val="center"/>
                    <w:rPr>
                      <w:rFonts w:ascii="Arial" w:hAnsi="Arial" w:eastAsia="Arial" w:cs="Arial"/>
                      <w:b/>
                      <w:sz w:val="24"/>
                      <w:szCs w:val="24"/>
                    </w:rPr>
                  </w:pPr>
                  <w:r>
                    <w:rPr>
                      <w:rFonts w:ascii="Arial" w:hAnsi="Arial" w:eastAsia="Arial" w:cs="Arial"/>
                      <w:b/>
                      <w:sz w:val="24"/>
                      <w:szCs w:val="24"/>
                    </w:rPr>
                    <w:t>CONTATO</w:t>
                  </w:r>
                </w:p>
                <w:p w14:paraId="1B175A5A">
                  <w:pPr>
                    <w:widowControl w:val="0"/>
                    <w:jc w:val="center"/>
                    <w:rPr>
                      <w:rFonts w:ascii="Arial" w:hAnsi="Arial" w:eastAsia="Arial" w:cs="Arial"/>
                      <w:b/>
                      <w:sz w:val="24"/>
                      <w:szCs w:val="24"/>
                    </w:rPr>
                  </w:pPr>
                  <w:r>
                    <w:rPr>
                      <w:rFonts w:ascii="Arial" w:hAnsi="Arial" w:eastAsia="Arial" w:cs="Arial"/>
                      <w:b/>
                      <w:sz w:val="24"/>
                      <w:szCs w:val="24"/>
                    </w:rPr>
                    <w:t>(66) 3411 5734</w:t>
                  </w:r>
                </w:p>
                <w:p w14:paraId="69F1E072">
                  <w:pPr>
                    <w:widowControl w:val="0"/>
                    <w:jc w:val="center"/>
                    <w:rPr>
                      <w:rFonts w:ascii="Arial" w:hAnsi="Arial" w:eastAsia="Arial" w:cs="Arial"/>
                      <w:sz w:val="24"/>
                      <w:szCs w:val="24"/>
                    </w:rPr>
                  </w:pPr>
                  <w:r>
                    <w:fldChar w:fldCharType="begin"/>
                  </w:r>
                  <w:r>
                    <w:instrText xml:space="preserve"> HYPERLINK "mailto:pmrroo@hotmail.com" \h </w:instrText>
                  </w:r>
                  <w:r>
                    <w:fldChar w:fldCharType="separate"/>
                  </w:r>
                  <w:r>
                    <w:rPr>
                      <w:rFonts w:ascii="Arial" w:hAnsi="Arial" w:eastAsia="Arial" w:cs="Arial"/>
                      <w:color w:val="0000FF"/>
                      <w:sz w:val="24"/>
                      <w:szCs w:val="24"/>
                      <w:u w:val="single"/>
                    </w:rPr>
                    <w:t>pmrroo@hotmail.com</w:t>
                  </w:r>
                  <w:r>
                    <w:rPr>
                      <w:rFonts w:ascii="Arial" w:hAnsi="Arial" w:eastAsia="Arial" w:cs="Arial"/>
                      <w:color w:val="0000FF"/>
                      <w:sz w:val="24"/>
                      <w:szCs w:val="24"/>
                      <w:u w:val="single"/>
                    </w:rPr>
                    <w:fldChar w:fldCharType="end"/>
                  </w:r>
                </w:p>
                <w:p w14:paraId="7F3C66A1">
                  <w:pPr>
                    <w:widowControl w:val="0"/>
                    <w:jc w:val="both"/>
                    <w:rPr>
                      <w:rFonts w:ascii="Arial" w:hAnsi="Arial" w:eastAsia="Arial" w:cs="Arial"/>
                      <w:sz w:val="24"/>
                      <w:szCs w:val="24"/>
                    </w:rPr>
                  </w:pPr>
                </w:p>
              </w:tc>
            </w:tr>
          </w:tbl>
          <w:p w14:paraId="0F01D1F3">
            <w:pPr>
              <w:widowControl w:val="0"/>
              <w:jc w:val="both"/>
              <w:rPr>
                <w:rFonts w:ascii="Arial" w:hAnsi="Arial" w:eastAsia="Arial" w:cs="Arial"/>
                <w:sz w:val="24"/>
                <w:szCs w:val="24"/>
              </w:rPr>
            </w:pPr>
          </w:p>
          <w:p w14:paraId="53E00EE0">
            <w:pPr>
              <w:widowControl w:val="0"/>
              <w:jc w:val="both"/>
              <w:rPr>
                <w:rFonts w:ascii="Arial" w:hAnsi="Arial" w:eastAsia="Arial" w:cs="Arial"/>
                <w:sz w:val="24"/>
                <w:szCs w:val="24"/>
              </w:rPr>
            </w:pPr>
          </w:p>
        </w:tc>
        <w:tc>
          <w:tcPr>
            <w:tcW w:w="33" w:type="dxa"/>
          </w:tcPr>
          <w:p w14:paraId="55A778AC">
            <w:pPr>
              <w:widowControl w:val="0"/>
            </w:pPr>
          </w:p>
        </w:tc>
      </w:tr>
    </w:tbl>
    <w:p w14:paraId="206C7486">
      <w:pPr>
        <w:rPr>
          <w:rFonts w:ascii="Arial" w:hAnsi="Arial" w:eastAsia="Arial" w:cs="Arial"/>
        </w:rPr>
      </w:pPr>
    </w:p>
    <w:p w14:paraId="7BBF028E">
      <w:pPr>
        <w:keepNext/>
        <w:keepLines/>
        <w:jc w:val="center"/>
        <w:rPr>
          <w:rFonts w:ascii="Arial" w:hAnsi="Arial" w:eastAsia="Arial" w:cs="Arial"/>
          <w:b/>
          <w:color w:val="000000"/>
          <w:sz w:val="24"/>
          <w:szCs w:val="24"/>
        </w:rPr>
      </w:pPr>
    </w:p>
    <w:p w14:paraId="69D20588">
      <w:pPr>
        <w:keepNext/>
        <w:keepLines/>
        <w:jc w:val="center"/>
        <w:rPr>
          <w:rFonts w:ascii="Arial" w:hAnsi="Arial" w:eastAsia="Arial" w:cs="Arial"/>
          <w:b/>
          <w:color w:val="000000"/>
          <w:sz w:val="24"/>
          <w:szCs w:val="24"/>
        </w:rPr>
      </w:pPr>
    </w:p>
    <w:p w14:paraId="392B2DAA">
      <w:pPr>
        <w:keepNext/>
        <w:keepLines/>
        <w:jc w:val="center"/>
        <w:rPr>
          <w:rFonts w:ascii="Arial" w:hAnsi="Arial" w:eastAsia="Arial" w:cs="Arial"/>
          <w:b/>
          <w:color w:val="000000"/>
          <w:sz w:val="24"/>
          <w:szCs w:val="24"/>
        </w:rPr>
      </w:pPr>
    </w:p>
    <w:p w14:paraId="4883A4E1">
      <w:pPr>
        <w:keepNext/>
        <w:keepLines/>
        <w:jc w:val="center"/>
        <w:rPr>
          <w:rFonts w:ascii="Arial" w:hAnsi="Arial" w:eastAsia="Arial" w:cs="Arial"/>
          <w:b/>
          <w:color w:val="000000"/>
          <w:sz w:val="24"/>
          <w:szCs w:val="24"/>
        </w:rPr>
      </w:pPr>
    </w:p>
    <w:p w14:paraId="7D592892"/>
    <w:p w14:paraId="55A783AF">
      <w:pPr>
        <w:keepNext/>
        <w:keepLines/>
        <w:jc w:val="center"/>
        <w:rPr>
          <w:rFonts w:ascii="Arial" w:hAnsi="Arial" w:eastAsia="Arial" w:cs="Arial"/>
          <w:b/>
          <w:color w:val="000000"/>
          <w:sz w:val="24"/>
          <w:szCs w:val="24"/>
        </w:rPr>
      </w:pPr>
    </w:p>
    <w:p w14:paraId="51885822">
      <w:pPr>
        <w:rPr>
          <w:rFonts w:ascii="Arial" w:hAnsi="Arial" w:eastAsia="Arial" w:cs="Arial"/>
          <w:b/>
          <w:color w:val="000000"/>
          <w:sz w:val="24"/>
          <w:szCs w:val="24"/>
        </w:rPr>
      </w:pPr>
      <w:r>
        <w:rPr>
          <w:rFonts w:ascii="Arial" w:hAnsi="Arial" w:eastAsia="Arial" w:cs="Arial"/>
          <w:b/>
          <w:color w:val="000000"/>
          <w:sz w:val="24"/>
          <w:szCs w:val="24"/>
        </w:rPr>
        <w:br w:type="page"/>
      </w:r>
    </w:p>
    <w:p w14:paraId="1673A89E">
      <w:pPr>
        <w:keepNext/>
        <w:keepLines/>
        <w:jc w:val="center"/>
        <w:rPr>
          <w:rFonts w:ascii="Arial" w:hAnsi="Arial" w:eastAsia="Arial" w:cs="Arial"/>
          <w:b/>
          <w:color w:val="000000"/>
          <w:sz w:val="24"/>
          <w:szCs w:val="24"/>
        </w:rPr>
      </w:pPr>
      <w:r>
        <w:rPr>
          <w:rFonts w:ascii="Arial" w:hAnsi="Arial" w:eastAsia="Arial" w:cs="Arial"/>
          <w:b/>
          <w:color w:val="000000"/>
          <w:sz w:val="24"/>
          <w:szCs w:val="24"/>
        </w:rPr>
        <w:t>SUMÁRIO</w:t>
      </w:r>
    </w:p>
    <w:sdt>
      <w:sdtPr>
        <w:id w:val="-1572738548"/>
        <w:docPartObj>
          <w:docPartGallery w:val="Table of Contents"/>
          <w:docPartUnique/>
        </w:docPartObj>
      </w:sdtPr>
      <w:sdtContent>
        <w:p w14:paraId="6E187948">
          <w:pPr>
            <w:tabs>
              <w:tab w:val="right" w:pos="9771"/>
            </w:tabs>
            <w:jc w:val="center"/>
            <w:rPr>
              <w:rFonts w:ascii="Arial" w:hAnsi="Arial" w:eastAsia="Arial" w:cs="Arial"/>
              <w:color w:val="000000"/>
            </w:rPr>
          </w:pPr>
          <w:r>
            <w:fldChar w:fldCharType="begin"/>
          </w:r>
          <w:r>
            <w:rPr>
              <w:rStyle w:val="148"/>
              <w:rFonts w:ascii="Arial" w:hAnsi="Arial" w:eastAsia="Arial" w:cs="Arial"/>
              <w:color w:val="000000"/>
            </w:rPr>
            <w:instrText xml:space="preserve">TOC \z \o "1-9" \u \t "Título 1,1,Título 2,2,Título 3,3" \h</w:instrText>
          </w:r>
          <w:r>
            <w:rPr>
              <w:rStyle w:val="148"/>
              <w:rFonts w:eastAsia="Arial"/>
            </w:rPr>
            <w:fldChar w:fldCharType="separate"/>
          </w:r>
          <w:r>
            <w:fldChar w:fldCharType="begin"/>
          </w:r>
          <w:r>
            <w:instrText xml:space="preserve"> HYPERLINK \l "_heading=h.vvwba5e6skad" \h </w:instrText>
          </w:r>
          <w:r>
            <w:fldChar w:fldCharType="separate"/>
          </w:r>
          <w:r>
            <w:rPr>
              <w:rStyle w:val="148"/>
              <w:rFonts w:ascii="Arial" w:hAnsi="Arial" w:eastAsia="Arial" w:cs="Arial"/>
              <w:color w:val="000000"/>
            </w:rPr>
            <w:t>1. PREÂMBULO:</w:t>
          </w:r>
          <w:r>
            <w:rPr>
              <w:rStyle w:val="148"/>
              <w:rFonts w:ascii="Arial" w:hAnsi="Arial" w:eastAsia="Arial" w:cs="Arial"/>
              <w:color w:val="000000"/>
            </w:rPr>
            <w:tab/>
          </w:r>
          <w:r>
            <w:rPr>
              <w:rStyle w:val="148"/>
              <w:rFonts w:ascii="Arial" w:hAnsi="Arial" w:eastAsia="Arial" w:cs="Arial"/>
              <w:color w:val="000000"/>
            </w:rPr>
            <w:t>3</w:t>
          </w:r>
          <w:r>
            <w:rPr>
              <w:rStyle w:val="148"/>
              <w:rFonts w:ascii="Arial" w:hAnsi="Arial" w:eastAsia="Arial" w:cs="Arial"/>
              <w:color w:val="000000"/>
            </w:rPr>
            <w:fldChar w:fldCharType="end"/>
          </w:r>
        </w:p>
        <w:p w14:paraId="3BF1AEBA">
          <w:pPr>
            <w:tabs>
              <w:tab w:val="right" w:pos="9771"/>
            </w:tabs>
            <w:jc w:val="center"/>
            <w:rPr>
              <w:rFonts w:ascii="Arial" w:hAnsi="Arial" w:eastAsia="Arial" w:cs="Arial"/>
              <w:color w:val="000000"/>
            </w:rPr>
          </w:pPr>
          <w:r>
            <w:fldChar w:fldCharType="begin"/>
          </w:r>
          <w:r>
            <w:instrText xml:space="preserve"> HYPERLINK \l "_heading=h.ph56bqv1gu93" \h </w:instrText>
          </w:r>
          <w:r>
            <w:fldChar w:fldCharType="separate"/>
          </w:r>
          <w:r>
            <w:rPr>
              <w:rStyle w:val="148"/>
              <w:rFonts w:ascii="Arial" w:hAnsi="Arial" w:eastAsia="Arial" w:cs="Arial"/>
              <w:color w:val="000000"/>
            </w:rPr>
            <w:t>2. DO OBJETO:</w:t>
          </w:r>
          <w:r>
            <w:rPr>
              <w:rStyle w:val="148"/>
              <w:rFonts w:ascii="Arial" w:hAnsi="Arial" w:eastAsia="Arial" w:cs="Arial"/>
              <w:color w:val="000000"/>
            </w:rPr>
            <w:tab/>
          </w:r>
          <w:r>
            <w:rPr>
              <w:rStyle w:val="148"/>
              <w:rFonts w:ascii="Arial" w:hAnsi="Arial" w:eastAsia="Arial" w:cs="Arial"/>
              <w:color w:val="000000"/>
            </w:rPr>
            <w:t>3</w:t>
          </w:r>
          <w:r>
            <w:rPr>
              <w:rStyle w:val="148"/>
              <w:rFonts w:ascii="Arial" w:hAnsi="Arial" w:eastAsia="Arial" w:cs="Arial"/>
              <w:color w:val="000000"/>
            </w:rPr>
            <w:fldChar w:fldCharType="end"/>
          </w:r>
        </w:p>
        <w:p w14:paraId="41C8DAE1">
          <w:pPr>
            <w:tabs>
              <w:tab w:val="right" w:pos="9771"/>
            </w:tabs>
            <w:jc w:val="center"/>
            <w:rPr>
              <w:rFonts w:ascii="Arial" w:hAnsi="Arial" w:eastAsia="Arial" w:cs="Arial"/>
              <w:color w:val="000000"/>
            </w:rPr>
          </w:pPr>
          <w:r>
            <w:fldChar w:fldCharType="begin"/>
          </w:r>
          <w:r>
            <w:instrText xml:space="preserve"> HYPERLINK \l "_heading=h.2npcc1zfl4lo" \h </w:instrText>
          </w:r>
          <w:r>
            <w:fldChar w:fldCharType="separate"/>
          </w:r>
          <w:r>
            <w:rPr>
              <w:rStyle w:val="148"/>
              <w:rFonts w:ascii="Arial" w:hAnsi="Arial" w:eastAsia="Arial" w:cs="Arial"/>
              <w:color w:val="000000"/>
            </w:rPr>
            <w:t>3. DA REFERÊNCIA DE HORÁRIO NO EDITAL:</w:t>
          </w:r>
          <w:r>
            <w:rPr>
              <w:rStyle w:val="148"/>
              <w:rFonts w:ascii="Arial" w:hAnsi="Arial" w:eastAsia="Arial" w:cs="Arial"/>
              <w:color w:val="000000"/>
            </w:rPr>
            <w:tab/>
          </w:r>
          <w:r>
            <w:rPr>
              <w:rStyle w:val="148"/>
              <w:rFonts w:ascii="Arial" w:hAnsi="Arial" w:eastAsia="Arial" w:cs="Arial"/>
              <w:color w:val="000000"/>
            </w:rPr>
            <w:t>3</w:t>
          </w:r>
          <w:r>
            <w:rPr>
              <w:rStyle w:val="148"/>
              <w:rFonts w:ascii="Arial" w:hAnsi="Arial" w:eastAsia="Arial" w:cs="Arial"/>
              <w:color w:val="000000"/>
            </w:rPr>
            <w:fldChar w:fldCharType="end"/>
          </w:r>
        </w:p>
        <w:p w14:paraId="5181C440">
          <w:pPr>
            <w:tabs>
              <w:tab w:val="right" w:pos="9771"/>
            </w:tabs>
            <w:jc w:val="center"/>
            <w:rPr>
              <w:rFonts w:ascii="Arial" w:hAnsi="Arial" w:eastAsia="Arial" w:cs="Arial"/>
              <w:color w:val="000000"/>
            </w:rPr>
          </w:pPr>
          <w:r>
            <w:fldChar w:fldCharType="begin"/>
          </w:r>
          <w:r>
            <w:instrText xml:space="preserve"> HYPERLINK \l "_heading=h.pscvaq7q2jc2" \h </w:instrText>
          </w:r>
          <w:r>
            <w:fldChar w:fldCharType="separate"/>
          </w:r>
          <w:r>
            <w:rPr>
              <w:rStyle w:val="148"/>
              <w:rFonts w:ascii="Arial" w:hAnsi="Arial" w:eastAsia="Arial" w:cs="Arial"/>
              <w:color w:val="000000"/>
            </w:rPr>
            <w:t>4. DAS CONDIÇÕES PARA PARTICIPAÇÃO NO CERTAME:</w:t>
          </w:r>
          <w:r>
            <w:rPr>
              <w:rStyle w:val="148"/>
              <w:rFonts w:ascii="Arial" w:hAnsi="Arial" w:eastAsia="Arial" w:cs="Arial"/>
              <w:color w:val="000000"/>
            </w:rPr>
            <w:tab/>
          </w:r>
          <w:r>
            <w:rPr>
              <w:rStyle w:val="148"/>
              <w:rFonts w:ascii="Arial" w:hAnsi="Arial" w:eastAsia="Arial" w:cs="Arial"/>
              <w:color w:val="000000"/>
            </w:rPr>
            <w:t>3</w:t>
          </w:r>
          <w:r>
            <w:rPr>
              <w:rStyle w:val="148"/>
              <w:rFonts w:ascii="Arial" w:hAnsi="Arial" w:eastAsia="Arial" w:cs="Arial"/>
              <w:color w:val="000000"/>
            </w:rPr>
            <w:fldChar w:fldCharType="end"/>
          </w:r>
        </w:p>
        <w:p w14:paraId="7A52B545">
          <w:pPr>
            <w:tabs>
              <w:tab w:val="right" w:pos="9771"/>
            </w:tabs>
            <w:jc w:val="center"/>
            <w:rPr>
              <w:rFonts w:ascii="Arial" w:hAnsi="Arial" w:eastAsia="Arial" w:cs="Arial"/>
              <w:color w:val="000000"/>
            </w:rPr>
          </w:pPr>
          <w:r>
            <w:fldChar w:fldCharType="begin"/>
          </w:r>
          <w:r>
            <w:instrText xml:space="preserve"> HYPERLINK \l "_heading=h.yoiged1uytkh" \h </w:instrText>
          </w:r>
          <w:r>
            <w:fldChar w:fldCharType="separate"/>
          </w:r>
          <w:r>
            <w:rPr>
              <w:rStyle w:val="148"/>
              <w:rFonts w:ascii="Arial" w:hAnsi="Arial" w:eastAsia="Arial" w:cs="Arial"/>
              <w:color w:val="000000"/>
            </w:rPr>
            <w:t>5. DO CREDENCIAMENTO:</w:t>
          </w:r>
          <w:r>
            <w:rPr>
              <w:rStyle w:val="148"/>
              <w:rFonts w:ascii="Arial" w:hAnsi="Arial" w:eastAsia="Arial" w:cs="Arial"/>
              <w:color w:val="000000"/>
            </w:rPr>
            <w:tab/>
          </w:r>
          <w:r>
            <w:rPr>
              <w:rStyle w:val="148"/>
              <w:rFonts w:ascii="Arial" w:hAnsi="Arial" w:eastAsia="Arial" w:cs="Arial"/>
              <w:color w:val="000000"/>
            </w:rPr>
            <w:t>5</w:t>
          </w:r>
          <w:r>
            <w:rPr>
              <w:rStyle w:val="148"/>
              <w:rFonts w:ascii="Arial" w:hAnsi="Arial" w:eastAsia="Arial" w:cs="Arial"/>
              <w:color w:val="000000"/>
            </w:rPr>
            <w:fldChar w:fldCharType="end"/>
          </w:r>
        </w:p>
        <w:p w14:paraId="52011918">
          <w:pPr>
            <w:tabs>
              <w:tab w:val="right" w:pos="9771"/>
            </w:tabs>
            <w:jc w:val="center"/>
            <w:rPr>
              <w:rFonts w:ascii="Arial" w:hAnsi="Arial" w:eastAsia="Arial" w:cs="Arial"/>
              <w:color w:val="000000"/>
            </w:rPr>
          </w:pPr>
          <w:r>
            <w:fldChar w:fldCharType="begin"/>
          </w:r>
          <w:r>
            <w:instrText xml:space="preserve"> HYPERLINK \l "_heading=h.pxeyw4erdhfw" \h </w:instrText>
          </w:r>
          <w:r>
            <w:fldChar w:fldCharType="separate"/>
          </w:r>
          <w:r>
            <w:rPr>
              <w:rStyle w:val="148"/>
              <w:rFonts w:ascii="Arial" w:hAnsi="Arial" w:eastAsia="Arial" w:cs="Arial"/>
              <w:color w:val="000000"/>
            </w:rPr>
            <w:t>6. DA PARTICIPAÇÃO NA LICITAÇÃO E CADASTRO DA PROPOSTA NO SISTEMA BLL:</w:t>
          </w:r>
          <w:r>
            <w:rPr>
              <w:rStyle w:val="148"/>
              <w:rFonts w:ascii="Arial" w:hAnsi="Arial" w:eastAsia="Arial" w:cs="Arial"/>
              <w:color w:val="000000"/>
            </w:rPr>
            <w:tab/>
          </w:r>
          <w:r>
            <w:rPr>
              <w:rStyle w:val="148"/>
              <w:rFonts w:ascii="Arial" w:hAnsi="Arial" w:eastAsia="Arial" w:cs="Arial"/>
              <w:color w:val="000000"/>
            </w:rPr>
            <w:t>6</w:t>
          </w:r>
          <w:r>
            <w:rPr>
              <w:rStyle w:val="148"/>
              <w:rFonts w:ascii="Arial" w:hAnsi="Arial" w:eastAsia="Arial" w:cs="Arial"/>
              <w:color w:val="000000"/>
            </w:rPr>
            <w:fldChar w:fldCharType="end"/>
          </w:r>
        </w:p>
        <w:p w14:paraId="0F2C7F78">
          <w:pPr>
            <w:tabs>
              <w:tab w:val="right" w:pos="9771"/>
            </w:tabs>
            <w:jc w:val="center"/>
            <w:rPr>
              <w:rFonts w:ascii="Arial" w:hAnsi="Arial" w:eastAsia="Arial" w:cs="Arial"/>
              <w:color w:val="000000"/>
            </w:rPr>
          </w:pPr>
          <w:r>
            <w:fldChar w:fldCharType="begin"/>
          </w:r>
          <w:r>
            <w:instrText xml:space="preserve"> HYPERLINK \l "_heading=h.dmj8zxngohkv" \h </w:instrText>
          </w:r>
          <w:r>
            <w:fldChar w:fldCharType="separate"/>
          </w:r>
          <w:r>
            <w:rPr>
              <w:rStyle w:val="148"/>
              <w:rFonts w:ascii="Arial" w:hAnsi="Arial" w:eastAsia="Arial" w:cs="Arial"/>
              <w:color w:val="000000"/>
            </w:rPr>
            <w:t>7. DA ANALISE INICIAL NA PROPOSTA DE PREÇOS NO MOMENTO DA SESSÃO:</w:t>
          </w:r>
          <w:r>
            <w:rPr>
              <w:rStyle w:val="148"/>
              <w:rFonts w:ascii="Arial" w:hAnsi="Arial" w:eastAsia="Arial" w:cs="Arial"/>
              <w:color w:val="000000"/>
            </w:rPr>
            <w:tab/>
          </w:r>
          <w:r>
            <w:rPr>
              <w:rStyle w:val="148"/>
              <w:rFonts w:ascii="Arial" w:hAnsi="Arial" w:eastAsia="Arial" w:cs="Arial"/>
              <w:color w:val="000000"/>
            </w:rPr>
            <w:t>7</w:t>
          </w:r>
          <w:r>
            <w:rPr>
              <w:rStyle w:val="148"/>
              <w:rFonts w:ascii="Arial" w:hAnsi="Arial" w:eastAsia="Arial" w:cs="Arial"/>
              <w:color w:val="000000"/>
            </w:rPr>
            <w:fldChar w:fldCharType="end"/>
          </w:r>
        </w:p>
        <w:p w14:paraId="3922D897">
          <w:pPr>
            <w:tabs>
              <w:tab w:val="right" w:pos="9771"/>
            </w:tabs>
            <w:jc w:val="center"/>
            <w:rPr>
              <w:rFonts w:ascii="Arial" w:hAnsi="Arial" w:eastAsia="Arial" w:cs="Arial"/>
              <w:color w:val="000000"/>
            </w:rPr>
          </w:pPr>
          <w:r>
            <w:fldChar w:fldCharType="begin"/>
          </w:r>
          <w:r>
            <w:instrText xml:space="preserve"> HYPERLINK \l "_heading=h.t8mjmerthvv" \h </w:instrText>
          </w:r>
          <w:r>
            <w:fldChar w:fldCharType="separate"/>
          </w:r>
          <w:r>
            <w:rPr>
              <w:rStyle w:val="148"/>
              <w:rFonts w:ascii="Arial" w:hAnsi="Arial" w:eastAsia="Arial" w:cs="Arial"/>
              <w:color w:val="000000"/>
            </w:rPr>
            <w:t>8. DA FORMA DE DISPUTA:</w:t>
          </w:r>
          <w:r>
            <w:rPr>
              <w:rStyle w:val="148"/>
              <w:rFonts w:ascii="Arial" w:hAnsi="Arial" w:eastAsia="Arial" w:cs="Arial"/>
              <w:color w:val="000000"/>
            </w:rPr>
            <w:tab/>
          </w:r>
          <w:r>
            <w:rPr>
              <w:rStyle w:val="148"/>
              <w:rFonts w:ascii="Arial" w:hAnsi="Arial" w:eastAsia="Arial" w:cs="Arial"/>
              <w:color w:val="000000"/>
            </w:rPr>
            <w:t>7</w:t>
          </w:r>
          <w:r>
            <w:rPr>
              <w:rStyle w:val="148"/>
              <w:rFonts w:ascii="Arial" w:hAnsi="Arial" w:eastAsia="Arial" w:cs="Arial"/>
              <w:color w:val="000000"/>
            </w:rPr>
            <w:fldChar w:fldCharType="end"/>
          </w:r>
        </w:p>
        <w:p w14:paraId="08DBE2F7">
          <w:pPr>
            <w:tabs>
              <w:tab w:val="right" w:pos="9771"/>
            </w:tabs>
            <w:jc w:val="center"/>
            <w:rPr>
              <w:rFonts w:ascii="Arial" w:hAnsi="Arial" w:eastAsia="Arial" w:cs="Arial"/>
              <w:color w:val="000000"/>
            </w:rPr>
          </w:pPr>
          <w:r>
            <w:fldChar w:fldCharType="begin"/>
          </w:r>
          <w:r>
            <w:instrText xml:space="preserve"> HYPERLINK \l "_heading=h.u172ycft2ekg" \h </w:instrText>
          </w:r>
          <w:r>
            <w:fldChar w:fldCharType="separate"/>
          </w:r>
          <w:r>
            <w:rPr>
              <w:rStyle w:val="148"/>
              <w:rFonts w:ascii="Arial" w:hAnsi="Arial" w:eastAsia="Arial" w:cs="Arial"/>
              <w:color w:val="000000"/>
            </w:rPr>
            <w:t>9. DA FASE DE LANCES:</w:t>
          </w:r>
          <w:r>
            <w:rPr>
              <w:rStyle w:val="148"/>
              <w:rFonts w:ascii="Arial" w:hAnsi="Arial" w:eastAsia="Arial" w:cs="Arial"/>
              <w:color w:val="000000"/>
            </w:rPr>
            <w:tab/>
          </w:r>
          <w:r>
            <w:rPr>
              <w:rStyle w:val="148"/>
              <w:rFonts w:ascii="Arial" w:hAnsi="Arial" w:eastAsia="Arial" w:cs="Arial"/>
              <w:color w:val="000000"/>
            </w:rPr>
            <w:t>8</w:t>
          </w:r>
          <w:r>
            <w:rPr>
              <w:rStyle w:val="148"/>
              <w:rFonts w:ascii="Arial" w:hAnsi="Arial" w:eastAsia="Arial" w:cs="Arial"/>
              <w:color w:val="000000"/>
            </w:rPr>
            <w:fldChar w:fldCharType="end"/>
          </w:r>
        </w:p>
        <w:p w14:paraId="769EC37E">
          <w:pPr>
            <w:tabs>
              <w:tab w:val="right" w:pos="9771"/>
            </w:tabs>
            <w:jc w:val="center"/>
            <w:rPr>
              <w:rFonts w:ascii="Arial" w:hAnsi="Arial" w:eastAsia="Arial" w:cs="Arial"/>
              <w:color w:val="000000"/>
            </w:rPr>
          </w:pPr>
          <w:r>
            <w:fldChar w:fldCharType="begin"/>
          </w:r>
          <w:r>
            <w:instrText xml:space="preserve"> HYPERLINK \l "_heading=h.ivovtazgbm9n" \h </w:instrText>
          </w:r>
          <w:r>
            <w:fldChar w:fldCharType="separate"/>
          </w:r>
          <w:r>
            <w:rPr>
              <w:rStyle w:val="148"/>
              <w:rFonts w:ascii="Arial" w:hAnsi="Arial" w:eastAsia="Arial" w:cs="Arial"/>
              <w:color w:val="000000"/>
            </w:rPr>
            <w:t>10. DO JULGAMENTO DA(S) PROPOSTA(S) DE PREÇOS APÓS A CLASSIFICAÇÃO FINAL:</w:t>
          </w:r>
          <w:r>
            <w:rPr>
              <w:rStyle w:val="148"/>
              <w:rFonts w:ascii="Arial" w:hAnsi="Arial" w:eastAsia="Arial" w:cs="Arial"/>
              <w:color w:val="000000"/>
            </w:rPr>
            <w:tab/>
          </w:r>
          <w:r>
            <w:rPr>
              <w:rStyle w:val="148"/>
              <w:rFonts w:ascii="Arial" w:hAnsi="Arial" w:eastAsia="Arial" w:cs="Arial"/>
              <w:color w:val="000000"/>
            </w:rPr>
            <w:t>9</w:t>
          </w:r>
          <w:r>
            <w:rPr>
              <w:rStyle w:val="148"/>
              <w:rFonts w:ascii="Arial" w:hAnsi="Arial" w:eastAsia="Arial" w:cs="Arial"/>
              <w:color w:val="000000"/>
            </w:rPr>
            <w:fldChar w:fldCharType="end"/>
          </w:r>
        </w:p>
        <w:p w14:paraId="43BEA798">
          <w:pPr>
            <w:tabs>
              <w:tab w:val="right" w:pos="9771"/>
            </w:tabs>
            <w:jc w:val="center"/>
            <w:rPr>
              <w:rFonts w:ascii="Arial" w:hAnsi="Arial" w:eastAsia="Arial" w:cs="Arial"/>
              <w:color w:val="000000"/>
            </w:rPr>
          </w:pPr>
          <w:r>
            <w:fldChar w:fldCharType="begin"/>
          </w:r>
          <w:r>
            <w:instrText xml:space="preserve"> HYPERLINK \l "_heading=h.fjs4sgwp4bwu" \h </w:instrText>
          </w:r>
          <w:r>
            <w:fldChar w:fldCharType="separate"/>
          </w:r>
          <w:r>
            <w:rPr>
              <w:rStyle w:val="148"/>
              <w:rFonts w:ascii="Arial" w:hAnsi="Arial" w:eastAsia="Arial" w:cs="Arial"/>
              <w:color w:val="000000"/>
            </w:rPr>
            <w:t>11. DO ENVIO DAS PROPOSTAS REALINHADAS APÓS CONHECIDA A EMPRESA VENCEDORA:</w:t>
          </w:r>
          <w:r>
            <w:rPr>
              <w:rStyle w:val="148"/>
              <w:rFonts w:ascii="Arial" w:hAnsi="Arial" w:eastAsia="Arial" w:cs="Arial"/>
              <w:color w:val="000000"/>
            </w:rPr>
            <w:tab/>
          </w:r>
          <w:r>
            <w:rPr>
              <w:rStyle w:val="148"/>
              <w:rFonts w:ascii="Arial" w:hAnsi="Arial" w:eastAsia="Arial" w:cs="Arial"/>
              <w:color w:val="000000"/>
            </w:rPr>
            <w:t>9</w:t>
          </w:r>
          <w:r>
            <w:rPr>
              <w:rStyle w:val="148"/>
              <w:rFonts w:ascii="Arial" w:hAnsi="Arial" w:eastAsia="Arial" w:cs="Arial"/>
              <w:color w:val="000000"/>
            </w:rPr>
            <w:fldChar w:fldCharType="end"/>
          </w:r>
        </w:p>
        <w:p w14:paraId="04303E93">
          <w:pPr>
            <w:tabs>
              <w:tab w:val="right" w:pos="9771"/>
            </w:tabs>
            <w:jc w:val="center"/>
            <w:rPr>
              <w:rFonts w:ascii="Arial" w:hAnsi="Arial" w:eastAsia="Arial" w:cs="Arial"/>
              <w:color w:val="000000"/>
            </w:rPr>
          </w:pPr>
          <w:r>
            <w:fldChar w:fldCharType="begin"/>
          </w:r>
          <w:r>
            <w:instrText xml:space="preserve"> HYPERLINK \l "_heading=h.5h59il8scxof" \h </w:instrText>
          </w:r>
          <w:r>
            <w:fldChar w:fldCharType="separate"/>
          </w:r>
          <w:r>
            <w:rPr>
              <w:rStyle w:val="148"/>
              <w:rFonts w:ascii="Arial" w:hAnsi="Arial" w:eastAsia="Arial" w:cs="Arial"/>
              <w:color w:val="000000"/>
            </w:rPr>
            <w:t>12. DA PARTICIPAÇÃO DE MICROEMPRESA E EMPRESA DE PEQUENO PORTE:</w:t>
          </w:r>
          <w:r>
            <w:rPr>
              <w:rStyle w:val="148"/>
              <w:rFonts w:ascii="Arial" w:hAnsi="Arial" w:eastAsia="Arial" w:cs="Arial"/>
              <w:color w:val="000000"/>
            </w:rPr>
            <w:tab/>
          </w:r>
          <w:r>
            <w:rPr>
              <w:rStyle w:val="148"/>
              <w:rFonts w:ascii="Arial" w:hAnsi="Arial" w:eastAsia="Arial" w:cs="Arial"/>
              <w:color w:val="000000"/>
            </w:rPr>
            <w:t>9</w:t>
          </w:r>
          <w:r>
            <w:rPr>
              <w:rStyle w:val="148"/>
              <w:rFonts w:ascii="Arial" w:hAnsi="Arial" w:eastAsia="Arial" w:cs="Arial"/>
              <w:color w:val="000000"/>
            </w:rPr>
            <w:fldChar w:fldCharType="end"/>
          </w:r>
        </w:p>
        <w:p w14:paraId="49DD4466">
          <w:pPr>
            <w:tabs>
              <w:tab w:val="right" w:pos="9771"/>
            </w:tabs>
            <w:jc w:val="center"/>
            <w:rPr>
              <w:rFonts w:ascii="Arial" w:hAnsi="Arial" w:eastAsia="Arial" w:cs="Arial"/>
              <w:color w:val="000000"/>
            </w:rPr>
          </w:pPr>
          <w:r>
            <w:fldChar w:fldCharType="begin"/>
          </w:r>
          <w:r>
            <w:instrText xml:space="preserve"> HYPERLINK \l "_heading=h.6xzn9cg2j98" \h </w:instrText>
          </w:r>
          <w:r>
            <w:fldChar w:fldCharType="separate"/>
          </w:r>
          <w:r>
            <w:rPr>
              <w:rStyle w:val="148"/>
              <w:rFonts w:ascii="Arial" w:hAnsi="Arial" w:eastAsia="Arial" w:cs="Arial"/>
              <w:color w:val="000000"/>
            </w:rPr>
            <w:t>13. DOS DOCUMENTOS EXIGIDOS PARA HABILITAÇÃO:</w:t>
          </w:r>
          <w:r>
            <w:rPr>
              <w:rStyle w:val="148"/>
              <w:rFonts w:ascii="Arial" w:hAnsi="Arial" w:eastAsia="Arial" w:cs="Arial"/>
              <w:color w:val="000000"/>
            </w:rPr>
            <w:tab/>
          </w:r>
          <w:r>
            <w:rPr>
              <w:rStyle w:val="148"/>
              <w:rFonts w:ascii="Arial" w:hAnsi="Arial" w:eastAsia="Arial" w:cs="Arial"/>
              <w:color w:val="000000"/>
            </w:rPr>
            <w:t>10</w:t>
          </w:r>
          <w:r>
            <w:rPr>
              <w:rStyle w:val="148"/>
              <w:rFonts w:ascii="Arial" w:hAnsi="Arial" w:eastAsia="Arial" w:cs="Arial"/>
              <w:color w:val="000000"/>
            </w:rPr>
            <w:fldChar w:fldCharType="end"/>
          </w:r>
        </w:p>
        <w:p w14:paraId="4895E355">
          <w:pPr>
            <w:tabs>
              <w:tab w:val="right" w:pos="9771"/>
            </w:tabs>
            <w:jc w:val="center"/>
            <w:rPr>
              <w:rFonts w:ascii="Arial" w:hAnsi="Arial" w:eastAsia="Arial" w:cs="Arial"/>
              <w:color w:val="000000"/>
            </w:rPr>
          </w:pPr>
          <w:r>
            <w:fldChar w:fldCharType="begin"/>
          </w:r>
          <w:r>
            <w:instrText xml:space="preserve"> HYPERLINK \l "_heading=h.944szp270no9" \h </w:instrText>
          </w:r>
          <w:r>
            <w:fldChar w:fldCharType="separate"/>
          </w:r>
          <w:r>
            <w:rPr>
              <w:rStyle w:val="148"/>
              <w:rFonts w:ascii="Arial" w:hAnsi="Arial" w:eastAsia="Arial" w:cs="Arial"/>
              <w:color w:val="000000"/>
            </w:rPr>
            <w:t>14. DO ENVIO DE DOCUMENTOS COMPLENTARES QUANDO FOR O CASO:</w:t>
          </w:r>
          <w:r>
            <w:rPr>
              <w:rStyle w:val="148"/>
              <w:rFonts w:ascii="Arial" w:hAnsi="Arial" w:eastAsia="Arial" w:cs="Arial"/>
              <w:color w:val="000000"/>
            </w:rPr>
            <w:tab/>
          </w:r>
          <w:r>
            <w:rPr>
              <w:rStyle w:val="148"/>
              <w:rFonts w:ascii="Arial" w:hAnsi="Arial" w:eastAsia="Arial" w:cs="Arial"/>
              <w:color w:val="000000"/>
            </w:rPr>
            <w:t>13</w:t>
          </w:r>
          <w:r>
            <w:rPr>
              <w:rStyle w:val="148"/>
              <w:rFonts w:ascii="Arial" w:hAnsi="Arial" w:eastAsia="Arial" w:cs="Arial"/>
              <w:color w:val="000000"/>
            </w:rPr>
            <w:fldChar w:fldCharType="end"/>
          </w:r>
        </w:p>
        <w:p w14:paraId="393F0B65">
          <w:pPr>
            <w:tabs>
              <w:tab w:val="right" w:pos="9771"/>
            </w:tabs>
            <w:jc w:val="center"/>
            <w:rPr>
              <w:rFonts w:ascii="Arial" w:hAnsi="Arial" w:eastAsia="Arial" w:cs="Arial"/>
              <w:color w:val="000000"/>
            </w:rPr>
          </w:pPr>
          <w:r>
            <w:fldChar w:fldCharType="begin"/>
          </w:r>
          <w:r>
            <w:instrText xml:space="preserve"> HYPERLINK \l "_heading=h.bqhv2hf44v1o" \h </w:instrText>
          </w:r>
          <w:r>
            <w:fldChar w:fldCharType="separate"/>
          </w:r>
          <w:r>
            <w:rPr>
              <w:rStyle w:val="148"/>
              <w:rFonts w:ascii="Arial" w:hAnsi="Arial" w:eastAsia="Arial" w:cs="Arial"/>
              <w:color w:val="000000"/>
            </w:rPr>
            <w:t>15. DA ADJUDICAÇÃO E HOMOLOGAÇÃO:</w:t>
          </w:r>
          <w:r>
            <w:rPr>
              <w:rStyle w:val="148"/>
              <w:rFonts w:ascii="Arial" w:hAnsi="Arial" w:eastAsia="Arial" w:cs="Arial"/>
              <w:color w:val="000000"/>
            </w:rPr>
            <w:tab/>
          </w:r>
          <w:r>
            <w:rPr>
              <w:rStyle w:val="148"/>
              <w:rFonts w:ascii="Arial" w:hAnsi="Arial" w:eastAsia="Arial" w:cs="Arial"/>
              <w:color w:val="000000"/>
            </w:rPr>
            <w:t>13</w:t>
          </w:r>
          <w:r>
            <w:rPr>
              <w:rStyle w:val="148"/>
              <w:rFonts w:ascii="Arial" w:hAnsi="Arial" w:eastAsia="Arial" w:cs="Arial"/>
              <w:color w:val="000000"/>
            </w:rPr>
            <w:fldChar w:fldCharType="end"/>
          </w:r>
        </w:p>
        <w:p w14:paraId="42A50186">
          <w:pPr>
            <w:tabs>
              <w:tab w:val="right" w:pos="9771"/>
            </w:tabs>
            <w:jc w:val="center"/>
            <w:rPr>
              <w:rFonts w:ascii="Arial" w:hAnsi="Arial" w:eastAsia="Arial" w:cs="Arial"/>
              <w:color w:val="000000"/>
            </w:rPr>
          </w:pPr>
          <w:r>
            <w:fldChar w:fldCharType="begin"/>
          </w:r>
          <w:r>
            <w:instrText xml:space="preserve"> HYPERLINK \l "_heading=h.rrjbw7q3ny3" \h </w:instrText>
          </w:r>
          <w:r>
            <w:fldChar w:fldCharType="separate"/>
          </w:r>
          <w:r>
            <w:rPr>
              <w:rStyle w:val="148"/>
              <w:rFonts w:ascii="Arial" w:hAnsi="Arial" w:eastAsia="Arial" w:cs="Arial"/>
              <w:color w:val="000000"/>
            </w:rPr>
            <w:t>16. DA ATA DE REGISTRO DE PREÇOS:</w:t>
          </w:r>
          <w:r>
            <w:rPr>
              <w:rStyle w:val="148"/>
              <w:rFonts w:ascii="Arial" w:hAnsi="Arial" w:eastAsia="Arial" w:cs="Arial"/>
              <w:color w:val="000000"/>
            </w:rPr>
            <w:tab/>
          </w:r>
          <w:r>
            <w:rPr>
              <w:rStyle w:val="148"/>
              <w:rFonts w:ascii="Arial" w:hAnsi="Arial" w:eastAsia="Arial" w:cs="Arial"/>
              <w:color w:val="000000"/>
            </w:rPr>
            <w:t>13</w:t>
          </w:r>
          <w:r>
            <w:rPr>
              <w:rStyle w:val="148"/>
              <w:rFonts w:ascii="Arial" w:hAnsi="Arial" w:eastAsia="Arial" w:cs="Arial"/>
              <w:color w:val="000000"/>
            </w:rPr>
            <w:fldChar w:fldCharType="end"/>
          </w:r>
        </w:p>
        <w:p w14:paraId="4F3857BB">
          <w:pPr>
            <w:tabs>
              <w:tab w:val="right" w:pos="9771"/>
            </w:tabs>
            <w:jc w:val="center"/>
            <w:rPr>
              <w:rFonts w:ascii="Arial" w:hAnsi="Arial" w:eastAsia="Arial" w:cs="Arial"/>
              <w:color w:val="000000"/>
            </w:rPr>
          </w:pPr>
          <w:r>
            <w:fldChar w:fldCharType="begin"/>
          </w:r>
          <w:r>
            <w:instrText xml:space="preserve"> HYPERLINK \l "_heading=h.nj34dvd9v2e2" \h </w:instrText>
          </w:r>
          <w:r>
            <w:fldChar w:fldCharType="separate"/>
          </w:r>
          <w:r>
            <w:rPr>
              <w:rStyle w:val="148"/>
              <w:rFonts w:ascii="Arial" w:hAnsi="Arial" w:eastAsia="Arial" w:cs="Arial"/>
              <w:color w:val="000000"/>
            </w:rPr>
            <w:t>17. DOS RECURSOS SOBRE PROPOSTA, HABILITAÇÃO OU INABILITAÇÃO DE LICITANTES:</w:t>
          </w:r>
          <w:r>
            <w:rPr>
              <w:rStyle w:val="148"/>
              <w:rFonts w:ascii="Arial" w:hAnsi="Arial" w:eastAsia="Arial" w:cs="Arial"/>
              <w:color w:val="000000"/>
            </w:rPr>
            <w:tab/>
          </w:r>
          <w:r>
            <w:rPr>
              <w:rStyle w:val="148"/>
              <w:rFonts w:ascii="Arial" w:hAnsi="Arial" w:eastAsia="Arial" w:cs="Arial"/>
              <w:color w:val="000000"/>
            </w:rPr>
            <w:t>15</w:t>
          </w:r>
          <w:r>
            <w:rPr>
              <w:rStyle w:val="148"/>
              <w:rFonts w:ascii="Arial" w:hAnsi="Arial" w:eastAsia="Arial" w:cs="Arial"/>
              <w:color w:val="000000"/>
            </w:rPr>
            <w:fldChar w:fldCharType="end"/>
          </w:r>
        </w:p>
        <w:p w14:paraId="3F8A89E9">
          <w:pPr>
            <w:tabs>
              <w:tab w:val="right" w:pos="9771"/>
            </w:tabs>
            <w:jc w:val="center"/>
            <w:rPr>
              <w:rFonts w:ascii="Arial" w:hAnsi="Arial" w:eastAsia="Arial" w:cs="Arial"/>
              <w:color w:val="000000"/>
            </w:rPr>
          </w:pPr>
          <w:r>
            <w:fldChar w:fldCharType="begin"/>
          </w:r>
          <w:r>
            <w:instrText xml:space="preserve"> HYPERLINK \l "_heading=h.562fpej4l0dn" \h </w:instrText>
          </w:r>
          <w:r>
            <w:fldChar w:fldCharType="separate"/>
          </w:r>
          <w:r>
            <w:rPr>
              <w:rStyle w:val="148"/>
              <w:rFonts w:ascii="Arial" w:hAnsi="Arial" w:eastAsia="Arial" w:cs="Arial"/>
              <w:color w:val="000000"/>
            </w:rPr>
            <w:t>18. DA FORMA PARA ENTREGA DOS ITENS:</w:t>
          </w:r>
          <w:r>
            <w:rPr>
              <w:rStyle w:val="148"/>
              <w:rFonts w:ascii="Arial" w:hAnsi="Arial" w:eastAsia="Arial" w:cs="Arial"/>
              <w:color w:val="000000"/>
            </w:rPr>
            <w:tab/>
          </w:r>
          <w:r>
            <w:rPr>
              <w:rStyle w:val="148"/>
              <w:rFonts w:ascii="Arial" w:hAnsi="Arial" w:eastAsia="Arial" w:cs="Arial"/>
              <w:color w:val="000000"/>
            </w:rPr>
            <w:t>1</w:t>
          </w:r>
          <w:r>
            <w:rPr>
              <w:rStyle w:val="148"/>
              <w:rFonts w:ascii="Arial" w:hAnsi="Arial" w:eastAsia="Arial" w:cs="Arial"/>
              <w:color w:val="000000"/>
            </w:rPr>
            <w:fldChar w:fldCharType="end"/>
          </w:r>
          <w:r>
            <w:rPr>
              <w:rFonts w:ascii="Arial" w:hAnsi="Arial" w:eastAsia="Arial" w:cs="Arial"/>
              <w:color w:val="000000"/>
            </w:rPr>
            <w:t>6</w:t>
          </w:r>
        </w:p>
        <w:p w14:paraId="40D9757A">
          <w:pPr>
            <w:tabs>
              <w:tab w:val="right" w:pos="9771"/>
            </w:tabs>
            <w:jc w:val="center"/>
            <w:rPr>
              <w:rFonts w:ascii="Arial" w:hAnsi="Arial" w:eastAsia="Arial" w:cs="Arial"/>
              <w:color w:val="000000"/>
            </w:rPr>
          </w:pPr>
          <w:r>
            <w:fldChar w:fldCharType="begin"/>
          </w:r>
          <w:r>
            <w:instrText xml:space="preserve"> HYPERLINK \l "_heading=h.xzvhqx9h3wie" \h </w:instrText>
          </w:r>
          <w:r>
            <w:fldChar w:fldCharType="separate"/>
          </w:r>
          <w:r>
            <w:rPr>
              <w:rStyle w:val="148"/>
              <w:rFonts w:ascii="Arial" w:hAnsi="Arial" w:eastAsia="Arial" w:cs="Arial"/>
              <w:color w:val="000000"/>
            </w:rPr>
            <w:t>19. DA FORMA PARA O TRANSPORTE:</w:t>
          </w:r>
          <w:r>
            <w:rPr>
              <w:rStyle w:val="148"/>
              <w:rFonts w:ascii="Arial" w:hAnsi="Arial" w:eastAsia="Arial" w:cs="Arial"/>
              <w:color w:val="000000"/>
            </w:rPr>
            <w:tab/>
          </w:r>
          <w:r>
            <w:rPr>
              <w:rStyle w:val="148"/>
              <w:rFonts w:ascii="Arial" w:hAnsi="Arial" w:eastAsia="Arial" w:cs="Arial"/>
              <w:color w:val="000000"/>
            </w:rPr>
            <w:t>16</w:t>
          </w:r>
          <w:r>
            <w:rPr>
              <w:rStyle w:val="148"/>
              <w:rFonts w:ascii="Arial" w:hAnsi="Arial" w:eastAsia="Arial" w:cs="Arial"/>
              <w:color w:val="000000"/>
            </w:rPr>
            <w:fldChar w:fldCharType="end"/>
          </w:r>
        </w:p>
        <w:p w14:paraId="717CAE3F">
          <w:pPr>
            <w:tabs>
              <w:tab w:val="right" w:pos="9771"/>
            </w:tabs>
            <w:jc w:val="center"/>
            <w:rPr>
              <w:rFonts w:ascii="Arial" w:hAnsi="Arial" w:eastAsia="Arial" w:cs="Arial"/>
              <w:color w:val="000000"/>
            </w:rPr>
          </w:pPr>
          <w:r>
            <w:fldChar w:fldCharType="begin"/>
          </w:r>
          <w:r>
            <w:instrText xml:space="preserve"> HYPERLINK \l "_heading=h.43ip783k3h6k" \h </w:instrText>
          </w:r>
          <w:r>
            <w:fldChar w:fldCharType="separate"/>
          </w:r>
          <w:r>
            <w:rPr>
              <w:rStyle w:val="148"/>
              <w:rFonts w:ascii="Arial" w:hAnsi="Arial" w:eastAsia="Arial" w:cs="Arial"/>
              <w:color w:val="000000"/>
            </w:rPr>
            <w:t>20. DA DOTAÇÃO ORÇAMENTÁRIA:</w:t>
          </w:r>
          <w:r>
            <w:rPr>
              <w:rStyle w:val="148"/>
              <w:rFonts w:ascii="Arial" w:hAnsi="Arial" w:eastAsia="Arial" w:cs="Arial"/>
              <w:color w:val="000000"/>
            </w:rPr>
            <w:tab/>
          </w:r>
          <w:r>
            <w:rPr>
              <w:rStyle w:val="148"/>
              <w:rFonts w:ascii="Arial" w:hAnsi="Arial" w:eastAsia="Arial" w:cs="Arial"/>
              <w:color w:val="000000"/>
            </w:rPr>
            <w:t>16</w:t>
          </w:r>
          <w:r>
            <w:rPr>
              <w:rStyle w:val="148"/>
              <w:rFonts w:ascii="Arial" w:hAnsi="Arial" w:eastAsia="Arial" w:cs="Arial"/>
              <w:color w:val="000000"/>
            </w:rPr>
            <w:fldChar w:fldCharType="end"/>
          </w:r>
        </w:p>
        <w:p w14:paraId="57359A6D">
          <w:pPr>
            <w:tabs>
              <w:tab w:val="right" w:pos="9771"/>
            </w:tabs>
            <w:jc w:val="center"/>
            <w:rPr>
              <w:rFonts w:ascii="Arial" w:hAnsi="Arial" w:eastAsia="Arial" w:cs="Arial"/>
              <w:color w:val="000000"/>
            </w:rPr>
          </w:pPr>
          <w:r>
            <w:fldChar w:fldCharType="begin"/>
          </w:r>
          <w:r>
            <w:instrText xml:space="preserve"> HYPERLINK \l "_heading=h.6yzs4jqeh6u" \h </w:instrText>
          </w:r>
          <w:r>
            <w:fldChar w:fldCharType="separate"/>
          </w:r>
          <w:r>
            <w:rPr>
              <w:rStyle w:val="148"/>
              <w:rFonts w:ascii="Arial" w:hAnsi="Arial" w:eastAsia="Arial" w:cs="Arial"/>
              <w:color w:val="000000"/>
            </w:rPr>
            <w:t>21. DAS OBRIGAÇÕES DA CONTRATANTE:</w:t>
          </w:r>
          <w:r>
            <w:rPr>
              <w:rStyle w:val="148"/>
              <w:rFonts w:ascii="Arial" w:hAnsi="Arial" w:eastAsia="Arial" w:cs="Arial"/>
              <w:color w:val="000000"/>
            </w:rPr>
            <w:tab/>
          </w:r>
          <w:r>
            <w:rPr>
              <w:rStyle w:val="148"/>
              <w:rFonts w:ascii="Arial" w:hAnsi="Arial" w:eastAsia="Arial" w:cs="Arial"/>
              <w:color w:val="000000"/>
            </w:rPr>
            <w:t>16</w:t>
          </w:r>
          <w:r>
            <w:rPr>
              <w:rStyle w:val="148"/>
              <w:rFonts w:ascii="Arial" w:hAnsi="Arial" w:eastAsia="Arial" w:cs="Arial"/>
              <w:color w:val="000000"/>
            </w:rPr>
            <w:fldChar w:fldCharType="end"/>
          </w:r>
        </w:p>
        <w:p w14:paraId="3E722509">
          <w:pPr>
            <w:tabs>
              <w:tab w:val="right" w:pos="9771"/>
            </w:tabs>
            <w:jc w:val="center"/>
            <w:rPr>
              <w:rFonts w:ascii="Arial" w:hAnsi="Arial" w:eastAsia="Arial" w:cs="Arial"/>
              <w:color w:val="000000"/>
            </w:rPr>
          </w:pPr>
          <w:r>
            <w:fldChar w:fldCharType="begin"/>
          </w:r>
          <w:r>
            <w:instrText xml:space="preserve"> HYPERLINK \l "_heading=h.y9dm7fhd8pf6" \h </w:instrText>
          </w:r>
          <w:r>
            <w:fldChar w:fldCharType="separate"/>
          </w:r>
          <w:r>
            <w:rPr>
              <w:rStyle w:val="148"/>
              <w:rFonts w:ascii="Arial" w:hAnsi="Arial" w:eastAsia="Arial" w:cs="Arial"/>
              <w:color w:val="000000"/>
            </w:rPr>
            <w:t>22. DAS OBRIGAÇÕES E RESPONSABILIDADES DA CONTRATADA:</w:t>
          </w:r>
          <w:r>
            <w:rPr>
              <w:rStyle w:val="148"/>
              <w:rFonts w:ascii="Arial" w:hAnsi="Arial" w:eastAsia="Arial" w:cs="Arial"/>
              <w:color w:val="000000"/>
            </w:rPr>
            <w:tab/>
          </w:r>
          <w:r>
            <w:rPr>
              <w:rStyle w:val="148"/>
              <w:rFonts w:ascii="Arial" w:hAnsi="Arial" w:eastAsia="Arial" w:cs="Arial"/>
              <w:color w:val="000000"/>
            </w:rPr>
            <w:t>1</w:t>
          </w:r>
          <w:r>
            <w:rPr>
              <w:rStyle w:val="148"/>
              <w:rFonts w:ascii="Arial" w:hAnsi="Arial" w:eastAsia="Arial" w:cs="Arial"/>
              <w:color w:val="000000"/>
            </w:rPr>
            <w:fldChar w:fldCharType="end"/>
          </w:r>
          <w:r>
            <w:rPr>
              <w:rFonts w:ascii="Arial" w:hAnsi="Arial" w:eastAsia="Arial" w:cs="Arial"/>
              <w:color w:val="000000"/>
            </w:rPr>
            <w:t>7</w:t>
          </w:r>
        </w:p>
        <w:p w14:paraId="3C039127">
          <w:pPr>
            <w:tabs>
              <w:tab w:val="right" w:pos="9771"/>
            </w:tabs>
            <w:jc w:val="center"/>
            <w:rPr>
              <w:rFonts w:ascii="Arial" w:hAnsi="Arial" w:eastAsia="Arial" w:cs="Arial"/>
              <w:color w:val="000000"/>
            </w:rPr>
          </w:pPr>
          <w:r>
            <w:fldChar w:fldCharType="begin"/>
          </w:r>
          <w:r>
            <w:instrText xml:space="preserve"> HYPERLINK \l "_heading=h.xtnz234806qe" \h </w:instrText>
          </w:r>
          <w:r>
            <w:fldChar w:fldCharType="separate"/>
          </w:r>
          <w:r>
            <w:rPr>
              <w:rStyle w:val="148"/>
              <w:rFonts w:ascii="Arial" w:hAnsi="Arial" w:eastAsia="Arial" w:cs="Arial"/>
              <w:color w:val="000000"/>
            </w:rPr>
            <w:t>23. DAS INFRAÇÕES ADMINISTRATIVAS E SANÇÕES:</w:t>
          </w:r>
          <w:r>
            <w:rPr>
              <w:rStyle w:val="148"/>
              <w:rFonts w:ascii="Arial" w:hAnsi="Arial" w:eastAsia="Arial" w:cs="Arial"/>
              <w:color w:val="000000"/>
            </w:rPr>
            <w:tab/>
          </w:r>
          <w:r>
            <w:rPr>
              <w:rStyle w:val="148"/>
              <w:rFonts w:ascii="Arial" w:hAnsi="Arial" w:eastAsia="Arial" w:cs="Arial"/>
              <w:color w:val="000000"/>
            </w:rPr>
            <w:t>1</w:t>
          </w:r>
          <w:r>
            <w:rPr>
              <w:rStyle w:val="148"/>
              <w:rFonts w:ascii="Arial" w:hAnsi="Arial" w:eastAsia="Arial" w:cs="Arial"/>
              <w:color w:val="000000"/>
            </w:rPr>
            <w:fldChar w:fldCharType="end"/>
          </w:r>
          <w:r>
            <w:rPr>
              <w:rFonts w:ascii="Arial" w:hAnsi="Arial" w:eastAsia="Arial" w:cs="Arial"/>
              <w:color w:val="000000"/>
            </w:rPr>
            <w:t>7</w:t>
          </w:r>
        </w:p>
        <w:p w14:paraId="6FE45890">
          <w:pPr>
            <w:tabs>
              <w:tab w:val="right" w:pos="9771"/>
            </w:tabs>
            <w:jc w:val="center"/>
            <w:rPr>
              <w:rFonts w:ascii="Arial" w:hAnsi="Arial" w:eastAsia="Arial" w:cs="Arial"/>
              <w:color w:val="000000"/>
            </w:rPr>
          </w:pPr>
          <w:r>
            <w:fldChar w:fldCharType="begin"/>
          </w:r>
          <w:r>
            <w:instrText xml:space="preserve"> HYPERLINK \l "_heading=h.2ph203i1ux4v" \h </w:instrText>
          </w:r>
          <w:r>
            <w:fldChar w:fldCharType="separate"/>
          </w:r>
          <w:r>
            <w:rPr>
              <w:rStyle w:val="148"/>
              <w:rFonts w:ascii="Arial" w:hAnsi="Arial" w:eastAsia="Arial" w:cs="Arial"/>
              <w:color w:val="000000"/>
            </w:rPr>
            <w:t>24. DO PAGAMENTO:</w:t>
          </w:r>
          <w:r>
            <w:rPr>
              <w:rStyle w:val="148"/>
              <w:rFonts w:ascii="Arial" w:hAnsi="Arial" w:eastAsia="Arial" w:cs="Arial"/>
              <w:color w:val="000000"/>
            </w:rPr>
            <w:tab/>
          </w:r>
          <w:r>
            <w:rPr>
              <w:rStyle w:val="148"/>
              <w:rFonts w:ascii="Arial" w:hAnsi="Arial" w:eastAsia="Arial" w:cs="Arial"/>
              <w:color w:val="000000"/>
            </w:rPr>
            <w:fldChar w:fldCharType="end"/>
          </w:r>
          <w:r>
            <w:rPr>
              <w:rFonts w:ascii="Arial" w:hAnsi="Arial" w:eastAsia="Arial" w:cs="Arial"/>
              <w:color w:val="000000"/>
            </w:rPr>
            <w:t>20</w:t>
          </w:r>
        </w:p>
        <w:p w14:paraId="26266C86">
          <w:pPr>
            <w:tabs>
              <w:tab w:val="right" w:pos="9771"/>
            </w:tabs>
            <w:jc w:val="center"/>
            <w:rPr>
              <w:rFonts w:ascii="Arial" w:hAnsi="Arial" w:eastAsia="Arial" w:cs="Arial"/>
              <w:color w:val="000000"/>
            </w:rPr>
          </w:pPr>
          <w:r>
            <w:fldChar w:fldCharType="begin"/>
          </w:r>
          <w:r>
            <w:instrText xml:space="preserve"> HYPERLINK \l "_heading=h.1g4ygbxogmoo" \h </w:instrText>
          </w:r>
          <w:r>
            <w:fldChar w:fldCharType="separate"/>
          </w:r>
          <w:r>
            <w:rPr>
              <w:rStyle w:val="148"/>
              <w:rFonts w:ascii="Arial" w:hAnsi="Arial" w:eastAsia="Arial" w:cs="Arial"/>
              <w:color w:val="000000"/>
            </w:rPr>
            <w:t>25. DA IMPUGNAÇÃO AO EDITAL E DO PEDIDO DE ESCLARECIMENTO:</w:t>
          </w:r>
          <w:r>
            <w:rPr>
              <w:rStyle w:val="148"/>
              <w:rFonts w:ascii="Arial" w:hAnsi="Arial" w:eastAsia="Arial" w:cs="Arial"/>
              <w:color w:val="000000"/>
            </w:rPr>
            <w:tab/>
          </w:r>
          <w:r>
            <w:rPr>
              <w:rStyle w:val="148"/>
              <w:rFonts w:ascii="Arial" w:hAnsi="Arial" w:eastAsia="Arial" w:cs="Arial"/>
              <w:color w:val="000000"/>
            </w:rPr>
            <w:t>2</w:t>
          </w:r>
          <w:r>
            <w:rPr>
              <w:rStyle w:val="148"/>
              <w:rFonts w:ascii="Arial" w:hAnsi="Arial" w:eastAsia="Arial" w:cs="Arial"/>
              <w:color w:val="000000"/>
            </w:rPr>
            <w:fldChar w:fldCharType="end"/>
          </w:r>
          <w:r>
            <w:rPr>
              <w:rFonts w:ascii="Arial" w:hAnsi="Arial" w:eastAsia="Arial" w:cs="Arial"/>
              <w:color w:val="000000"/>
            </w:rPr>
            <w:t>0</w:t>
          </w:r>
        </w:p>
        <w:p w14:paraId="2B1E0CD9">
          <w:pPr>
            <w:tabs>
              <w:tab w:val="right" w:pos="9771"/>
            </w:tabs>
            <w:jc w:val="center"/>
            <w:rPr>
              <w:rFonts w:ascii="Arial" w:hAnsi="Arial" w:eastAsia="Arial" w:cs="Arial"/>
              <w:color w:val="000000"/>
            </w:rPr>
          </w:pPr>
          <w:r>
            <w:fldChar w:fldCharType="begin"/>
          </w:r>
          <w:r>
            <w:instrText xml:space="preserve"> HYPERLINK \l "_heading=h.r0cnrfbocatz" \h </w:instrText>
          </w:r>
          <w:r>
            <w:fldChar w:fldCharType="separate"/>
          </w:r>
          <w:r>
            <w:rPr>
              <w:rStyle w:val="148"/>
              <w:rFonts w:ascii="Arial" w:hAnsi="Arial" w:eastAsia="Arial" w:cs="Arial"/>
              <w:color w:val="000000"/>
            </w:rPr>
            <w:t>26. DAS DISPOSIÇÕES GERAIS:</w:t>
          </w:r>
          <w:r>
            <w:rPr>
              <w:rStyle w:val="148"/>
              <w:rFonts w:ascii="Arial" w:hAnsi="Arial" w:eastAsia="Arial" w:cs="Arial"/>
              <w:color w:val="000000"/>
            </w:rPr>
            <w:tab/>
          </w:r>
          <w:r>
            <w:rPr>
              <w:rStyle w:val="148"/>
              <w:rFonts w:ascii="Arial" w:hAnsi="Arial" w:eastAsia="Arial" w:cs="Arial"/>
              <w:color w:val="000000"/>
            </w:rPr>
            <w:t>21</w:t>
          </w:r>
          <w:r>
            <w:rPr>
              <w:rStyle w:val="148"/>
              <w:rFonts w:ascii="Arial" w:hAnsi="Arial" w:eastAsia="Arial" w:cs="Arial"/>
              <w:color w:val="000000"/>
            </w:rPr>
            <w:fldChar w:fldCharType="end"/>
          </w:r>
        </w:p>
        <w:p w14:paraId="3ADFB534">
          <w:pPr>
            <w:tabs>
              <w:tab w:val="right" w:pos="9771"/>
            </w:tabs>
            <w:jc w:val="center"/>
            <w:rPr>
              <w:rFonts w:ascii="Arial" w:hAnsi="Arial" w:eastAsia="Arial" w:cs="Arial"/>
              <w:color w:val="000000"/>
            </w:rPr>
          </w:pPr>
          <w:r>
            <w:fldChar w:fldCharType="begin"/>
          </w:r>
          <w:r>
            <w:instrText xml:space="preserve"> HYPERLINK \l "_heading=h.satg92jq7k4v" \h </w:instrText>
          </w:r>
          <w:r>
            <w:fldChar w:fldCharType="separate"/>
          </w:r>
          <w:r>
            <w:rPr>
              <w:rStyle w:val="148"/>
              <w:rFonts w:ascii="Arial" w:hAnsi="Arial" w:eastAsia="Arial" w:cs="Arial"/>
              <w:color w:val="000000"/>
            </w:rPr>
            <w:t>27. INTEGRAM ESTE EDITAL, PARA TODOS OS FINS E EFEITOS, OS SEGUINTES ANEXOS:</w:t>
          </w:r>
          <w:r>
            <w:rPr>
              <w:rStyle w:val="148"/>
              <w:rFonts w:ascii="Arial" w:hAnsi="Arial" w:eastAsia="Arial" w:cs="Arial"/>
              <w:color w:val="000000"/>
            </w:rPr>
            <w:tab/>
          </w:r>
          <w:r>
            <w:rPr>
              <w:rStyle w:val="148"/>
              <w:rFonts w:ascii="Arial" w:hAnsi="Arial" w:eastAsia="Arial" w:cs="Arial"/>
              <w:color w:val="000000"/>
            </w:rPr>
            <w:t>22</w:t>
          </w:r>
          <w:r>
            <w:rPr>
              <w:rStyle w:val="148"/>
              <w:rFonts w:ascii="Arial" w:hAnsi="Arial" w:eastAsia="Arial" w:cs="Arial"/>
              <w:color w:val="000000"/>
            </w:rPr>
            <w:fldChar w:fldCharType="end"/>
          </w:r>
        </w:p>
        <w:p w14:paraId="33375399">
          <w:pPr>
            <w:tabs>
              <w:tab w:val="right" w:pos="9771"/>
            </w:tabs>
            <w:jc w:val="center"/>
            <w:rPr>
              <w:rFonts w:ascii="Arial" w:hAnsi="Arial" w:eastAsia="Arial" w:cs="Arial"/>
              <w:color w:val="000000"/>
            </w:rPr>
          </w:pPr>
          <w:r>
            <w:fldChar w:fldCharType="begin"/>
          </w:r>
          <w:r>
            <w:instrText xml:space="preserve"> HYPERLINK \l "_heading=h.al53oogeq01r" \h </w:instrText>
          </w:r>
          <w:r>
            <w:fldChar w:fldCharType="separate"/>
          </w:r>
          <w:r>
            <w:rPr>
              <w:rStyle w:val="148"/>
              <w:rFonts w:ascii="Arial" w:hAnsi="Arial" w:eastAsia="Arial" w:cs="Arial"/>
              <w:color w:val="000000"/>
            </w:rPr>
            <w:t>ANEXO I: TERMO DE REFERÊNCIA.</w:t>
          </w:r>
          <w:r>
            <w:rPr>
              <w:rStyle w:val="148"/>
              <w:rFonts w:ascii="Arial" w:hAnsi="Arial" w:eastAsia="Arial" w:cs="Arial"/>
              <w:color w:val="000000"/>
            </w:rPr>
            <w:tab/>
          </w:r>
          <w:r>
            <w:rPr>
              <w:rStyle w:val="148"/>
              <w:rFonts w:ascii="Arial" w:hAnsi="Arial" w:eastAsia="Arial" w:cs="Arial"/>
              <w:color w:val="000000"/>
            </w:rPr>
            <w:t>2</w:t>
          </w:r>
          <w:r>
            <w:rPr>
              <w:rStyle w:val="148"/>
              <w:rFonts w:ascii="Arial" w:hAnsi="Arial" w:eastAsia="Arial" w:cs="Arial"/>
              <w:color w:val="000000"/>
            </w:rPr>
            <w:fldChar w:fldCharType="end"/>
          </w:r>
          <w:r>
            <w:rPr>
              <w:rFonts w:ascii="Arial" w:hAnsi="Arial" w:eastAsia="Arial" w:cs="Arial"/>
              <w:color w:val="000000"/>
            </w:rPr>
            <w:t>3</w:t>
          </w:r>
        </w:p>
        <w:p w14:paraId="6C8EE7E6">
          <w:pPr>
            <w:tabs>
              <w:tab w:val="right" w:pos="9771"/>
            </w:tabs>
            <w:jc w:val="center"/>
            <w:rPr>
              <w:rFonts w:ascii="Arial" w:hAnsi="Arial" w:eastAsia="Arial" w:cs="Arial"/>
              <w:color w:val="000000"/>
            </w:rPr>
          </w:pPr>
          <w:r>
            <w:fldChar w:fldCharType="begin"/>
          </w:r>
          <w:r>
            <w:instrText xml:space="preserve"> HYPERLINK \l "_heading=h.if1d4esm3omc" \h </w:instrText>
          </w:r>
          <w:r>
            <w:fldChar w:fldCharType="separate"/>
          </w:r>
          <w:r>
            <w:rPr>
              <w:rStyle w:val="148"/>
              <w:rFonts w:ascii="Arial" w:hAnsi="Arial" w:eastAsia="Arial" w:cs="Arial"/>
              <w:color w:val="000000"/>
            </w:rPr>
            <w:t>ANEXO II: MINUTA DA ATA DE REGISTRO DE PREÇOS.</w:t>
          </w:r>
          <w:r>
            <w:rPr>
              <w:rStyle w:val="148"/>
              <w:rFonts w:ascii="Arial" w:hAnsi="Arial" w:eastAsia="Arial" w:cs="Arial"/>
              <w:color w:val="000000"/>
            </w:rPr>
            <w:tab/>
          </w:r>
          <w:r>
            <w:rPr>
              <w:rStyle w:val="148"/>
              <w:rFonts w:ascii="Arial" w:hAnsi="Arial" w:eastAsia="Arial" w:cs="Arial"/>
              <w:color w:val="000000"/>
            </w:rPr>
            <w:t>3</w:t>
          </w:r>
          <w:r>
            <w:rPr>
              <w:rStyle w:val="148"/>
              <w:rFonts w:ascii="Arial" w:hAnsi="Arial" w:eastAsia="Arial" w:cs="Arial"/>
              <w:color w:val="000000"/>
            </w:rPr>
            <w:fldChar w:fldCharType="end"/>
          </w:r>
          <w:r>
            <w:rPr>
              <w:rFonts w:ascii="Arial" w:hAnsi="Arial" w:eastAsia="Arial" w:cs="Arial"/>
              <w:color w:val="000000"/>
            </w:rPr>
            <w:t>9</w:t>
          </w:r>
        </w:p>
        <w:p w14:paraId="41636228">
          <w:pPr>
            <w:tabs>
              <w:tab w:val="right" w:pos="9771"/>
            </w:tabs>
            <w:jc w:val="center"/>
            <w:rPr>
              <w:rFonts w:ascii="Arial" w:hAnsi="Arial" w:eastAsia="Arial" w:cs="Arial"/>
              <w:color w:val="000000"/>
            </w:rPr>
          </w:pPr>
          <w:r>
            <w:fldChar w:fldCharType="begin"/>
          </w:r>
          <w:r>
            <w:instrText xml:space="preserve"> HYPERLINK \l "_heading=h.newlxcwry38i" \h </w:instrText>
          </w:r>
          <w:r>
            <w:fldChar w:fldCharType="separate"/>
          </w:r>
          <w:r>
            <w:rPr>
              <w:rStyle w:val="148"/>
              <w:rFonts w:ascii="Arial" w:hAnsi="Arial" w:eastAsia="Arial" w:cs="Arial"/>
              <w:color w:val="000000"/>
            </w:rPr>
            <w:t>ANEXO III: MINUTA DO CONTRATO.</w:t>
          </w:r>
          <w:r>
            <w:rPr>
              <w:rStyle w:val="148"/>
              <w:rFonts w:ascii="Arial" w:hAnsi="Arial" w:eastAsia="Arial" w:cs="Arial"/>
              <w:color w:val="000000"/>
            </w:rPr>
            <w:tab/>
          </w:r>
          <w:r>
            <w:rPr>
              <w:rStyle w:val="148"/>
              <w:rFonts w:ascii="Arial" w:hAnsi="Arial" w:eastAsia="Arial" w:cs="Arial"/>
              <w:color w:val="000000"/>
            </w:rPr>
            <w:t>4</w:t>
          </w:r>
          <w:r>
            <w:rPr>
              <w:rStyle w:val="148"/>
              <w:rFonts w:ascii="Arial" w:hAnsi="Arial" w:eastAsia="Arial" w:cs="Arial"/>
              <w:color w:val="000000"/>
            </w:rPr>
            <w:fldChar w:fldCharType="end"/>
          </w:r>
          <w:r>
            <w:rPr>
              <w:rFonts w:ascii="Arial" w:hAnsi="Arial" w:eastAsia="Arial" w:cs="Arial"/>
              <w:color w:val="000000"/>
            </w:rPr>
            <w:t>6</w:t>
          </w:r>
        </w:p>
        <w:p w14:paraId="1CB97F43">
          <w:pPr>
            <w:tabs>
              <w:tab w:val="right" w:pos="9771"/>
            </w:tabs>
            <w:jc w:val="center"/>
            <w:rPr>
              <w:rFonts w:ascii="Arial" w:hAnsi="Arial" w:eastAsia="Arial" w:cs="Arial"/>
              <w:color w:val="000000"/>
            </w:rPr>
          </w:pPr>
          <w:r>
            <w:fldChar w:fldCharType="begin"/>
          </w:r>
          <w:r>
            <w:instrText xml:space="preserve"> HYPERLINK \l "_heading=h.t4dlcopg240v" \h </w:instrText>
          </w:r>
          <w:r>
            <w:fldChar w:fldCharType="separate"/>
          </w:r>
          <w:r>
            <w:rPr>
              <w:rStyle w:val="148"/>
              <w:rFonts w:ascii="Arial" w:hAnsi="Arial" w:eastAsia="Arial" w:cs="Arial"/>
              <w:color w:val="000000"/>
            </w:rPr>
            <w:t>ANEXO IV: MODELO DE PROPOSTA COMERCIAL.</w:t>
          </w:r>
          <w:r>
            <w:rPr>
              <w:rStyle w:val="148"/>
              <w:rFonts w:ascii="Arial" w:hAnsi="Arial" w:eastAsia="Arial" w:cs="Arial"/>
              <w:color w:val="000000"/>
            </w:rPr>
            <w:tab/>
          </w:r>
          <w:r>
            <w:rPr>
              <w:rStyle w:val="148"/>
              <w:rFonts w:ascii="Arial" w:hAnsi="Arial" w:eastAsia="Arial" w:cs="Arial"/>
              <w:color w:val="000000"/>
            </w:rPr>
            <w:t>5</w:t>
          </w:r>
          <w:r>
            <w:rPr>
              <w:rStyle w:val="148"/>
              <w:rFonts w:ascii="Arial" w:hAnsi="Arial" w:eastAsia="Arial" w:cs="Arial"/>
              <w:color w:val="000000"/>
            </w:rPr>
            <w:fldChar w:fldCharType="end"/>
          </w:r>
          <w:r>
            <w:rPr>
              <w:rFonts w:ascii="Arial" w:hAnsi="Arial" w:eastAsia="Arial" w:cs="Arial"/>
              <w:color w:val="000000"/>
            </w:rPr>
            <w:t>9</w:t>
          </w:r>
        </w:p>
        <w:p w14:paraId="1353E1F1">
          <w:pPr>
            <w:tabs>
              <w:tab w:val="right" w:pos="9771"/>
            </w:tabs>
            <w:jc w:val="center"/>
            <w:rPr>
              <w:rFonts w:ascii="Arial" w:hAnsi="Arial" w:eastAsia="Arial" w:cs="Arial"/>
              <w:color w:val="000000"/>
            </w:rPr>
          </w:pPr>
          <w:r>
            <w:fldChar w:fldCharType="begin"/>
          </w:r>
          <w:r>
            <w:instrText xml:space="preserve"> HYPERLINK \l "_heading=h.rd3mtgz7xzk4" \h </w:instrText>
          </w:r>
          <w:r>
            <w:fldChar w:fldCharType="separate"/>
          </w:r>
          <w:r>
            <w:rPr>
              <w:rStyle w:val="148"/>
              <w:rFonts w:ascii="Arial" w:hAnsi="Arial" w:eastAsia="Arial" w:cs="Arial"/>
              <w:color w:val="000000"/>
            </w:rPr>
            <w:t>ANEXO V: MODELO CREDENCIAMENTO E COMPROVAÇÕES COMPLEMENTARES ESPECIAIS.</w:t>
          </w:r>
          <w:r>
            <w:rPr>
              <w:rStyle w:val="148"/>
              <w:rFonts w:ascii="Arial" w:hAnsi="Arial" w:eastAsia="Arial" w:cs="Arial"/>
              <w:color w:val="000000"/>
            </w:rPr>
            <w:tab/>
          </w:r>
          <w:r>
            <w:rPr>
              <w:rStyle w:val="148"/>
              <w:rFonts w:ascii="Arial" w:hAnsi="Arial" w:eastAsia="Arial" w:cs="Arial"/>
              <w:color w:val="000000"/>
            </w:rPr>
            <w:fldChar w:fldCharType="end"/>
          </w:r>
          <w:r>
            <w:rPr>
              <w:rFonts w:ascii="Arial" w:hAnsi="Arial" w:eastAsia="Arial" w:cs="Arial"/>
              <w:color w:val="000000"/>
            </w:rPr>
            <w:t>61</w:t>
          </w:r>
        </w:p>
        <w:p w14:paraId="140FA1A9">
          <w:pPr>
            <w:tabs>
              <w:tab w:val="right" w:pos="9771"/>
            </w:tabs>
            <w:jc w:val="center"/>
            <w:rPr>
              <w:rFonts w:ascii="Arial" w:hAnsi="Arial" w:eastAsia="Arial" w:cs="Arial"/>
              <w:color w:val="000000"/>
            </w:rPr>
          </w:pPr>
          <w:r>
            <w:fldChar w:fldCharType="begin"/>
          </w:r>
          <w:r>
            <w:instrText xml:space="preserve"> HYPERLINK \l "_heading=h.5adncxsznfyr" \h </w:instrText>
          </w:r>
          <w:r>
            <w:fldChar w:fldCharType="separate"/>
          </w:r>
          <w:r>
            <w:rPr>
              <w:rStyle w:val="148"/>
              <w:rFonts w:ascii="Arial" w:hAnsi="Arial" w:eastAsia="Arial" w:cs="Arial"/>
              <w:color w:val="000000"/>
            </w:rPr>
            <w:t>ANEXO VI: FICHA DE ATUALIZAÇÃO CADASTRAL.</w:t>
          </w:r>
          <w:r>
            <w:rPr>
              <w:rStyle w:val="148"/>
              <w:rFonts w:ascii="Arial" w:hAnsi="Arial" w:eastAsia="Arial" w:cs="Arial"/>
              <w:color w:val="000000"/>
            </w:rPr>
            <w:tab/>
          </w:r>
          <w:r>
            <w:rPr>
              <w:rStyle w:val="148"/>
              <w:rFonts w:ascii="Arial" w:hAnsi="Arial" w:eastAsia="Arial" w:cs="Arial"/>
              <w:color w:val="000000"/>
            </w:rPr>
            <w:t>6</w:t>
          </w:r>
          <w:r>
            <w:rPr>
              <w:rStyle w:val="148"/>
              <w:rFonts w:ascii="Arial" w:hAnsi="Arial" w:eastAsia="Arial" w:cs="Arial"/>
              <w:color w:val="000000"/>
            </w:rPr>
            <w:fldChar w:fldCharType="end"/>
          </w:r>
          <w:r>
            <w:rPr>
              <w:rFonts w:ascii="Arial" w:hAnsi="Arial" w:eastAsia="Arial" w:cs="Arial"/>
              <w:color w:val="000000"/>
            </w:rPr>
            <w:t>2</w:t>
          </w:r>
          <w:r>
            <w:rPr>
              <w:rFonts w:ascii="Arial" w:hAnsi="Arial" w:eastAsia="Arial" w:cs="Arial"/>
              <w:color w:val="000000"/>
            </w:rPr>
            <w:fldChar w:fldCharType="end"/>
          </w:r>
        </w:p>
      </w:sdtContent>
    </w:sdt>
    <w:p w14:paraId="36B99255">
      <w:pPr>
        <w:tabs>
          <w:tab w:val="right" w:pos="9071"/>
          <w:tab w:val="right" w:pos="9771"/>
        </w:tabs>
        <w:rPr>
          <w:rFonts w:ascii="Arial" w:hAnsi="Arial" w:eastAsia="Arial" w:cs="Arial"/>
          <w:color w:val="000000"/>
        </w:rPr>
      </w:pPr>
    </w:p>
    <w:p w14:paraId="082F9ABA">
      <w:pPr>
        <w:tabs>
          <w:tab w:val="right" w:pos="9071"/>
          <w:tab w:val="right" w:pos="9771"/>
        </w:tabs>
        <w:rPr>
          <w:rFonts w:ascii="Arial" w:hAnsi="Arial" w:eastAsia="Arial" w:cs="Arial"/>
          <w:color w:val="000000"/>
        </w:rPr>
      </w:pPr>
    </w:p>
    <w:p w14:paraId="254F8EDD">
      <w:pPr>
        <w:rPr>
          <w:rFonts w:ascii="Arial" w:hAnsi="Arial" w:eastAsia="Arial" w:cs="Arial"/>
          <w:b/>
        </w:rPr>
      </w:pPr>
    </w:p>
    <w:p w14:paraId="78287E16">
      <w:pPr>
        <w:rPr>
          <w:rFonts w:ascii="Arial" w:hAnsi="Arial" w:eastAsia="Arial" w:cs="Arial"/>
          <w:b/>
        </w:rPr>
      </w:pPr>
    </w:p>
    <w:p w14:paraId="447A0EF9">
      <w:pPr>
        <w:rPr>
          <w:rFonts w:ascii="Arial" w:hAnsi="Arial" w:eastAsia="Arial" w:cs="Arial"/>
          <w:b/>
        </w:rPr>
      </w:pPr>
    </w:p>
    <w:p w14:paraId="199D3F66">
      <w:pPr>
        <w:rPr>
          <w:rFonts w:ascii="Arial" w:hAnsi="Arial" w:eastAsia="Arial" w:cs="Arial"/>
          <w:b/>
        </w:rPr>
      </w:pPr>
    </w:p>
    <w:p w14:paraId="4095F6D5">
      <w:pPr>
        <w:rPr>
          <w:rFonts w:ascii="Arial" w:hAnsi="Arial" w:eastAsia="Arial" w:cs="Arial"/>
          <w:b/>
        </w:rPr>
      </w:pPr>
    </w:p>
    <w:p w14:paraId="542B2DDB">
      <w:pPr>
        <w:rPr>
          <w:rFonts w:ascii="Arial" w:hAnsi="Arial" w:eastAsia="Arial" w:cs="Arial"/>
          <w:b/>
        </w:rPr>
      </w:pPr>
    </w:p>
    <w:p w14:paraId="178B1AA7">
      <w:pPr>
        <w:rPr>
          <w:rFonts w:ascii="Arial" w:hAnsi="Arial" w:eastAsia="Arial" w:cs="Arial"/>
          <w:b/>
        </w:rPr>
      </w:pPr>
    </w:p>
    <w:p w14:paraId="4E8A4851">
      <w:pPr>
        <w:rPr>
          <w:rFonts w:ascii="Arial" w:hAnsi="Arial" w:eastAsia="Arial" w:cs="Arial"/>
          <w:b/>
        </w:rPr>
      </w:pPr>
    </w:p>
    <w:p w14:paraId="2A05287D">
      <w:pPr>
        <w:rPr>
          <w:rFonts w:ascii="Arial" w:hAnsi="Arial" w:eastAsia="Arial" w:cs="Arial"/>
          <w:b/>
        </w:rPr>
      </w:pPr>
    </w:p>
    <w:p w14:paraId="22EF0DD1">
      <w:pPr>
        <w:rPr>
          <w:rFonts w:ascii="Arial" w:hAnsi="Arial" w:eastAsia="Arial" w:cs="Arial"/>
          <w:b/>
        </w:rPr>
      </w:pPr>
    </w:p>
    <w:p w14:paraId="47F1CC90">
      <w:pPr>
        <w:rPr>
          <w:rFonts w:ascii="Arial" w:hAnsi="Arial" w:eastAsia="Arial" w:cs="Arial"/>
          <w:b/>
        </w:rPr>
      </w:pPr>
    </w:p>
    <w:p w14:paraId="22418EA6">
      <w:pPr>
        <w:rPr>
          <w:rFonts w:ascii="Arial" w:hAnsi="Arial" w:eastAsia="Arial" w:cs="Arial"/>
          <w:b/>
        </w:rPr>
      </w:pPr>
    </w:p>
    <w:p w14:paraId="480A4415">
      <w:pPr>
        <w:rPr>
          <w:rFonts w:ascii="Arial" w:hAnsi="Arial" w:eastAsia="Arial" w:cs="Arial"/>
          <w:b/>
        </w:rPr>
      </w:pPr>
    </w:p>
    <w:p w14:paraId="4CE2A1EF">
      <w:pPr>
        <w:rPr>
          <w:rFonts w:ascii="Arial" w:hAnsi="Arial" w:eastAsia="Arial" w:cs="Arial"/>
          <w:b/>
        </w:rPr>
      </w:pPr>
    </w:p>
    <w:p w14:paraId="2D6B3288">
      <w:pPr>
        <w:rPr>
          <w:rFonts w:ascii="Arial" w:hAnsi="Arial" w:eastAsia="Arial" w:cs="Arial"/>
          <w:b/>
        </w:rPr>
      </w:pPr>
    </w:p>
    <w:p w14:paraId="047E43AE">
      <w:pPr>
        <w:rPr>
          <w:rFonts w:ascii="Arial" w:hAnsi="Arial" w:eastAsia="Arial" w:cs="Arial"/>
          <w:b/>
        </w:rPr>
      </w:pPr>
    </w:p>
    <w:p w14:paraId="545D3FF8">
      <w:pPr>
        <w:rPr>
          <w:sz w:val="20"/>
          <w:szCs w:val="20"/>
        </w:rPr>
      </w:pPr>
      <w:bookmarkStart w:id="0" w:name="_heading=h.vvwba5e6skad"/>
      <w:bookmarkEnd w:id="0"/>
      <w:r>
        <w:rPr>
          <w:sz w:val="20"/>
          <w:szCs w:val="20"/>
        </w:rPr>
        <w:br w:type="page"/>
      </w:r>
    </w:p>
    <w:p w14:paraId="1E8B7699">
      <w:pPr>
        <w:pStyle w:val="2"/>
        <w:spacing w:before="0" w:after="0"/>
        <w:rPr>
          <w:sz w:val="20"/>
          <w:szCs w:val="20"/>
        </w:rPr>
      </w:pPr>
      <w:r>
        <w:rPr>
          <w:sz w:val="20"/>
          <w:szCs w:val="20"/>
        </w:rPr>
        <w:t>1. PREÂMBULO:</w:t>
      </w:r>
    </w:p>
    <w:p w14:paraId="67518DE4">
      <w:pPr>
        <w:pStyle w:val="2"/>
        <w:spacing w:before="0" w:after="0"/>
        <w:rPr>
          <w:sz w:val="20"/>
          <w:szCs w:val="20"/>
        </w:rPr>
      </w:pPr>
      <w:bookmarkStart w:id="1" w:name="_heading=h.qlor5vhwp8h7"/>
      <w:bookmarkEnd w:id="1"/>
    </w:p>
    <w:p w14:paraId="3EBD5A84">
      <w:pPr>
        <w:numPr>
          <w:ilvl w:val="1"/>
          <w:numId w:val="1"/>
        </w:numPr>
        <w:ind w:left="0" w:firstLine="0"/>
        <w:jc w:val="both"/>
        <w:rPr>
          <w:rFonts w:ascii="Arial" w:hAnsi="Arial" w:eastAsia="Arial" w:cs="Arial"/>
          <w:b/>
        </w:rPr>
      </w:pPr>
      <w:bookmarkStart w:id="2" w:name="_heading=h.e9uu9887wp2r"/>
      <w:bookmarkEnd w:id="2"/>
      <w:r>
        <w:rPr>
          <w:rFonts w:ascii="Arial" w:hAnsi="Arial" w:eastAsia="Arial" w:cs="Arial"/>
          <w:b/>
        </w:rPr>
        <w:t xml:space="preserve">EDITAL DE LICITAÇÃO: PREGÃO ELETRÔNICO N.º 30/2025, PROCESSO Nº </w:t>
      </w:r>
      <w:r>
        <w:rPr>
          <w:rFonts w:hint="default" w:ascii="Arial" w:hAnsi="Arial" w:eastAsia="Arial" w:cs="Arial"/>
          <w:b/>
          <w:lang w:val="pt-BR"/>
        </w:rPr>
        <w:t>273</w:t>
      </w:r>
      <w:r>
        <w:rPr>
          <w:rFonts w:ascii="Arial" w:hAnsi="Arial" w:eastAsia="Arial" w:cs="Arial"/>
          <w:b/>
        </w:rPr>
        <w:t>/2025.</w:t>
      </w:r>
    </w:p>
    <w:p w14:paraId="01464902">
      <w:pPr>
        <w:jc w:val="both"/>
        <w:rPr>
          <w:rFonts w:ascii="Arial" w:hAnsi="Arial" w:eastAsia="Arial" w:cs="Arial"/>
          <w:b/>
        </w:rPr>
      </w:pPr>
    </w:p>
    <w:p w14:paraId="006B770C">
      <w:pPr>
        <w:jc w:val="both"/>
      </w:pPr>
      <w:bookmarkStart w:id="3" w:name="_heading=h.ma8d0d9np7x"/>
      <w:bookmarkEnd w:id="3"/>
      <w:r>
        <w:rPr>
          <w:rFonts w:ascii="Arial" w:hAnsi="Arial" w:eastAsia="Arial" w:cs="Arial"/>
          <w:b/>
        </w:rPr>
        <w:t>1.2. CRITÉRIO DE JULGAMENTO DA LICITAÇÃO</w:t>
      </w:r>
      <w:r>
        <w:t xml:space="preserve">: </w:t>
      </w:r>
    </w:p>
    <w:p w14:paraId="35C2A602">
      <w:pPr>
        <w:jc w:val="both"/>
        <w:rPr>
          <w:rFonts w:ascii="Arial" w:hAnsi="Arial" w:eastAsia="Arial" w:cs="Arial"/>
          <w:b/>
        </w:rPr>
      </w:pPr>
    </w:p>
    <w:p w14:paraId="076764DF">
      <w:pPr>
        <w:jc w:val="both"/>
        <w:rPr>
          <w:rFonts w:ascii="Arial" w:hAnsi="Arial" w:eastAsia="Arial" w:cs="Arial"/>
        </w:rPr>
      </w:pPr>
      <w:r>
        <w:rPr>
          <w:rFonts w:ascii="Arial" w:hAnsi="Arial" w:eastAsia="Arial" w:cs="Arial"/>
          <w:b/>
        </w:rPr>
        <w:t xml:space="preserve">1.2.1. </w:t>
      </w:r>
      <w:r>
        <w:rPr>
          <w:rFonts w:ascii="Arial" w:hAnsi="Arial" w:eastAsia="Arial" w:cs="Arial"/>
          <w:b/>
          <w:color w:val="000000"/>
        </w:rPr>
        <w:t xml:space="preserve">MENOR PREÇO GLOBAL </w:t>
      </w:r>
      <w:r>
        <w:rPr>
          <w:rFonts w:ascii="Arial" w:hAnsi="Arial" w:eastAsia="Arial" w:cs="Arial"/>
        </w:rPr>
        <w:t>.</w:t>
      </w:r>
    </w:p>
    <w:p w14:paraId="2495647A">
      <w:pPr>
        <w:jc w:val="both"/>
        <w:rPr>
          <w:rFonts w:ascii="Arial" w:hAnsi="Arial" w:eastAsia="Arial" w:cs="Arial"/>
          <w:b/>
        </w:rPr>
      </w:pPr>
      <w:r>
        <w:rPr>
          <w:rFonts w:ascii="Arial" w:hAnsi="Arial" w:eastAsia="Arial" w:cs="Arial"/>
          <w:b/>
        </w:rPr>
        <w:t>1.2.1.2</w:t>
      </w:r>
      <w:r>
        <w:rPr>
          <w:rFonts w:ascii="Arial" w:hAnsi="Arial" w:eastAsia="Arial" w:cs="Arial"/>
        </w:rPr>
        <w:t xml:space="preserve">. </w:t>
      </w:r>
      <w:r>
        <w:rPr>
          <w:rFonts w:ascii="Arial" w:hAnsi="Arial" w:eastAsia="Arial" w:cs="Arial"/>
          <w:color w:val="000000"/>
        </w:rPr>
        <w:t xml:space="preserve">O custo estimado da contratação é de </w:t>
      </w:r>
      <w:r>
        <w:rPr>
          <w:rFonts w:ascii="Arial" w:hAnsi="Arial" w:eastAsia="Arial" w:cs="Arial"/>
          <w:b/>
          <w:color w:val="000000"/>
        </w:rPr>
        <w:t xml:space="preserve">R$ </w:t>
      </w:r>
      <w:r>
        <w:rPr>
          <w:rFonts w:ascii="Arial" w:hAnsi="Arial" w:eastAsia="Arial" w:cs="Arial"/>
          <w:b/>
        </w:rPr>
        <w:t>54.113.758,00</w:t>
      </w:r>
      <w:r>
        <w:rPr>
          <w:rFonts w:ascii="Arial" w:hAnsi="Arial" w:eastAsia="Arial" w:cs="Arial"/>
          <w:b/>
          <w:color w:val="000000"/>
        </w:rPr>
        <w:t xml:space="preserve"> (Cinquenta e quatro milhões, cento e treze mil e setecentos e cinquenta e oito reais),</w:t>
      </w:r>
    </w:p>
    <w:p w14:paraId="123C6F45">
      <w:pPr>
        <w:rPr>
          <w:rFonts w:ascii="Arial" w:hAnsi="Arial" w:eastAsia="Arial" w:cs="Arial"/>
          <w:b/>
        </w:rPr>
      </w:pPr>
    </w:p>
    <w:p w14:paraId="33856077">
      <w:pPr>
        <w:jc w:val="both"/>
        <w:rPr>
          <w:rFonts w:ascii="Arial" w:hAnsi="Arial" w:eastAsia="Arial" w:cs="Arial"/>
          <w:b/>
        </w:rPr>
      </w:pPr>
      <w:r>
        <w:rPr>
          <w:rFonts w:ascii="Arial" w:hAnsi="Arial" w:eastAsia="Arial" w:cs="Arial"/>
          <w:b/>
        </w:rPr>
        <w:t>1.3. Data</w:t>
      </w:r>
      <w:r>
        <w:rPr>
          <w:rFonts w:ascii="Arial" w:hAnsi="Arial" w:eastAsia="Arial" w:cs="Arial"/>
          <w:b/>
          <w:color w:val="FF0000"/>
        </w:rPr>
        <w:t xml:space="preserve">: </w:t>
      </w:r>
      <w:r>
        <w:rPr>
          <w:rFonts w:hint="default" w:ascii="Arial" w:hAnsi="Arial" w:eastAsia="Arial" w:cs="Arial"/>
          <w:b/>
          <w:color w:val="FF0000"/>
          <w:lang w:val="pt-BR"/>
        </w:rPr>
        <w:t>22</w:t>
      </w:r>
      <w:r>
        <w:rPr>
          <w:rFonts w:ascii="Arial" w:hAnsi="Arial" w:eastAsia="Arial" w:cs="Arial"/>
          <w:b/>
          <w:color w:val="FF0000"/>
        </w:rPr>
        <w:t>/</w:t>
      </w:r>
      <w:r>
        <w:rPr>
          <w:rFonts w:hint="default" w:ascii="Arial" w:hAnsi="Arial" w:eastAsia="Arial" w:cs="Arial"/>
          <w:b/>
          <w:color w:val="FF0000"/>
          <w:lang w:val="pt-BR"/>
        </w:rPr>
        <w:t>08</w:t>
      </w:r>
      <w:r>
        <w:rPr>
          <w:rFonts w:ascii="Arial" w:hAnsi="Arial" w:eastAsia="Arial" w:cs="Arial"/>
          <w:b/>
          <w:color w:val="FF0000"/>
        </w:rPr>
        <w:t>/2025</w:t>
      </w:r>
      <w:r>
        <w:rPr>
          <w:rFonts w:ascii="Arial" w:hAnsi="Arial" w:eastAsia="Arial" w:cs="Arial"/>
          <w:b/>
          <w:color w:val="000000"/>
        </w:rPr>
        <w:t>,</w:t>
      </w:r>
      <w:r>
        <w:rPr>
          <w:rFonts w:ascii="Arial" w:hAnsi="Arial" w:eastAsia="Arial" w:cs="Arial"/>
          <w:b/>
        </w:rPr>
        <w:t xml:space="preserve"> Horário Brasília: </w:t>
      </w:r>
      <w:r>
        <w:rPr>
          <w:rFonts w:ascii="Arial" w:hAnsi="Arial" w:eastAsia="Arial" w:cs="Arial"/>
          <w:b/>
          <w:color w:val="FF0000"/>
        </w:rPr>
        <w:t>09:30hs</w:t>
      </w:r>
      <w:r>
        <w:rPr>
          <w:rFonts w:ascii="Arial" w:hAnsi="Arial" w:eastAsia="Arial" w:cs="Arial"/>
          <w:b/>
        </w:rPr>
        <w:t xml:space="preserve">, </w:t>
      </w:r>
      <w:r>
        <w:rPr>
          <w:rFonts w:ascii="Arial" w:hAnsi="Arial" w:eastAsia="Arial" w:cs="Arial"/>
        </w:rPr>
        <w:t>Endereço:</w:t>
      </w:r>
      <w:r>
        <w:rPr>
          <w:rFonts w:ascii="Arial" w:hAnsi="Arial" w:eastAsia="Arial" w:cs="Arial"/>
          <w:b/>
        </w:rPr>
        <w:t xml:space="preserve"> Prefeitura Municipal de Rondonópolis </w:t>
      </w:r>
      <w:r>
        <w:rPr>
          <w:rFonts w:ascii="Arial" w:hAnsi="Arial" w:eastAsia="Arial" w:cs="Arial"/>
        </w:rPr>
        <w:t>-</w:t>
      </w:r>
      <w:r>
        <w:rPr>
          <w:rFonts w:ascii="Arial" w:hAnsi="Arial" w:eastAsia="Arial" w:cs="Arial"/>
          <w:b/>
        </w:rPr>
        <w:t xml:space="preserve"> </w:t>
      </w:r>
      <w:r>
        <w:rPr>
          <w:rFonts w:ascii="Arial" w:hAnsi="Arial" w:eastAsia="Arial" w:cs="Arial"/>
        </w:rPr>
        <w:t>Estado de Mato Grosso</w:t>
      </w:r>
      <w:r>
        <w:rPr>
          <w:rFonts w:ascii="Arial" w:hAnsi="Arial" w:eastAsia="Arial" w:cs="Arial"/>
          <w:b/>
        </w:rPr>
        <w:t xml:space="preserve">, </w:t>
      </w:r>
      <w:r>
        <w:rPr>
          <w:rFonts w:ascii="Arial" w:hAnsi="Arial" w:eastAsia="Arial" w:cs="Arial"/>
        </w:rPr>
        <w:t>Avenida Duque de Caxias n.º 1.000, CEP: 78.740-022, Bairro: Vila Aurora -</w:t>
      </w:r>
      <w:r>
        <w:rPr>
          <w:rFonts w:ascii="Arial" w:hAnsi="Arial" w:eastAsia="Arial" w:cs="Arial"/>
          <w:b/>
        </w:rPr>
        <w:t xml:space="preserve"> Sala de Licitações – PISO SUPERIOR.</w:t>
      </w:r>
    </w:p>
    <w:p w14:paraId="1ED28A20">
      <w:pPr>
        <w:jc w:val="both"/>
        <w:rPr>
          <w:rFonts w:ascii="Arial" w:hAnsi="Arial" w:eastAsia="Arial" w:cs="Arial"/>
          <w:b/>
        </w:rPr>
      </w:pPr>
    </w:p>
    <w:p w14:paraId="0E09BFC0">
      <w:pPr>
        <w:jc w:val="both"/>
        <w:rPr>
          <w:rFonts w:ascii="Arial" w:hAnsi="Arial" w:eastAsia="Arial" w:cs="Arial"/>
        </w:rPr>
      </w:pPr>
      <w:r>
        <w:rPr>
          <w:rFonts w:ascii="Arial" w:hAnsi="Arial" w:eastAsia="Arial" w:cs="Arial"/>
          <w:b/>
        </w:rPr>
        <w:t>1.4.</w:t>
      </w:r>
      <w:r>
        <w:rPr>
          <w:rFonts w:ascii="Arial" w:hAnsi="Arial" w:eastAsia="Arial" w:cs="Arial"/>
        </w:rPr>
        <w:t xml:space="preserve"> O Pregão Eletrônico será realizado em sessão pública, por meio da INTERNET, mediante condições de segurança - criptografia e autenticação em todas as suas fases. Os trabalhos serão conduzidos por servidor integrante do quadro da Prefeitura Municipal, denominado </w:t>
      </w:r>
      <w:r>
        <w:rPr>
          <w:rFonts w:ascii="Arial" w:hAnsi="Arial" w:eastAsia="Arial" w:cs="Arial"/>
          <w:b/>
        </w:rPr>
        <w:t>Pregoeiro</w:t>
      </w:r>
      <w:r>
        <w:rPr>
          <w:rFonts w:ascii="Arial" w:hAnsi="Arial" w:eastAsia="Arial" w:cs="Arial"/>
        </w:rPr>
        <w:t xml:space="preserve">, mediante a inserção e monitoramento de dados gerados ou transferidos para o aplicativo, constante da página eletrônica da </w:t>
      </w:r>
      <w:r>
        <w:rPr>
          <w:rFonts w:ascii="Arial" w:hAnsi="Arial" w:eastAsia="Arial" w:cs="Arial"/>
          <w:b/>
        </w:rPr>
        <w:t xml:space="preserve">BLL– Bolsa de Licitações e Leilões: </w:t>
      </w:r>
      <w:r>
        <w:fldChar w:fldCharType="begin"/>
      </w:r>
      <w:r>
        <w:instrText xml:space="preserve"> HYPERLINK "http://www.bllcompras.org.br/" \h </w:instrText>
      </w:r>
      <w:r>
        <w:fldChar w:fldCharType="separate"/>
      </w:r>
      <w:r>
        <w:rPr>
          <w:rFonts w:ascii="Arial" w:hAnsi="Arial" w:eastAsia="Arial" w:cs="Arial"/>
          <w:b/>
          <w:color w:val="0000FF"/>
          <w:u w:val="single"/>
        </w:rPr>
        <w:t>bllcompras.com</w:t>
      </w:r>
      <w:r>
        <w:rPr>
          <w:rFonts w:ascii="Arial" w:hAnsi="Arial" w:eastAsia="Arial" w:cs="Arial"/>
          <w:b/>
          <w:color w:val="0000FF"/>
          <w:u w:val="single"/>
        </w:rPr>
        <w:fldChar w:fldCharType="end"/>
      </w:r>
      <w:r>
        <w:rPr>
          <w:rFonts w:ascii="Arial" w:hAnsi="Arial" w:eastAsia="Arial" w:cs="Arial"/>
        </w:rPr>
        <w:t xml:space="preserve">. </w:t>
      </w:r>
    </w:p>
    <w:p w14:paraId="270DDF3A">
      <w:pPr>
        <w:jc w:val="both"/>
        <w:rPr>
          <w:rFonts w:ascii="Arial" w:hAnsi="Arial" w:eastAsia="Arial" w:cs="Arial"/>
        </w:rPr>
      </w:pPr>
    </w:p>
    <w:p w14:paraId="5A396991">
      <w:pPr>
        <w:jc w:val="both"/>
        <w:rPr>
          <w:rFonts w:ascii="Arial" w:hAnsi="Arial" w:eastAsia="Arial" w:cs="Arial"/>
        </w:rPr>
      </w:pPr>
      <w:r>
        <w:rPr>
          <w:rFonts w:ascii="Arial" w:hAnsi="Arial" w:eastAsia="Arial" w:cs="Arial"/>
          <w:b/>
        </w:rPr>
        <w:t>1.5.</w:t>
      </w:r>
      <w:r>
        <w:rPr>
          <w:rFonts w:ascii="Arial" w:hAnsi="Arial" w:eastAsia="Arial" w:cs="Arial"/>
        </w:rPr>
        <w:t xml:space="preserve"> As propostas comerciais serão recebidas a partir das </w:t>
      </w:r>
      <w:r>
        <w:rPr>
          <w:rFonts w:ascii="Arial" w:hAnsi="Arial" w:eastAsia="Arial" w:cs="Arial"/>
          <w:b/>
          <w:color w:val="FF0000"/>
        </w:rPr>
        <w:t>12:00 horas</w:t>
      </w:r>
      <w:r>
        <w:rPr>
          <w:rFonts w:ascii="Arial" w:hAnsi="Arial" w:eastAsia="Arial" w:cs="Arial"/>
          <w:color w:val="FF0000"/>
        </w:rPr>
        <w:t xml:space="preserve"> </w:t>
      </w:r>
      <w:r>
        <w:rPr>
          <w:rFonts w:ascii="Arial" w:hAnsi="Arial" w:eastAsia="Arial" w:cs="Arial"/>
        </w:rPr>
        <w:t xml:space="preserve">do dia </w:t>
      </w:r>
      <w:r>
        <w:rPr>
          <w:rFonts w:hint="default" w:ascii="Arial" w:hAnsi="Arial" w:eastAsia="Arial" w:cs="Arial"/>
          <w:b/>
          <w:color w:val="FF0000"/>
          <w:lang w:val="pt-BR"/>
        </w:rPr>
        <w:t>04/08</w:t>
      </w:r>
      <w:r>
        <w:rPr>
          <w:rFonts w:ascii="Arial" w:hAnsi="Arial" w:eastAsia="Arial" w:cs="Arial"/>
          <w:b/>
          <w:color w:val="FF0000"/>
        </w:rPr>
        <w:t>/2025</w:t>
      </w:r>
      <w:r>
        <w:rPr>
          <w:rFonts w:ascii="Arial" w:hAnsi="Arial" w:eastAsia="Arial" w:cs="Arial"/>
          <w:color w:val="FF0000"/>
        </w:rPr>
        <w:t xml:space="preserve"> </w:t>
      </w:r>
      <w:r>
        <w:rPr>
          <w:rFonts w:ascii="Arial" w:hAnsi="Arial" w:eastAsia="Arial" w:cs="Arial"/>
        </w:rPr>
        <w:t xml:space="preserve">até às </w:t>
      </w:r>
      <w:r>
        <w:rPr>
          <w:rFonts w:ascii="Arial" w:hAnsi="Arial" w:eastAsia="Arial" w:cs="Arial"/>
          <w:b/>
          <w:color w:val="FF0000"/>
        </w:rPr>
        <w:t>09h00</w:t>
      </w:r>
      <w:r>
        <w:rPr>
          <w:rFonts w:ascii="Arial" w:hAnsi="Arial" w:eastAsia="Arial" w:cs="Arial"/>
        </w:rPr>
        <w:t xml:space="preserve"> do dia </w:t>
      </w:r>
      <w:r>
        <w:rPr>
          <w:rFonts w:hint="default" w:ascii="Arial" w:hAnsi="Arial" w:eastAsia="Arial" w:cs="Arial"/>
          <w:b/>
          <w:color w:val="FF0000"/>
          <w:lang w:val="pt-BR"/>
        </w:rPr>
        <w:t>22</w:t>
      </w:r>
      <w:r>
        <w:rPr>
          <w:rFonts w:ascii="Arial" w:hAnsi="Arial" w:eastAsia="Arial" w:cs="Arial"/>
          <w:b/>
          <w:color w:val="FF0000"/>
        </w:rPr>
        <w:t>/</w:t>
      </w:r>
      <w:r>
        <w:rPr>
          <w:rFonts w:hint="default" w:ascii="Arial" w:hAnsi="Arial" w:eastAsia="Arial" w:cs="Arial"/>
          <w:b/>
          <w:color w:val="FF0000"/>
          <w:lang w:val="pt-BR"/>
        </w:rPr>
        <w:t>08</w:t>
      </w:r>
      <w:r>
        <w:rPr>
          <w:rFonts w:ascii="Arial" w:hAnsi="Arial" w:eastAsia="Arial" w:cs="Arial"/>
          <w:b/>
          <w:color w:val="FF0000"/>
        </w:rPr>
        <w:t>/2025</w:t>
      </w:r>
      <w:r>
        <w:rPr>
          <w:rFonts w:ascii="Arial" w:hAnsi="Arial" w:eastAsia="Arial" w:cs="Arial"/>
        </w:rPr>
        <w:t xml:space="preserve">, (horário de Brasília) por meio do endereço www.bllcompras.com, onde se encontra o link para o “Acesso Identificado”, podendo os interessados cadastrar ou substituir propostas no sistema eletrônico; </w:t>
      </w:r>
    </w:p>
    <w:p w14:paraId="6793D40A">
      <w:pPr>
        <w:jc w:val="both"/>
        <w:rPr>
          <w:rFonts w:ascii="Arial" w:hAnsi="Arial" w:eastAsia="Arial" w:cs="Arial"/>
        </w:rPr>
      </w:pPr>
    </w:p>
    <w:p w14:paraId="2D3A60D8">
      <w:pPr>
        <w:jc w:val="both"/>
        <w:rPr>
          <w:rFonts w:ascii="Arial" w:hAnsi="Arial" w:eastAsia="Arial" w:cs="Arial"/>
        </w:rPr>
      </w:pPr>
      <w:r>
        <w:rPr>
          <w:rFonts w:ascii="Arial" w:hAnsi="Arial" w:eastAsia="Arial" w:cs="Arial"/>
          <w:b/>
        </w:rPr>
        <w:t>1.6.</w:t>
      </w:r>
      <w:r>
        <w:rPr>
          <w:rFonts w:ascii="Arial" w:hAnsi="Arial" w:eastAsia="Arial" w:cs="Arial"/>
        </w:rPr>
        <w:t xml:space="preserve"> As propostas serão abertas às </w:t>
      </w:r>
      <w:r>
        <w:rPr>
          <w:rFonts w:ascii="Arial" w:hAnsi="Arial" w:eastAsia="Arial" w:cs="Arial"/>
          <w:b/>
          <w:color w:val="FF0000"/>
        </w:rPr>
        <w:t>09h00</w:t>
      </w:r>
      <w:r>
        <w:rPr>
          <w:rFonts w:ascii="Arial" w:hAnsi="Arial" w:eastAsia="Arial" w:cs="Arial"/>
        </w:rPr>
        <w:t xml:space="preserve"> do dia </w:t>
      </w:r>
      <w:r>
        <w:rPr>
          <w:rFonts w:hint="default" w:ascii="Arial" w:hAnsi="Arial" w:eastAsia="Arial" w:cs="Arial"/>
          <w:b/>
          <w:color w:val="FF0000"/>
          <w:lang w:val="pt-BR"/>
        </w:rPr>
        <w:t>22/08</w:t>
      </w:r>
      <w:r>
        <w:rPr>
          <w:rFonts w:ascii="Arial" w:hAnsi="Arial" w:eastAsia="Arial" w:cs="Arial"/>
          <w:b/>
          <w:color w:val="FF0000"/>
        </w:rPr>
        <w:t>/2025</w:t>
      </w:r>
      <w:r>
        <w:rPr>
          <w:rFonts w:ascii="Arial" w:hAnsi="Arial" w:eastAsia="Arial" w:cs="Arial"/>
        </w:rPr>
        <w:t xml:space="preserve"> (horário de Brasília). Mesmo horário. </w:t>
      </w:r>
    </w:p>
    <w:p w14:paraId="33A216CF">
      <w:pPr>
        <w:jc w:val="both"/>
        <w:rPr>
          <w:rFonts w:ascii="Arial" w:hAnsi="Arial" w:eastAsia="Arial" w:cs="Arial"/>
        </w:rPr>
      </w:pPr>
    </w:p>
    <w:p w14:paraId="6C51E2F5">
      <w:pPr>
        <w:jc w:val="both"/>
        <w:rPr>
          <w:rFonts w:ascii="Arial" w:hAnsi="Arial" w:eastAsia="Arial" w:cs="Arial"/>
        </w:rPr>
      </w:pPr>
      <w:r>
        <w:rPr>
          <w:rFonts w:ascii="Arial" w:hAnsi="Arial" w:eastAsia="Arial" w:cs="Arial"/>
          <w:b/>
        </w:rPr>
        <w:t>1.7.</w:t>
      </w:r>
      <w:r>
        <w:rPr>
          <w:rFonts w:ascii="Arial" w:hAnsi="Arial" w:eastAsia="Arial" w:cs="Arial"/>
        </w:rPr>
        <w:t xml:space="preserve"> O início da sessão de disputa de preços ocorrerá às </w:t>
      </w:r>
      <w:r>
        <w:rPr>
          <w:rFonts w:ascii="Arial" w:hAnsi="Arial" w:eastAsia="Arial" w:cs="Arial"/>
          <w:b/>
          <w:color w:val="FF0000"/>
        </w:rPr>
        <w:t>09h30</w:t>
      </w:r>
      <w:r>
        <w:rPr>
          <w:rFonts w:ascii="Arial" w:hAnsi="Arial" w:eastAsia="Arial" w:cs="Arial"/>
        </w:rPr>
        <w:t xml:space="preserve"> do dia </w:t>
      </w:r>
      <w:r>
        <w:rPr>
          <w:rFonts w:hint="default" w:ascii="Arial" w:hAnsi="Arial" w:eastAsia="Arial" w:cs="Arial"/>
          <w:b/>
          <w:color w:val="FF0000"/>
          <w:lang w:val="pt-BR"/>
        </w:rPr>
        <w:t>22/08</w:t>
      </w:r>
      <w:r>
        <w:rPr>
          <w:rFonts w:ascii="Arial" w:hAnsi="Arial" w:eastAsia="Arial" w:cs="Arial"/>
          <w:b/>
          <w:color w:val="FF0000"/>
        </w:rPr>
        <w:t>/</w:t>
      </w:r>
      <w:bookmarkStart w:id="67" w:name="_GoBack"/>
      <w:bookmarkEnd w:id="67"/>
      <w:r>
        <w:rPr>
          <w:rFonts w:ascii="Arial" w:hAnsi="Arial" w:eastAsia="Arial" w:cs="Arial"/>
          <w:b/>
          <w:color w:val="FF0000"/>
        </w:rPr>
        <w:t>2025</w:t>
      </w:r>
      <w:r>
        <w:rPr>
          <w:rFonts w:ascii="Arial" w:hAnsi="Arial" w:eastAsia="Arial" w:cs="Arial"/>
        </w:rPr>
        <w:t xml:space="preserve"> (horário de Brasília). Mesmo horário.</w:t>
      </w:r>
    </w:p>
    <w:p w14:paraId="1C7CB017">
      <w:pPr>
        <w:jc w:val="both"/>
        <w:rPr>
          <w:rFonts w:ascii="Arial" w:hAnsi="Arial" w:eastAsia="Arial" w:cs="Arial"/>
        </w:rPr>
      </w:pPr>
    </w:p>
    <w:p w14:paraId="767C2929">
      <w:pPr>
        <w:jc w:val="both"/>
        <w:rPr>
          <w:rFonts w:ascii="Arial" w:hAnsi="Arial" w:eastAsia="Arial" w:cs="Arial"/>
        </w:rPr>
      </w:pPr>
      <w:r>
        <w:rPr>
          <w:rFonts w:ascii="Arial" w:hAnsi="Arial" w:eastAsia="Arial" w:cs="Arial"/>
          <w:b/>
        </w:rPr>
        <w:t>1.8.</w:t>
      </w:r>
      <w:r>
        <w:rPr>
          <w:rFonts w:ascii="Arial" w:hAnsi="Arial" w:eastAsia="Arial" w:cs="Arial"/>
        </w:rPr>
        <w:t xml:space="preserve"> O número da Licitação no </w:t>
      </w:r>
      <w:r>
        <w:rPr>
          <w:rFonts w:ascii="Arial" w:hAnsi="Arial" w:eastAsia="Arial" w:cs="Arial"/>
          <w:b/>
        </w:rPr>
        <w:t>site da BLL é Pregão Eletrônico n.º XX/2025 e Processo n.º XX/2025</w:t>
      </w:r>
      <w:r>
        <w:rPr>
          <w:rFonts w:ascii="Arial" w:hAnsi="Arial" w:eastAsia="Arial" w:cs="Arial"/>
        </w:rPr>
        <w:t xml:space="preserve"> e nome utilizado é </w:t>
      </w:r>
      <w:r>
        <w:rPr>
          <w:rFonts w:ascii="Arial" w:hAnsi="Arial" w:eastAsia="Arial" w:cs="Arial"/>
          <w:b/>
        </w:rPr>
        <w:t>Prefeitura Municipal de Rondonópolis – MT.</w:t>
      </w:r>
    </w:p>
    <w:p w14:paraId="1443FCB0">
      <w:pPr>
        <w:jc w:val="both"/>
        <w:rPr>
          <w:rFonts w:ascii="Arial" w:hAnsi="Arial" w:eastAsia="Arial" w:cs="Arial"/>
          <w:b/>
        </w:rPr>
      </w:pPr>
    </w:p>
    <w:p w14:paraId="0F41A9E8">
      <w:pPr>
        <w:jc w:val="both"/>
        <w:rPr>
          <w:rFonts w:ascii="Arial" w:hAnsi="Arial" w:eastAsia="Arial" w:cs="Arial"/>
        </w:rPr>
      </w:pPr>
      <w:r>
        <w:rPr>
          <w:rFonts w:ascii="Arial" w:hAnsi="Arial" w:eastAsia="Arial" w:cs="Arial"/>
          <w:b/>
        </w:rPr>
        <w:t xml:space="preserve">1.9. FUNDAMENTO LEGAL: </w:t>
      </w:r>
      <w:r>
        <w:rPr>
          <w:rFonts w:ascii="Arial" w:hAnsi="Arial" w:eastAsia="Arial" w:cs="Arial"/>
        </w:rPr>
        <w:t xml:space="preserve">O Município de Rondonópolis, Estado de Mato Grosso, mediante ao (a) Pregoeiro (a) e Equipe de Apoio, designada pela Portaria nº 37.162 de 16 de janeiro de 2025 torna público para conhecimento dos interessados que esta licitação é regida </w:t>
      </w:r>
      <w:r>
        <w:rPr>
          <w:rFonts w:ascii="Arial" w:hAnsi="Arial" w:eastAsia="Arial" w:cs="Arial"/>
          <w:color w:val="000000"/>
        </w:rPr>
        <w:t xml:space="preserve">nos termos da </w:t>
      </w:r>
      <w:r>
        <w:rPr>
          <w:rFonts w:ascii="Arial" w:hAnsi="Arial" w:eastAsia="Arial" w:cs="Arial"/>
          <w:b/>
        </w:rPr>
        <w:t>Lei nº 14.133, de 1º de abril de 2021, Decreto nº 11.462, de 31 de março de 2023</w:t>
      </w:r>
      <w:r>
        <w:rPr>
          <w:rFonts w:ascii="Arial" w:hAnsi="Arial" w:eastAsia="Arial" w:cs="Arial"/>
        </w:rPr>
        <w:t xml:space="preserve"> e </w:t>
      </w:r>
      <w:r>
        <w:rPr>
          <w:rFonts w:ascii="Arial" w:hAnsi="Arial" w:eastAsia="Arial" w:cs="Arial"/>
          <w:b/>
        </w:rPr>
        <w:t>Decreto nº 11.685, de 18 de setembro de 2023</w:t>
      </w:r>
      <w:r>
        <w:rPr>
          <w:rFonts w:ascii="Arial" w:hAnsi="Arial" w:eastAsia="Arial" w:cs="Arial"/>
        </w:rPr>
        <w:t>, e demais legislação aplicável e, ainda, de acordo com as condições estabelecidas neste Edital.</w:t>
      </w:r>
    </w:p>
    <w:p w14:paraId="651FE512">
      <w:pPr>
        <w:jc w:val="both"/>
        <w:rPr>
          <w:rFonts w:ascii="Arial" w:hAnsi="Arial" w:eastAsia="Arial" w:cs="Arial"/>
        </w:rPr>
      </w:pPr>
    </w:p>
    <w:p w14:paraId="13A3E1CC">
      <w:pPr>
        <w:pStyle w:val="2"/>
        <w:spacing w:before="0" w:after="0"/>
        <w:rPr>
          <w:sz w:val="20"/>
          <w:szCs w:val="20"/>
          <w:lang w:val="pt-BR"/>
        </w:rPr>
      </w:pPr>
      <w:bookmarkStart w:id="4" w:name="_heading=h.ph56bqv1gu93"/>
      <w:bookmarkEnd w:id="4"/>
      <w:r>
        <w:rPr>
          <w:sz w:val="20"/>
          <w:szCs w:val="20"/>
          <w:lang w:val="pt-BR"/>
        </w:rPr>
        <w:t>2. DO OBJETO:</w:t>
      </w:r>
    </w:p>
    <w:p w14:paraId="111A0510"/>
    <w:p w14:paraId="2E40E1E6">
      <w:pPr>
        <w:jc w:val="both"/>
        <w:rPr>
          <w:rFonts w:ascii="Arial" w:hAnsi="Arial" w:eastAsia="Arial" w:cs="Arial"/>
          <w:b/>
          <w:i/>
        </w:rPr>
      </w:pPr>
      <w:bookmarkStart w:id="5" w:name="_heading=h.2npcc1zfl4lo"/>
      <w:bookmarkEnd w:id="5"/>
      <w:r>
        <w:rPr>
          <w:rFonts w:ascii="Arial" w:hAnsi="Arial" w:eastAsia="Arial" w:cs="Arial"/>
          <w:b/>
        </w:rPr>
        <w:t>2.1.</w:t>
      </w:r>
      <w:r>
        <w:rPr>
          <w:rFonts w:ascii="Arial" w:hAnsi="Arial" w:eastAsia="Arial" w:cs="Arial"/>
        </w:rPr>
        <w:t xml:space="preserve"> O objeto da presente licitação é</w:t>
      </w:r>
      <w:r>
        <w:rPr>
          <w:rFonts w:ascii="Arial" w:hAnsi="Arial" w:eastAsia="Arial" w:cs="Arial"/>
          <w:color w:val="000000"/>
        </w:rPr>
        <w:t xml:space="preserve"> </w:t>
      </w:r>
      <w:r>
        <w:rPr>
          <w:rFonts w:ascii="Arial" w:hAnsi="Arial" w:eastAsia="Arial" w:cs="Arial"/>
          <w:b/>
          <w:color w:val="000000"/>
        </w:rPr>
        <w:t>R</w:t>
      </w:r>
      <w:r>
        <w:rPr>
          <w:rFonts w:ascii="Arial" w:hAnsi="Arial" w:eastAsia="Arial" w:cs="Arial"/>
          <w:b/>
          <w:i/>
        </w:rPr>
        <w:t>EGISTRO DE PREÇO PARA FUTURA E EVENTUAL Contratação de empresa especializada na prestação de serviços de nutrição e fornecimento de alimentação escolar, abrangendo o fornecimento de gêneros alimentícios, preparo, cocção, transporte, armazenamento, distribuição das refeições, fornecimento de gás GLP, e todos os demais insumos, bem como a higienização e o acompanhamento nutricional, destinados ao atendimento dos alunos regularmente matriculados na rede pública municipal de ensino de Rondonópolis/MT., por meio de licitações públicas para atender as necessidades da Secretaria Municipal de Educação, Cultura, Esporte e Lazer de Rondonópolis-MT, conforme especificações e quantitativos estabelecidos no Edital e seus anexos.</w:t>
      </w:r>
    </w:p>
    <w:p w14:paraId="0A26F90B">
      <w:pPr>
        <w:jc w:val="both"/>
        <w:rPr>
          <w:rFonts w:ascii="Arial" w:hAnsi="Arial" w:eastAsia="Arial" w:cs="Arial"/>
          <w:b/>
          <w:i/>
        </w:rPr>
      </w:pPr>
    </w:p>
    <w:p w14:paraId="142CCF39">
      <w:pPr>
        <w:jc w:val="both"/>
        <w:rPr>
          <w:rFonts w:ascii="Arial" w:hAnsi="Arial" w:cs="Arial"/>
          <w:b/>
          <w:i/>
        </w:rPr>
      </w:pPr>
      <w:r>
        <w:rPr>
          <w:rFonts w:ascii="Arial" w:hAnsi="Arial" w:cs="Arial"/>
          <w:b/>
          <w:i/>
        </w:rPr>
        <w:t>2.1.1 Especificações detalhadas dos itens a serem contratados</w:t>
      </w:r>
    </w:p>
    <w:p w14:paraId="16168857">
      <w:pPr>
        <w:jc w:val="both"/>
        <w:rPr>
          <w:rFonts w:ascii="Arial" w:hAnsi="Arial" w:cs="Arial"/>
        </w:rPr>
      </w:pPr>
    </w:p>
    <w:p w14:paraId="797921C8">
      <w:pPr>
        <w:jc w:val="both"/>
        <w:rPr>
          <w:rFonts w:ascii="Arial" w:hAnsi="Arial" w:eastAsia="Arial" w:cs="Arial"/>
          <w:b/>
          <w:i/>
        </w:rPr>
      </w:pPr>
      <w:r>
        <w:rPr>
          <w:rFonts w:ascii="Arial" w:hAnsi="Arial" w:cs="Arial"/>
        </w:rPr>
        <w:t>Em complemento ao objeto definido no item 2.1, seguem abaixo os itens que compõem o objeto a ser contratado, com suas respectivas descrições, unidades de fornecimento e quantitativos, conforme Termo de Referência e Edital:</w:t>
      </w:r>
    </w:p>
    <w:p w14:paraId="3711EDFE">
      <w:pPr>
        <w:jc w:val="both"/>
        <w:rPr>
          <w:rFonts w:ascii="Arial" w:hAnsi="Arial" w:eastAsia="Arial" w:cs="Arial"/>
          <w:b/>
          <w:i/>
        </w:rPr>
      </w:pPr>
    </w:p>
    <w:tbl>
      <w:tblPr>
        <w:tblStyle w:val="12"/>
        <w:tblW w:w="9975" w:type="dxa"/>
        <w:tblInd w:w="65" w:type="dxa"/>
        <w:tblLayout w:type="fixed"/>
        <w:tblCellMar>
          <w:top w:w="0" w:type="dxa"/>
          <w:left w:w="108" w:type="dxa"/>
          <w:bottom w:w="0" w:type="dxa"/>
          <w:right w:w="108" w:type="dxa"/>
        </w:tblCellMar>
      </w:tblPr>
      <w:tblGrid>
        <w:gridCol w:w="1065"/>
        <w:gridCol w:w="3299"/>
        <w:gridCol w:w="1699"/>
        <w:gridCol w:w="1426"/>
        <w:gridCol w:w="850"/>
        <w:gridCol w:w="1636"/>
      </w:tblGrid>
      <w:tr w14:paraId="4003CFD6">
        <w:tblPrEx>
          <w:tblCellMar>
            <w:top w:w="0" w:type="dxa"/>
            <w:left w:w="108" w:type="dxa"/>
            <w:bottom w:w="0" w:type="dxa"/>
            <w:right w:w="108" w:type="dxa"/>
          </w:tblCellMar>
        </w:tblPrEx>
        <w:tc>
          <w:tcPr>
            <w:tcW w:w="1064" w:type="dxa"/>
            <w:tcBorders>
              <w:top w:val="single" w:color="000000" w:sz="4" w:space="0"/>
              <w:left w:val="single" w:color="000000" w:sz="4" w:space="0"/>
              <w:bottom w:val="single" w:color="000000" w:sz="4" w:space="0"/>
            </w:tcBorders>
            <w:shd w:val="clear" w:color="auto" w:fill="DDDDDD"/>
            <w:vAlign w:val="center"/>
          </w:tcPr>
          <w:p w14:paraId="45E3F853">
            <w:pPr>
              <w:widowControl w:val="0"/>
              <w:spacing w:before="57" w:after="57" w:line="192" w:lineRule="auto"/>
              <w:jc w:val="center"/>
              <w:rPr>
                <w:rFonts w:ascii="Arial" w:hAnsi="Arial" w:eastAsia="Arial" w:cs="Arial"/>
                <w:b/>
              </w:rPr>
            </w:pPr>
            <w:r>
              <w:rPr>
                <w:rFonts w:ascii="Arial" w:hAnsi="Arial" w:eastAsia="Arial" w:cs="Arial"/>
                <w:b/>
              </w:rPr>
              <w:t>CÓD.</w:t>
            </w:r>
          </w:p>
        </w:tc>
        <w:tc>
          <w:tcPr>
            <w:tcW w:w="3299" w:type="dxa"/>
            <w:tcBorders>
              <w:top w:val="single" w:color="000000" w:sz="4" w:space="0"/>
              <w:left w:val="single" w:color="000000" w:sz="4" w:space="0"/>
              <w:bottom w:val="single" w:color="000000" w:sz="4" w:space="0"/>
            </w:tcBorders>
            <w:shd w:val="clear" w:color="auto" w:fill="DDDDDD"/>
            <w:vAlign w:val="center"/>
          </w:tcPr>
          <w:p w14:paraId="55BA53D4">
            <w:pPr>
              <w:widowControl w:val="0"/>
              <w:spacing w:before="57" w:after="57" w:line="192" w:lineRule="auto"/>
              <w:jc w:val="center"/>
              <w:rPr>
                <w:rFonts w:ascii="Arial" w:hAnsi="Arial" w:eastAsia="Arial" w:cs="Arial"/>
                <w:b/>
              </w:rPr>
            </w:pPr>
            <w:r>
              <w:rPr>
                <w:rFonts w:ascii="Arial" w:hAnsi="Arial" w:eastAsia="Arial" w:cs="Arial"/>
                <w:b/>
              </w:rPr>
              <w:t>Modalidade</w:t>
            </w:r>
          </w:p>
        </w:tc>
        <w:tc>
          <w:tcPr>
            <w:tcW w:w="1699" w:type="dxa"/>
            <w:tcBorders>
              <w:top w:val="single" w:color="000000" w:sz="4" w:space="0"/>
              <w:left w:val="single" w:color="000000" w:sz="4" w:space="0"/>
              <w:bottom w:val="single" w:color="000000" w:sz="4" w:space="0"/>
            </w:tcBorders>
            <w:shd w:val="clear" w:color="auto" w:fill="DDDDDD"/>
            <w:vAlign w:val="center"/>
          </w:tcPr>
          <w:p w14:paraId="682ED763">
            <w:pPr>
              <w:widowControl w:val="0"/>
              <w:spacing w:before="57" w:after="57" w:line="192" w:lineRule="auto"/>
              <w:jc w:val="center"/>
              <w:rPr>
                <w:rFonts w:ascii="Arial" w:hAnsi="Arial" w:eastAsia="Arial" w:cs="Arial"/>
                <w:b/>
              </w:rPr>
            </w:pPr>
            <w:r>
              <w:rPr>
                <w:rFonts w:ascii="Arial" w:hAnsi="Arial" w:eastAsia="Arial" w:cs="Arial"/>
                <w:b/>
              </w:rPr>
              <w:t>Refeição</w:t>
            </w:r>
          </w:p>
        </w:tc>
        <w:tc>
          <w:tcPr>
            <w:tcW w:w="1426" w:type="dxa"/>
            <w:tcBorders>
              <w:top w:val="single" w:color="000000" w:sz="4" w:space="0"/>
              <w:left w:val="single" w:color="000000" w:sz="4" w:space="0"/>
              <w:bottom w:val="single" w:color="000000" w:sz="4" w:space="0"/>
            </w:tcBorders>
            <w:shd w:val="clear" w:color="auto" w:fill="DDDDDD"/>
            <w:vAlign w:val="center"/>
          </w:tcPr>
          <w:p w14:paraId="6809D5F7">
            <w:pPr>
              <w:widowControl w:val="0"/>
              <w:spacing w:before="57" w:after="57" w:line="192" w:lineRule="auto"/>
              <w:ind w:left="-170" w:right="-170"/>
              <w:jc w:val="center"/>
              <w:rPr>
                <w:rFonts w:ascii="Arial" w:hAnsi="Arial" w:eastAsia="Arial" w:cs="Arial"/>
                <w:b/>
              </w:rPr>
            </w:pPr>
            <w:r>
              <w:rPr>
                <w:rFonts w:ascii="Arial" w:hAnsi="Arial" w:eastAsia="Arial" w:cs="Arial"/>
                <w:b/>
              </w:rPr>
              <w:t>Refeições / Ano</w:t>
            </w:r>
          </w:p>
        </w:tc>
        <w:tc>
          <w:tcPr>
            <w:tcW w:w="850" w:type="dxa"/>
            <w:tcBorders>
              <w:top w:val="single" w:color="000000" w:sz="4" w:space="0"/>
              <w:left w:val="single" w:color="000000" w:sz="4" w:space="0"/>
              <w:bottom w:val="single" w:color="000000" w:sz="4" w:space="0"/>
            </w:tcBorders>
            <w:shd w:val="clear" w:color="auto" w:fill="DDDDDD"/>
            <w:vAlign w:val="center"/>
          </w:tcPr>
          <w:p w14:paraId="5C625F3D">
            <w:pPr>
              <w:widowControl w:val="0"/>
              <w:spacing w:before="57" w:after="57" w:line="192" w:lineRule="auto"/>
              <w:jc w:val="center"/>
              <w:rPr>
                <w:rFonts w:ascii="Arial" w:hAnsi="Arial" w:eastAsia="Arial" w:cs="Arial"/>
                <w:b/>
              </w:rPr>
            </w:pPr>
            <w:r>
              <w:rPr>
                <w:rFonts w:ascii="Arial" w:hAnsi="Arial" w:eastAsia="Arial" w:cs="Arial"/>
                <w:b/>
              </w:rPr>
              <w:t>V. Unit.</w:t>
            </w:r>
          </w:p>
        </w:tc>
        <w:tc>
          <w:tcPr>
            <w:tcW w:w="1636" w:type="dxa"/>
            <w:tcBorders>
              <w:top w:val="single" w:color="000000" w:sz="4" w:space="0"/>
              <w:left w:val="single" w:color="000000" w:sz="4" w:space="0"/>
              <w:bottom w:val="single" w:color="000000" w:sz="4" w:space="0"/>
              <w:right w:val="single" w:color="000000" w:sz="4" w:space="0"/>
            </w:tcBorders>
            <w:shd w:val="clear" w:color="auto" w:fill="DDDDDD"/>
            <w:vAlign w:val="center"/>
          </w:tcPr>
          <w:p w14:paraId="44EC8053">
            <w:pPr>
              <w:widowControl w:val="0"/>
              <w:spacing w:before="57" w:after="57" w:line="192" w:lineRule="auto"/>
              <w:jc w:val="center"/>
              <w:rPr>
                <w:rFonts w:ascii="Arial" w:hAnsi="Arial" w:eastAsia="Arial" w:cs="Arial"/>
                <w:b/>
              </w:rPr>
            </w:pPr>
            <w:r>
              <w:rPr>
                <w:rFonts w:ascii="Arial" w:hAnsi="Arial" w:eastAsia="Arial" w:cs="Arial"/>
                <w:b/>
              </w:rPr>
              <w:t>V. Total</w:t>
            </w:r>
          </w:p>
        </w:tc>
      </w:tr>
      <w:tr w14:paraId="348C5C44">
        <w:tblPrEx>
          <w:tblCellMar>
            <w:top w:w="0" w:type="dxa"/>
            <w:left w:w="108" w:type="dxa"/>
            <w:bottom w:w="0" w:type="dxa"/>
            <w:right w:w="108" w:type="dxa"/>
          </w:tblCellMar>
        </w:tblPrEx>
        <w:trPr>
          <w:trHeight w:val="269" w:hRule="atLeast"/>
        </w:trPr>
        <w:tc>
          <w:tcPr>
            <w:tcW w:w="1064" w:type="dxa"/>
            <w:tcBorders>
              <w:top w:val="single" w:color="000000" w:sz="4" w:space="0"/>
              <w:left w:val="single" w:color="000000" w:sz="4" w:space="0"/>
              <w:bottom w:val="single" w:color="000000" w:sz="4" w:space="0"/>
            </w:tcBorders>
            <w:vAlign w:val="center"/>
          </w:tcPr>
          <w:p w14:paraId="6D491CDB">
            <w:pPr>
              <w:widowControl w:val="0"/>
              <w:jc w:val="center"/>
              <w:rPr>
                <w:rFonts w:ascii="Arial" w:hAnsi="Arial" w:eastAsia="Arial" w:cs="Arial"/>
                <w:b/>
              </w:rPr>
            </w:pPr>
            <w:r>
              <w:rPr>
                <w:rFonts w:ascii="Arial" w:hAnsi="Arial" w:eastAsia="Arial" w:cs="Arial"/>
                <w:b/>
              </w:rPr>
              <w:t>127814</w:t>
            </w:r>
          </w:p>
        </w:tc>
        <w:tc>
          <w:tcPr>
            <w:tcW w:w="3299" w:type="dxa"/>
            <w:tcBorders>
              <w:top w:val="single" w:color="000000" w:sz="4" w:space="0"/>
              <w:left w:val="single" w:color="000000" w:sz="4" w:space="0"/>
              <w:bottom w:val="single" w:color="000000" w:sz="4" w:space="0"/>
            </w:tcBorders>
            <w:vAlign w:val="center"/>
          </w:tcPr>
          <w:p w14:paraId="28E4EEC7">
            <w:pPr>
              <w:widowControl w:val="0"/>
              <w:jc w:val="center"/>
              <w:rPr>
                <w:rFonts w:ascii="Arial" w:hAnsi="Arial" w:eastAsia="Arial" w:cs="Arial"/>
              </w:rPr>
            </w:pPr>
            <w:r>
              <w:rPr>
                <w:rFonts w:ascii="Arial" w:hAnsi="Arial" w:eastAsia="Arial" w:cs="Arial"/>
              </w:rPr>
              <w:t>Creche Parcial  (matutino)</w:t>
            </w:r>
          </w:p>
        </w:tc>
        <w:tc>
          <w:tcPr>
            <w:tcW w:w="1699" w:type="dxa"/>
            <w:tcBorders>
              <w:top w:val="single" w:color="000000" w:sz="4" w:space="0"/>
              <w:left w:val="single" w:color="000000" w:sz="4" w:space="0"/>
              <w:bottom w:val="single" w:color="000000" w:sz="4" w:space="0"/>
            </w:tcBorders>
            <w:vAlign w:val="center"/>
          </w:tcPr>
          <w:p w14:paraId="71A90D73">
            <w:pPr>
              <w:widowControl w:val="0"/>
              <w:jc w:val="center"/>
              <w:rPr>
                <w:rFonts w:ascii="Arial" w:hAnsi="Arial" w:eastAsia="Arial" w:cs="Arial"/>
              </w:rPr>
            </w:pPr>
            <w:r>
              <w:rPr>
                <w:rFonts w:ascii="Arial" w:hAnsi="Arial" w:eastAsia="Arial" w:cs="Arial"/>
              </w:rPr>
              <w:t>Café da Manhã/Almoço</w:t>
            </w:r>
          </w:p>
        </w:tc>
        <w:tc>
          <w:tcPr>
            <w:tcW w:w="1426" w:type="dxa"/>
            <w:tcBorders>
              <w:top w:val="single" w:color="000000" w:sz="4" w:space="0"/>
              <w:left w:val="single" w:color="000000" w:sz="4" w:space="0"/>
              <w:bottom w:val="single" w:color="000000" w:sz="4" w:space="0"/>
            </w:tcBorders>
            <w:vAlign w:val="center"/>
          </w:tcPr>
          <w:p w14:paraId="7D75E7B7">
            <w:pPr>
              <w:widowControl w:val="0"/>
              <w:jc w:val="center"/>
              <w:rPr>
                <w:rFonts w:ascii="Arial" w:hAnsi="Arial" w:eastAsia="Arial" w:cs="Arial"/>
              </w:rPr>
            </w:pPr>
            <w:r>
              <w:rPr>
                <w:rFonts w:ascii="Arial" w:hAnsi="Arial" w:eastAsia="Arial" w:cs="Arial"/>
              </w:rPr>
              <w:t>345600</w:t>
            </w:r>
          </w:p>
        </w:tc>
        <w:tc>
          <w:tcPr>
            <w:tcW w:w="850" w:type="dxa"/>
            <w:tcBorders>
              <w:top w:val="single" w:color="000000" w:sz="4" w:space="0"/>
              <w:left w:val="single" w:color="000000" w:sz="4" w:space="0"/>
              <w:bottom w:val="single" w:color="000000" w:sz="4" w:space="0"/>
            </w:tcBorders>
            <w:vAlign w:val="center"/>
          </w:tcPr>
          <w:p w14:paraId="2F4749E6">
            <w:pPr>
              <w:widowControl w:val="0"/>
              <w:jc w:val="center"/>
              <w:rPr>
                <w:rFonts w:ascii="Arial" w:hAnsi="Arial" w:eastAsia="Arial" w:cs="Arial"/>
              </w:rPr>
            </w:pPr>
            <w:r>
              <w:rPr>
                <w:rFonts w:ascii="Arial" w:hAnsi="Arial" w:eastAsia="Arial" w:cs="Arial"/>
              </w:rPr>
              <w:t>R$ 5,47</w:t>
            </w:r>
          </w:p>
        </w:tc>
        <w:tc>
          <w:tcPr>
            <w:tcW w:w="1636" w:type="dxa"/>
            <w:tcBorders>
              <w:top w:val="single" w:color="000000" w:sz="4" w:space="0"/>
              <w:left w:val="single" w:color="000000" w:sz="4" w:space="0"/>
              <w:bottom w:val="single" w:color="000000" w:sz="4" w:space="0"/>
              <w:right w:val="single" w:color="000000" w:sz="4" w:space="0"/>
            </w:tcBorders>
            <w:vAlign w:val="center"/>
          </w:tcPr>
          <w:p w14:paraId="5CEABE1E">
            <w:pPr>
              <w:widowControl w:val="0"/>
              <w:jc w:val="center"/>
              <w:rPr>
                <w:rFonts w:ascii="Arial" w:hAnsi="Arial" w:eastAsia="Arial" w:cs="Arial"/>
              </w:rPr>
            </w:pPr>
            <w:r>
              <w:rPr>
                <w:rFonts w:ascii="Arial" w:hAnsi="Arial" w:eastAsia="Arial" w:cs="Arial"/>
              </w:rPr>
              <w:t>R$ 1.890.432,00</w:t>
            </w:r>
          </w:p>
        </w:tc>
      </w:tr>
      <w:tr w14:paraId="712AFB72">
        <w:tblPrEx>
          <w:tblCellMar>
            <w:top w:w="0" w:type="dxa"/>
            <w:left w:w="108" w:type="dxa"/>
            <w:bottom w:w="0" w:type="dxa"/>
            <w:right w:w="108" w:type="dxa"/>
          </w:tblCellMar>
        </w:tblPrEx>
        <w:trPr>
          <w:trHeight w:val="326" w:hRule="atLeast"/>
        </w:trPr>
        <w:tc>
          <w:tcPr>
            <w:tcW w:w="1064" w:type="dxa"/>
            <w:tcBorders>
              <w:left w:val="single" w:color="000000" w:sz="4" w:space="0"/>
              <w:bottom w:val="single" w:color="000000" w:sz="4" w:space="0"/>
            </w:tcBorders>
            <w:vAlign w:val="center"/>
          </w:tcPr>
          <w:p w14:paraId="07BC6E9A">
            <w:pPr>
              <w:widowControl w:val="0"/>
              <w:jc w:val="center"/>
              <w:rPr>
                <w:rFonts w:ascii="Arial" w:hAnsi="Arial" w:eastAsia="Arial" w:cs="Arial"/>
                <w:b/>
              </w:rPr>
            </w:pPr>
            <w:r>
              <w:rPr>
                <w:rFonts w:ascii="Arial" w:hAnsi="Arial" w:eastAsia="Arial" w:cs="Arial"/>
                <w:b/>
              </w:rPr>
              <w:t>127815</w:t>
            </w:r>
          </w:p>
        </w:tc>
        <w:tc>
          <w:tcPr>
            <w:tcW w:w="3299" w:type="dxa"/>
            <w:tcBorders>
              <w:left w:val="single" w:color="000000" w:sz="4" w:space="0"/>
              <w:bottom w:val="single" w:color="000000" w:sz="4" w:space="0"/>
            </w:tcBorders>
            <w:vAlign w:val="center"/>
          </w:tcPr>
          <w:p w14:paraId="62EBD1E0">
            <w:pPr>
              <w:widowControl w:val="0"/>
              <w:jc w:val="center"/>
              <w:rPr>
                <w:rFonts w:ascii="Arial" w:hAnsi="Arial" w:eastAsia="Arial" w:cs="Arial"/>
              </w:rPr>
            </w:pPr>
            <w:r>
              <w:rPr>
                <w:rFonts w:ascii="Arial" w:hAnsi="Arial" w:eastAsia="Arial" w:cs="Arial"/>
              </w:rPr>
              <w:t>Creche Parcial  (vespertino)</w:t>
            </w:r>
          </w:p>
        </w:tc>
        <w:tc>
          <w:tcPr>
            <w:tcW w:w="1699" w:type="dxa"/>
            <w:tcBorders>
              <w:left w:val="single" w:color="000000" w:sz="4" w:space="0"/>
              <w:bottom w:val="single" w:color="000000" w:sz="4" w:space="0"/>
            </w:tcBorders>
            <w:vAlign w:val="center"/>
          </w:tcPr>
          <w:p w14:paraId="0BDF669B">
            <w:pPr>
              <w:widowControl w:val="0"/>
              <w:jc w:val="center"/>
              <w:rPr>
                <w:rFonts w:ascii="Arial" w:hAnsi="Arial" w:eastAsia="Arial" w:cs="Arial"/>
              </w:rPr>
            </w:pPr>
            <w:r>
              <w:rPr>
                <w:rFonts w:ascii="Arial" w:hAnsi="Arial" w:eastAsia="Arial" w:cs="Arial"/>
              </w:rPr>
              <w:t>Lanche da Tarde/Jantar</w:t>
            </w:r>
          </w:p>
        </w:tc>
        <w:tc>
          <w:tcPr>
            <w:tcW w:w="1426" w:type="dxa"/>
            <w:tcBorders>
              <w:left w:val="single" w:color="000000" w:sz="4" w:space="0"/>
              <w:bottom w:val="single" w:color="000000" w:sz="4" w:space="0"/>
            </w:tcBorders>
            <w:vAlign w:val="center"/>
          </w:tcPr>
          <w:p w14:paraId="146FEED3">
            <w:pPr>
              <w:widowControl w:val="0"/>
              <w:jc w:val="center"/>
              <w:rPr>
                <w:rFonts w:ascii="Arial" w:hAnsi="Arial" w:eastAsia="Arial" w:cs="Arial"/>
              </w:rPr>
            </w:pPr>
            <w:r>
              <w:rPr>
                <w:rFonts w:ascii="Arial" w:hAnsi="Arial" w:eastAsia="Arial" w:cs="Arial"/>
              </w:rPr>
              <w:t>427200</w:t>
            </w:r>
          </w:p>
        </w:tc>
        <w:tc>
          <w:tcPr>
            <w:tcW w:w="850" w:type="dxa"/>
            <w:tcBorders>
              <w:left w:val="single" w:color="000000" w:sz="4" w:space="0"/>
              <w:bottom w:val="single" w:color="000000" w:sz="4" w:space="0"/>
            </w:tcBorders>
            <w:vAlign w:val="center"/>
          </w:tcPr>
          <w:p w14:paraId="2529D611">
            <w:pPr>
              <w:widowControl w:val="0"/>
              <w:jc w:val="center"/>
              <w:rPr>
                <w:rFonts w:ascii="Arial" w:hAnsi="Arial" w:eastAsia="Arial" w:cs="Arial"/>
              </w:rPr>
            </w:pPr>
            <w:r>
              <w:rPr>
                <w:rFonts w:ascii="Arial" w:hAnsi="Arial" w:eastAsia="Arial" w:cs="Arial"/>
              </w:rPr>
              <w:t>R$ 5,45</w:t>
            </w:r>
          </w:p>
        </w:tc>
        <w:tc>
          <w:tcPr>
            <w:tcW w:w="1636" w:type="dxa"/>
            <w:tcBorders>
              <w:left w:val="single" w:color="000000" w:sz="4" w:space="0"/>
              <w:bottom w:val="single" w:color="000000" w:sz="4" w:space="0"/>
              <w:right w:val="single" w:color="000000" w:sz="4" w:space="0"/>
            </w:tcBorders>
            <w:vAlign w:val="center"/>
          </w:tcPr>
          <w:p w14:paraId="5106139B">
            <w:pPr>
              <w:widowControl w:val="0"/>
              <w:jc w:val="center"/>
              <w:rPr>
                <w:rFonts w:ascii="Arial" w:hAnsi="Arial" w:eastAsia="Arial" w:cs="Arial"/>
              </w:rPr>
            </w:pPr>
            <w:r>
              <w:rPr>
                <w:rFonts w:ascii="Arial" w:hAnsi="Arial" w:eastAsia="Arial" w:cs="Arial"/>
              </w:rPr>
              <w:t>R$ 2.328.240,00</w:t>
            </w:r>
          </w:p>
        </w:tc>
      </w:tr>
      <w:tr w14:paraId="3A4924EB">
        <w:tblPrEx>
          <w:tblCellMar>
            <w:top w:w="0" w:type="dxa"/>
            <w:left w:w="108" w:type="dxa"/>
            <w:bottom w:w="0" w:type="dxa"/>
            <w:right w:w="108" w:type="dxa"/>
          </w:tblCellMar>
        </w:tblPrEx>
        <w:trPr>
          <w:trHeight w:val="260" w:hRule="atLeast"/>
        </w:trPr>
        <w:tc>
          <w:tcPr>
            <w:tcW w:w="1064" w:type="dxa"/>
            <w:tcBorders>
              <w:left w:val="single" w:color="000000" w:sz="4" w:space="0"/>
              <w:bottom w:val="single" w:color="000000" w:sz="4" w:space="0"/>
            </w:tcBorders>
            <w:vAlign w:val="center"/>
          </w:tcPr>
          <w:p w14:paraId="18FD31F6">
            <w:pPr>
              <w:widowControl w:val="0"/>
              <w:jc w:val="center"/>
              <w:rPr>
                <w:rFonts w:ascii="Arial" w:hAnsi="Arial" w:eastAsia="Arial" w:cs="Arial"/>
                <w:b/>
              </w:rPr>
            </w:pPr>
            <w:r>
              <w:rPr>
                <w:rFonts w:ascii="Arial" w:hAnsi="Arial" w:eastAsia="Arial" w:cs="Arial"/>
                <w:b/>
              </w:rPr>
              <w:t>127816</w:t>
            </w:r>
          </w:p>
        </w:tc>
        <w:tc>
          <w:tcPr>
            <w:tcW w:w="3299" w:type="dxa"/>
            <w:tcBorders>
              <w:left w:val="single" w:color="000000" w:sz="4" w:space="0"/>
              <w:bottom w:val="single" w:color="000000" w:sz="4" w:space="0"/>
            </w:tcBorders>
            <w:vAlign w:val="center"/>
          </w:tcPr>
          <w:p w14:paraId="4472736C">
            <w:pPr>
              <w:widowControl w:val="0"/>
              <w:jc w:val="center"/>
              <w:rPr>
                <w:rFonts w:ascii="Arial" w:hAnsi="Arial" w:eastAsia="Arial" w:cs="Arial"/>
              </w:rPr>
            </w:pPr>
            <w:r>
              <w:rPr>
                <w:rFonts w:ascii="Arial" w:hAnsi="Arial" w:eastAsia="Arial" w:cs="Arial"/>
              </w:rPr>
              <w:t>Creche Integral</w:t>
            </w:r>
          </w:p>
        </w:tc>
        <w:tc>
          <w:tcPr>
            <w:tcW w:w="1699" w:type="dxa"/>
            <w:tcBorders>
              <w:left w:val="single" w:color="000000" w:sz="4" w:space="0"/>
              <w:bottom w:val="single" w:color="000000" w:sz="4" w:space="0"/>
            </w:tcBorders>
            <w:vAlign w:val="center"/>
          </w:tcPr>
          <w:p w14:paraId="75C2D3E4">
            <w:pPr>
              <w:widowControl w:val="0"/>
              <w:jc w:val="center"/>
              <w:rPr>
                <w:rFonts w:ascii="Arial" w:hAnsi="Arial" w:eastAsia="Arial" w:cs="Arial"/>
              </w:rPr>
            </w:pPr>
            <w:r>
              <w:rPr>
                <w:rFonts w:ascii="Arial" w:hAnsi="Arial" w:eastAsia="Arial" w:cs="Arial"/>
              </w:rPr>
              <w:t>Café da Manhã</w:t>
            </w:r>
          </w:p>
        </w:tc>
        <w:tc>
          <w:tcPr>
            <w:tcW w:w="1426" w:type="dxa"/>
            <w:tcBorders>
              <w:left w:val="single" w:color="000000" w:sz="4" w:space="0"/>
              <w:bottom w:val="single" w:color="000000" w:sz="4" w:space="0"/>
            </w:tcBorders>
            <w:vAlign w:val="center"/>
          </w:tcPr>
          <w:p w14:paraId="4E47D3FA">
            <w:pPr>
              <w:widowControl w:val="0"/>
              <w:jc w:val="center"/>
              <w:rPr>
                <w:rFonts w:ascii="Arial" w:hAnsi="Arial" w:eastAsia="Arial" w:cs="Arial"/>
              </w:rPr>
            </w:pPr>
            <w:r>
              <w:rPr>
                <w:rFonts w:ascii="Arial" w:hAnsi="Arial" w:eastAsia="Arial" w:cs="Arial"/>
              </w:rPr>
              <w:t>440800</w:t>
            </w:r>
          </w:p>
        </w:tc>
        <w:tc>
          <w:tcPr>
            <w:tcW w:w="850" w:type="dxa"/>
            <w:tcBorders>
              <w:left w:val="single" w:color="000000" w:sz="4" w:space="0"/>
              <w:bottom w:val="single" w:color="000000" w:sz="4" w:space="0"/>
            </w:tcBorders>
            <w:vAlign w:val="center"/>
          </w:tcPr>
          <w:p w14:paraId="349C0B4B">
            <w:pPr>
              <w:widowControl w:val="0"/>
              <w:jc w:val="center"/>
              <w:rPr>
                <w:rFonts w:ascii="Arial" w:hAnsi="Arial" w:eastAsia="Arial" w:cs="Arial"/>
              </w:rPr>
            </w:pPr>
            <w:r>
              <w:rPr>
                <w:rFonts w:ascii="Arial" w:hAnsi="Arial" w:eastAsia="Arial" w:cs="Arial"/>
              </w:rPr>
              <w:t>R$ 6,01</w:t>
            </w:r>
          </w:p>
        </w:tc>
        <w:tc>
          <w:tcPr>
            <w:tcW w:w="1636" w:type="dxa"/>
            <w:tcBorders>
              <w:left w:val="single" w:color="000000" w:sz="4" w:space="0"/>
              <w:bottom w:val="single" w:color="000000" w:sz="4" w:space="0"/>
              <w:right w:val="single" w:color="000000" w:sz="4" w:space="0"/>
            </w:tcBorders>
            <w:vAlign w:val="center"/>
          </w:tcPr>
          <w:p w14:paraId="6169FE2E">
            <w:pPr>
              <w:widowControl w:val="0"/>
              <w:jc w:val="center"/>
              <w:rPr>
                <w:rFonts w:ascii="Arial" w:hAnsi="Arial" w:eastAsia="Arial" w:cs="Arial"/>
              </w:rPr>
            </w:pPr>
            <w:r>
              <w:rPr>
                <w:rFonts w:ascii="Arial" w:hAnsi="Arial" w:eastAsia="Arial" w:cs="Arial"/>
              </w:rPr>
              <w:t>R$ 2.649.208,00</w:t>
            </w:r>
          </w:p>
        </w:tc>
      </w:tr>
      <w:tr w14:paraId="1E8F48A5">
        <w:tblPrEx>
          <w:tblCellMar>
            <w:top w:w="0" w:type="dxa"/>
            <w:left w:w="108" w:type="dxa"/>
            <w:bottom w:w="0" w:type="dxa"/>
            <w:right w:w="108" w:type="dxa"/>
          </w:tblCellMar>
        </w:tblPrEx>
        <w:trPr>
          <w:trHeight w:val="275" w:hRule="atLeast"/>
        </w:trPr>
        <w:tc>
          <w:tcPr>
            <w:tcW w:w="1064" w:type="dxa"/>
            <w:tcBorders>
              <w:left w:val="single" w:color="000000" w:sz="4" w:space="0"/>
              <w:bottom w:val="single" w:color="000000" w:sz="4" w:space="0"/>
            </w:tcBorders>
            <w:vAlign w:val="center"/>
          </w:tcPr>
          <w:p w14:paraId="231A2F07">
            <w:pPr>
              <w:widowControl w:val="0"/>
              <w:jc w:val="center"/>
              <w:rPr>
                <w:rFonts w:ascii="Arial" w:hAnsi="Arial" w:eastAsia="Arial" w:cs="Arial"/>
                <w:b/>
              </w:rPr>
            </w:pPr>
            <w:r>
              <w:rPr>
                <w:rFonts w:ascii="Arial" w:hAnsi="Arial" w:eastAsia="Arial" w:cs="Arial"/>
                <w:b/>
              </w:rPr>
              <w:t>127817</w:t>
            </w:r>
          </w:p>
        </w:tc>
        <w:tc>
          <w:tcPr>
            <w:tcW w:w="3299" w:type="dxa"/>
            <w:tcBorders>
              <w:left w:val="single" w:color="000000" w:sz="4" w:space="0"/>
              <w:bottom w:val="single" w:color="000000" w:sz="4" w:space="0"/>
            </w:tcBorders>
            <w:vAlign w:val="center"/>
          </w:tcPr>
          <w:p w14:paraId="3E8AE959">
            <w:pPr>
              <w:widowControl w:val="0"/>
              <w:jc w:val="center"/>
              <w:rPr>
                <w:rFonts w:ascii="Arial" w:hAnsi="Arial" w:eastAsia="Arial" w:cs="Arial"/>
              </w:rPr>
            </w:pPr>
            <w:r>
              <w:rPr>
                <w:rFonts w:ascii="Arial" w:hAnsi="Arial" w:eastAsia="Arial" w:cs="Arial"/>
              </w:rPr>
              <w:t>Creche Integral</w:t>
            </w:r>
          </w:p>
        </w:tc>
        <w:tc>
          <w:tcPr>
            <w:tcW w:w="1699" w:type="dxa"/>
            <w:tcBorders>
              <w:left w:val="single" w:color="000000" w:sz="4" w:space="0"/>
              <w:bottom w:val="single" w:color="000000" w:sz="4" w:space="0"/>
            </w:tcBorders>
            <w:vAlign w:val="center"/>
          </w:tcPr>
          <w:p w14:paraId="7226D1F2">
            <w:pPr>
              <w:widowControl w:val="0"/>
              <w:jc w:val="center"/>
              <w:rPr>
                <w:rFonts w:ascii="Arial" w:hAnsi="Arial" w:eastAsia="Arial" w:cs="Arial"/>
              </w:rPr>
            </w:pPr>
            <w:r>
              <w:rPr>
                <w:rFonts w:ascii="Arial" w:hAnsi="Arial" w:eastAsia="Arial" w:cs="Arial"/>
              </w:rPr>
              <w:t>Almoço</w:t>
            </w:r>
          </w:p>
        </w:tc>
        <w:tc>
          <w:tcPr>
            <w:tcW w:w="1426" w:type="dxa"/>
            <w:tcBorders>
              <w:left w:val="single" w:color="000000" w:sz="4" w:space="0"/>
              <w:bottom w:val="single" w:color="000000" w:sz="4" w:space="0"/>
            </w:tcBorders>
            <w:vAlign w:val="center"/>
          </w:tcPr>
          <w:p w14:paraId="56513037">
            <w:pPr>
              <w:widowControl w:val="0"/>
              <w:jc w:val="center"/>
              <w:rPr>
                <w:rFonts w:ascii="Arial" w:hAnsi="Arial" w:eastAsia="Arial" w:cs="Arial"/>
              </w:rPr>
            </w:pPr>
            <w:r>
              <w:rPr>
                <w:rFonts w:ascii="Arial" w:hAnsi="Arial" w:eastAsia="Arial" w:cs="Arial"/>
              </w:rPr>
              <w:t>440800</w:t>
            </w:r>
          </w:p>
        </w:tc>
        <w:tc>
          <w:tcPr>
            <w:tcW w:w="850" w:type="dxa"/>
            <w:tcBorders>
              <w:left w:val="single" w:color="000000" w:sz="4" w:space="0"/>
              <w:bottom w:val="single" w:color="000000" w:sz="4" w:space="0"/>
            </w:tcBorders>
            <w:vAlign w:val="center"/>
          </w:tcPr>
          <w:p w14:paraId="03B39F33">
            <w:pPr>
              <w:widowControl w:val="0"/>
              <w:jc w:val="center"/>
              <w:rPr>
                <w:rFonts w:ascii="Arial" w:hAnsi="Arial" w:eastAsia="Arial" w:cs="Arial"/>
              </w:rPr>
            </w:pPr>
            <w:r>
              <w:rPr>
                <w:rFonts w:ascii="Arial" w:hAnsi="Arial" w:eastAsia="Arial" w:cs="Arial"/>
              </w:rPr>
              <w:t>R$ 6,02</w:t>
            </w:r>
          </w:p>
        </w:tc>
        <w:tc>
          <w:tcPr>
            <w:tcW w:w="1636" w:type="dxa"/>
            <w:tcBorders>
              <w:left w:val="single" w:color="000000" w:sz="4" w:space="0"/>
              <w:bottom w:val="single" w:color="000000" w:sz="4" w:space="0"/>
              <w:right w:val="single" w:color="000000" w:sz="4" w:space="0"/>
            </w:tcBorders>
            <w:vAlign w:val="center"/>
          </w:tcPr>
          <w:p w14:paraId="1CEF2C9D">
            <w:pPr>
              <w:widowControl w:val="0"/>
              <w:jc w:val="center"/>
              <w:rPr>
                <w:rFonts w:ascii="Arial" w:hAnsi="Arial" w:eastAsia="Arial" w:cs="Arial"/>
              </w:rPr>
            </w:pPr>
            <w:r>
              <w:rPr>
                <w:rFonts w:ascii="Arial" w:hAnsi="Arial" w:eastAsia="Arial" w:cs="Arial"/>
              </w:rPr>
              <w:t>R$ 2.653.616,00</w:t>
            </w:r>
          </w:p>
        </w:tc>
      </w:tr>
      <w:tr w14:paraId="48E6DA36">
        <w:tblPrEx>
          <w:tblCellMar>
            <w:top w:w="0" w:type="dxa"/>
            <w:left w:w="108" w:type="dxa"/>
            <w:bottom w:w="0" w:type="dxa"/>
            <w:right w:w="108" w:type="dxa"/>
          </w:tblCellMar>
        </w:tblPrEx>
        <w:trPr>
          <w:trHeight w:val="238" w:hRule="atLeast"/>
        </w:trPr>
        <w:tc>
          <w:tcPr>
            <w:tcW w:w="1064" w:type="dxa"/>
            <w:tcBorders>
              <w:left w:val="single" w:color="000000" w:sz="4" w:space="0"/>
              <w:bottom w:val="single" w:color="000000" w:sz="4" w:space="0"/>
            </w:tcBorders>
            <w:vAlign w:val="center"/>
          </w:tcPr>
          <w:p w14:paraId="79E2B1F6">
            <w:pPr>
              <w:widowControl w:val="0"/>
              <w:jc w:val="center"/>
              <w:rPr>
                <w:rFonts w:ascii="Arial" w:hAnsi="Arial" w:eastAsia="Arial" w:cs="Arial"/>
                <w:b/>
              </w:rPr>
            </w:pPr>
            <w:r>
              <w:rPr>
                <w:rFonts w:ascii="Arial" w:hAnsi="Arial" w:eastAsia="Arial" w:cs="Arial"/>
                <w:b/>
              </w:rPr>
              <w:t>127818</w:t>
            </w:r>
          </w:p>
        </w:tc>
        <w:tc>
          <w:tcPr>
            <w:tcW w:w="3299" w:type="dxa"/>
            <w:tcBorders>
              <w:left w:val="single" w:color="000000" w:sz="4" w:space="0"/>
              <w:bottom w:val="single" w:color="000000" w:sz="4" w:space="0"/>
            </w:tcBorders>
            <w:vAlign w:val="center"/>
          </w:tcPr>
          <w:p w14:paraId="08D22A46">
            <w:pPr>
              <w:widowControl w:val="0"/>
              <w:jc w:val="center"/>
              <w:rPr>
                <w:rFonts w:ascii="Arial" w:hAnsi="Arial" w:eastAsia="Arial" w:cs="Arial"/>
              </w:rPr>
            </w:pPr>
            <w:r>
              <w:rPr>
                <w:rFonts w:ascii="Arial" w:hAnsi="Arial" w:eastAsia="Arial" w:cs="Arial"/>
              </w:rPr>
              <w:t>Creche Integral</w:t>
            </w:r>
          </w:p>
        </w:tc>
        <w:tc>
          <w:tcPr>
            <w:tcW w:w="1699" w:type="dxa"/>
            <w:tcBorders>
              <w:left w:val="single" w:color="000000" w:sz="4" w:space="0"/>
              <w:bottom w:val="single" w:color="000000" w:sz="4" w:space="0"/>
            </w:tcBorders>
            <w:vAlign w:val="center"/>
          </w:tcPr>
          <w:p w14:paraId="01AC754F">
            <w:pPr>
              <w:widowControl w:val="0"/>
              <w:jc w:val="center"/>
              <w:rPr>
                <w:rFonts w:ascii="Arial" w:hAnsi="Arial" w:eastAsia="Arial" w:cs="Arial"/>
              </w:rPr>
            </w:pPr>
            <w:r>
              <w:rPr>
                <w:rFonts w:ascii="Arial" w:hAnsi="Arial" w:eastAsia="Arial" w:cs="Arial"/>
              </w:rPr>
              <w:t>Lanche</w:t>
            </w:r>
          </w:p>
        </w:tc>
        <w:tc>
          <w:tcPr>
            <w:tcW w:w="1426" w:type="dxa"/>
            <w:tcBorders>
              <w:left w:val="single" w:color="000000" w:sz="4" w:space="0"/>
              <w:bottom w:val="single" w:color="000000" w:sz="4" w:space="0"/>
            </w:tcBorders>
            <w:vAlign w:val="center"/>
          </w:tcPr>
          <w:p w14:paraId="501CFBD0">
            <w:pPr>
              <w:widowControl w:val="0"/>
              <w:jc w:val="center"/>
              <w:rPr>
                <w:rFonts w:ascii="Arial" w:hAnsi="Arial" w:eastAsia="Arial" w:cs="Arial"/>
              </w:rPr>
            </w:pPr>
            <w:r>
              <w:rPr>
                <w:rFonts w:ascii="Arial" w:hAnsi="Arial" w:eastAsia="Arial" w:cs="Arial"/>
              </w:rPr>
              <w:t>440800</w:t>
            </w:r>
          </w:p>
        </w:tc>
        <w:tc>
          <w:tcPr>
            <w:tcW w:w="850" w:type="dxa"/>
            <w:tcBorders>
              <w:left w:val="single" w:color="000000" w:sz="4" w:space="0"/>
              <w:bottom w:val="single" w:color="000000" w:sz="4" w:space="0"/>
            </w:tcBorders>
            <w:vAlign w:val="center"/>
          </w:tcPr>
          <w:p w14:paraId="02F5498A">
            <w:pPr>
              <w:widowControl w:val="0"/>
              <w:jc w:val="center"/>
              <w:rPr>
                <w:rFonts w:ascii="Arial" w:hAnsi="Arial" w:eastAsia="Arial" w:cs="Arial"/>
              </w:rPr>
            </w:pPr>
            <w:r>
              <w:rPr>
                <w:rFonts w:ascii="Arial" w:hAnsi="Arial" w:eastAsia="Arial" w:cs="Arial"/>
              </w:rPr>
              <w:t>R$ 6,00</w:t>
            </w:r>
          </w:p>
        </w:tc>
        <w:tc>
          <w:tcPr>
            <w:tcW w:w="1636" w:type="dxa"/>
            <w:tcBorders>
              <w:left w:val="single" w:color="000000" w:sz="4" w:space="0"/>
              <w:bottom w:val="single" w:color="000000" w:sz="4" w:space="0"/>
              <w:right w:val="single" w:color="000000" w:sz="4" w:space="0"/>
            </w:tcBorders>
            <w:vAlign w:val="center"/>
          </w:tcPr>
          <w:p w14:paraId="1712D7A0">
            <w:pPr>
              <w:widowControl w:val="0"/>
              <w:jc w:val="center"/>
              <w:rPr>
                <w:rFonts w:ascii="Arial" w:hAnsi="Arial" w:eastAsia="Arial" w:cs="Arial"/>
              </w:rPr>
            </w:pPr>
            <w:r>
              <w:rPr>
                <w:rFonts w:ascii="Arial" w:hAnsi="Arial" w:eastAsia="Arial" w:cs="Arial"/>
              </w:rPr>
              <w:t>R$ 2.644.800,00</w:t>
            </w:r>
          </w:p>
        </w:tc>
      </w:tr>
      <w:tr w14:paraId="050C5464">
        <w:tblPrEx>
          <w:tblCellMar>
            <w:top w:w="0" w:type="dxa"/>
            <w:left w:w="108" w:type="dxa"/>
            <w:bottom w:w="0" w:type="dxa"/>
            <w:right w:w="108" w:type="dxa"/>
          </w:tblCellMar>
        </w:tblPrEx>
        <w:trPr>
          <w:trHeight w:val="275" w:hRule="atLeast"/>
        </w:trPr>
        <w:tc>
          <w:tcPr>
            <w:tcW w:w="1064" w:type="dxa"/>
            <w:tcBorders>
              <w:left w:val="single" w:color="000000" w:sz="4" w:space="0"/>
              <w:bottom w:val="single" w:color="000000" w:sz="4" w:space="0"/>
            </w:tcBorders>
            <w:vAlign w:val="center"/>
          </w:tcPr>
          <w:p w14:paraId="5B4E263A">
            <w:pPr>
              <w:widowControl w:val="0"/>
              <w:jc w:val="center"/>
              <w:rPr>
                <w:rFonts w:ascii="Arial" w:hAnsi="Arial" w:eastAsia="Arial" w:cs="Arial"/>
                <w:b/>
              </w:rPr>
            </w:pPr>
            <w:r>
              <w:rPr>
                <w:rFonts w:ascii="Arial" w:hAnsi="Arial" w:eastAsia="Arial" w:cs="Arial"/>
                <w:b/>
              </w:rPr>
              <w:t>127819</w:t>
            </w:r>
          </w:p>
        </w:tc>
        <w:tc>
          <w:tcPr>
            <w:tcW w:w="3299" w:type="dxa"/>
            <w:tcBorders>
              <w:left w:val="single" w:color="000000" w:sz="4" w:space="0"/>
              <w:bottom w:val="single" w:color="000000" w:sz="4" w:space="0"/>
            </w:tcBorders>
            <w:vAlign w:val="center"/>
          </w:tcPr>
          <w:p w14:paraId="601D6C64">
            <w:pPr>
              <w:widowControl w:val="0"/>
              <w:jc w:val="center"/>
              <w:rPr>
                <w:rFonts w:ascii="Arial" w:hAnsi="Arial" w:eastAsia="Arial" w:cs="Arial"/>
              </w:rPr>
            </w:pPr>
            <w:r>
              <w:rPr>
                <w:rFonts w:ascii="Arial" w:hAnsi="Arial" w:eastAsia="Arial" w:cs="Arial"/>
              </w:rPr>
              <w:t>Creche Integral</w:t>
            </w:r>
          </w:p>
        </w:tc>
        <w:tc>
          <w:tcPr>
            <w:tcW w:w="1699" w:type="dxa"/>
            <w:tcBorders>
              <w:left w:val="single" w:color="000000" w:sz="4" w:space="0"/>
              <w:bottom w:val="single" w:color="000000" w:sz="4" w:space="0"/>
            </w:tcBorders>
            <w:vAlign w:val="center"/>
          </w:tcPr>
          <w:p w14:paraId="63D412B1">
            <w:pPr>
              <w:widowControl w:val="0"/>
              <w:jc w:val="center"/>
              <w:rPr>
                <w:rFonts w:ascii="Arial" w:hAnsi="Arial" w:eastAsia="Arial" w:cs="Arial"/>
              </w:rPr>
            </w:pPr>
            <w:r>
              <w:rPr>
                <w:rFonts w:ascii="Arial" w:hAnsi="Arial" w:eastAsia="Arial" w:cs="Arial"/>
              </w:rPr>
              <w:t>Jantar</w:t>
            </w:r>
          </w:p>
        </w:tc>
        <w:tc>
          <w:tcPr>
            <w:tcW w:w="1426" w:type="dxa"/>
            <w:tcBorders>
              <w:left w:val="single" w:color="000000" w:sz="4" w:space="0"/>
              <w:bottom w:val="single" w:color="000000" w:sz="4" w:space="0"/>
            </w:tcBorders>
            <w:vAlign w:val="center"/>
          </w:tcPr>
          <w:p w14:paraId="59DDEC63">
            <w:pPr>
              <w:widowControl w:val="0"/>
              <w:jc w:val="center"/>
              <w:rPr>
                <w:rFonts w:ascii="Arial" w:hAnsi="Arial" w:eastAsia="Arial" w:cs="Arial"/>
              </w:rPr>
            </w:pPr>
            <w:r>
              <w:rPr>
                <w:rFonts w:ascii="Arial" w:hAnsi="Arial" w:eastAsia="Arial" w:cs="Arial"/>
              </w:rPr>
              <w:t>440800</w:t>
            </w:r>
          </w:p>
        </w:tc>
        <w:tc>
          <w:tcPr>
            <w:tcW w:w="850" w:type="dxa"/>
            <w:tcBorders>
              <w:left w:val="single" w:color="000000" w:sz="4" w:space="0"/>
              <w:bottom w:val="single" w:color="000000" w:sz="4" w:space="0"/>
            </w:tcBorders>
            <w:vAlign w:val="center"/>
          </w:tcPr>
          <w:p w14:paraId="31C274DF">
            <w:pPr>
              <w:widowControl w:val="0"/>
              <w:jc w:val="center"/>
              <w:rPr>
                <w:rFonts w:ascii="Arial" w:hAnsi="Arial" w:eastAsia="Arial" w:cs="Arial"/>
              </w:rPr>
            </w:pPr>
            <w:r>
              <w:rPr>
                <w:rFonts w:ascii="Arial" w:hAnsi="Arial" w:eastAsia="Arial" w:cs="Arial"/>
              </w:rPr>
              <w:t>R$ 6,00</w:t>
            </w:r>
          </w:p>
        </w:tc>
        <w:tc>
          <w:tcPr>
            <w:tcW w:w="1636" w:type="dxa"/>
            <w:tcBorders>
              <w:left w:val="single" w:color="000000" w:sz="4" w:space="0"/>
              <w:bottom w:val="single" w:color="000000" w:sz="4" w:space="0"/>
              <w:right w:val="single" w:color="000000" w:sz="4" w:space="0"/>
            </w:tcBorders>
            <w:vAlign w:val="center"/>
          </w:tcPr>
          <w:p w14:paraId="0C0A5FDD">
            <w:pPr>
              <w:widowControl w:val="0"/>
              <w:jc w:val="center"/>
              <w:rPr>
                <w:rFonts w:ascii="Arial" w:hAnsi="Arial" w:eastAsia="Arial" w:cs="Arial"/>
              </w:rPr>
            </w:pPr>
            <w:r>
              <w:rPr>
                <w:rFonts w:ascii="Arial" w:hAnsi="Arial" w:eastAsia="Arial" w:cs="Arial"/>
              </w:rPr>
              <w:t>R$ 2.644.800,00</w:t>
            </w:r>
          </w:p>
        </w:tc>
      </w:tr>
      <w:tr w14:paraId="3ABF6616">
        <w:tblPrEx>
          <w:tblCellMar>
            <w:top w:w="0" w:type="dxa"/>
            <w:left w:w="108" w:type="dxa"/>
            <w:bottom w:w="0" w:type="dxa"/>
            <w:right w:w="108" w:type="dxa"/>
          </w:tblCellMar>
        </w:tblPrEx>
        <w:trPr>
          <w:trHeight w:val="225" w:hRule="atLeast"/>
        </w:trPr>
        <w:tc>
          <w:tcPr>
            <w:tcW w:w="1064" w:type="dxa"/>
            <w:tcBorders>
              <w:left w:val="single" w:color="000000" w:sz="4" w:space="0"/>
              <w:bottom w:val="single" w:color="000000" w:sz="4" w:space="0"/>
            </w:tcBorders>
            <w:vAlign w:val="center"/>
          </w:tcPr>
          <w:p w14:paraId="450E2F29">
            <w:pPr>
              <w:widowControl w:val="0"/>
              <w:jc w:val="center"/>
              <w:rPr>
                <w:rFonts w:ascii="Arial" w:hAnsi="Arial" w:eastAsia="Arial" w:cs="Arial"/>
                <w:b/>
              </w:rPr>
            </w:pPr>
            <w:r>
              <w:rPr>
                <w:rFonts w:ascii="Arial" w:hAnsi="Arial" w:eastAsia="Arial" w:cs="Arial"/>
                <w:b/>
              </w:rPr>
              <w:t>127820</w:t>
            </w:r>
          </w:p>
        </w:tc>
        <w:tc>
          <w:tcPr>
            <w:tcW w:w="3299" w:type="dxa"/>
            <w:tcBorders>
              <w:left w:val="single" w:color="000000" w:sz="4" w:space="0"/>
              <w:bottom w:val="single" w:color="000000" w:sz="4" w:space="0"/>
            </w:tcBorders>
            <w:vAlign w:val="center"/>
          </w:tcPr>
          <w:p w14:paraId="4C33FF87">
            <w:pPr>
              <w:widowControl w:val="0"/>
              <w:jc w:val="center"/>
              <w:rPr>
                <w:rFonts w:ascii="Arial" w:hAnsi="Arial" w:eastAsia="Arial" w:cs="Arial"/>
              </w:rPr>
            </w:pPr>
            <w:r>
              <w:rPr>
                <w:rFonts w:ascii="Arial" w:hAnsi="Arial" w:eastAsia="Arial" w:cs="Arial"/>
              </w:rPr>
              <w:t>Pré-Escola Parcial (matutino)</w:t>
            </w:r>
          </w:p>
        </w:tc>
        <w:tc>
          <w:tcPr>
            <w:tcW w:w="1699" w:type="dxa"/>
            <w:tcBorders>
              <w:left w:val="single" w:color="000000" w:sz="4" w:space="0"/>
              <w:bottom w:val="single" w:color="000000" w:sz="4" w:space="0"/>
            </w:tcBorders>
            <w:vAlign w:val="center"/>
          </w:tcPr>
          <w:p w14:paraId="01DEAA66">
            <w:pPr>
              <w:widowControl w:val="0"/>
              <w:jc w:val="center"/>
              <w:rPr>
                <w:rFonts w:ascii="Arial" w:hAnsi="Arial" w:eastAsia="Arial" w:cs="Arial"/>
              </w:rPr>
            </w:pPr>
            <w:r>
              <w:rPr>
                <w:rFonts w:ascii="Arial" w:hAnsi="Arial" w:eastAsia="Arial" w:cs="Arial"/>
              </w:rPr>
              <w:t>Lanche (Manhã)</w:t>
            </w:r>
          </w:p>
        </w:tc>
        <w:tc>
          <w:tcPr>
            <w:tcW w:w="1426" w:type="dxa"/>
            <w:tcBorders>
              <w:left w:val="single" w:color="000000" w:sz="4" w:space="0"/>
              <w:bottom w:val="single" w:color="000000" w:sz="4" w:space="0"/>
            </w:tcBorders>
            <w:vAlign w:val="center"/>
          </w:tcPr>
          <w:p w14:paraId="563BC20D">
            <w:pPr>
              <w:widowControl w:val="0"/>
              <w:jc w:val="center"/>
              <w:rPr>
                <w:rFonts w:ascii="Arial" w:hAnsi="Arial" w:eastAsia="Arial" w:cs="Arial"/>
              </w:rPr>
            </w:pPr>
            <w:r>
              <w:rPr>
                <w:rFonts w:ascii="Arial" w:hAnsi="Arial" w:eastAsia="Arial" w:cs="Arial"/>
              </w:rPr>
              <w:t>541200</w:t>
            </w:r>
          </w:p>
        </w:tc>
        <w:tc>
          <w:tcPr>
            <w:tcW w:w="850" w:type="dxa"/>
            <w:tcBorders>
              <w:left w:val="single" w:color="000000" w:sz="4" w:space="0"/>
              <w:bottom w:val="single" w:color="000000" w:sz="4" w:space="0"/>
            </w:tcBorders>
            <w:vAlign w:val="center"/>
          </w:tcPr>
          <w:p w14:paraId="4D905300">
            <w:pPr>
              <w:widowControl w:val="0"/>
              <w:jc w:val="center"/>
              <w:rPr>
                <w:rFonts w:ascii="Arial" w:hAnsi="Arial" w:eastAsia="Arial" w:cs="Arial"/>
              </w:rPr>
            </w:pPr>
            <w:r>
              <w:rPr>
                <w:rFonts w:ascii="Arial" w:hAnsi="Arial" w:eastAsia="Arial" w:cs="Arial"/>
              </w:rPr>
              <w:t>R$ 6,03</w:t>
            </w:r>
          </w:p>
        </w:tc>
        <w:tc>
          <w:tcPr>
            <w:tcW w:w="1636" w:type="dxa"/>
            <w:tcBorders>
              <w:left w:val="single" w:color="000000" w:sz="4" w:space="0"/>
              <w:bottom w:val="single" w:color="000000" w:sz="4" w:space="0"/>
              <w:right w:val="single" w:color="000000" w:sz="4" w:space="0"/>
            </w:tcBorders>
            <w:vAlign w:val="center"/>
          </w:tcPr>
          <w:p w14:paraId="34CD1585">
            <w:pPr>
              <w:widowControl w:val="0"/>
              <w:jc w:val="center"/>
              <w:rPr>
                <w:rFonts w:ascii="Arial" w:hAnsi="Arial" w:eastAsia="Arial" w:cs="Arial"/>
              </w:rPr>
            </w:pPr>
            <w:r>
              <w:rPr>
                <w:rFonts w:ascii="Arial" w:hAnsi="Arial" w:eastAsia="Arial" w:cs="Arial"/>
              </w:rPr>
              <w:t>R$ 3.263.436,00</w:t>
            </w:r>
          </w:p>
        </w:tc>
      </w:tr>
      <w:tr w14:paraId="33948AD8">
        <w:tblPrEx>
          <w:tblCellMar>
            <w:top w:w="0" w:type="dxa"/>
            <w:left w:w="108" w:type="dxa"/>
            <w:bottom w:w="0" w:type="dxa"/>
            <w:right w:w="108" w:type="dxa"/>
          </w:tblCellMar>
        </w:tblPrEx>
        <w:trPr>
          <w:trHeight w:val="287" w:hRule="atLeast"/>
        </w:trPr>
        <w:tc>
          <w:tcPr>
            <w:tcW w:w="1064" w:type="dxa"/>
            <w:tcBorders>
              <w:left w:val="single" w:color="000000" w:sz="4" w:space="0"/>
              <w:bottom w:val="single" w:color="000000" w:sz="4" w:space="0"/>
            </w:tcBorders>
            <w:vAlign w:val="center"/>
          </w:tcPr>
          <w:p w14:paraId="5BBC1A81">
            <w:pPr>
              <w:widowControl w:val="0"/>
              <w:jc w:val="center"/>
              <w:rPr>
                <w:rFonts w:ascii="Arial" w:hAnsi="Arial" w:eastAsia="Arial" w:cs="Arial"/>
                <w:b/>
              </w:rPr>
            </w:pPr>
            <w:r>
              <w:rPr>
                <w:rFonts w:ascii="Arial" w:hAnsi="Arial" w:eastAsia="Arial" w:cs="Arial"/>
                <w:b/>
              </w:rPr>
              <w:t>127821</w:t>
            </w:r>
          </w:p>
        </w:tc>
        <w:tc>
          <w:tcPr>
            <w:tcW w:w="3299" w:type="dxa"/>
            <w:tcBorders>
              <w:left w:val="single" w:color="000000" w:sz="4" w:space="0"/>
              <w:bottom w:val="single" w:color="000000" w:sz="4" w:space="0"/>
            </w:tcBorders>
            <w:vAlign w:val="center"/>
          </w:tcPr>
          <w:p w14:paraId="5A51AFC3">
            <w:pPr>
              <w:widowControl w:val="0"/>
              <w:jc w:val="center"/>
              <w:rPr>
                <w:rFonts w:ascii="Arial" w:hAnsi="Arial" w:eastAsia="Arial" w:cs="Arial"/>
              </w:rPr>
            </w:pPr>
            <w:r>
              <w:rPr>
                <w:rFonts w:ascii="Arial" w:hAnsi="Arial" w:eastAsia="Arial" w:cs="Arial"/>
              </w:rPr>
              <w:t>Pré-Escola Parcial (vespertino)</w:t>
            </w:r>
          </w:p>
        </w:tc>
        <w:tc>
          <w:tcPr>
            <w:tcW w:w="1699" w:type="dxa"/>
            <w:tcBorders>
              <w:left w:val="single" w:color="000000" w:sz="4" w:space="0"/>
              <w:bottom w:val="single" w:color="000000" w:sz="4" w:space="0"/>
            </w:tcBorders>
            <w:vAlign w:val="center"/>
          </w:tcPr>
          <w:p w14:paraId="0AD0B112">
            <w:pPr>
              <w:widowControl w:val="0"/>
              <w:jc w:val="center"/>
              <w:rPr>
                <w:rFonts w:ascii="Arial" w:hAnsi="Arial" w:eastAsia="Arial" w:cs="Arial"/>
              </w:rPr>
            </w:pPr>
            <w:r>
              <w:rPr>
                <w:rFonts w:ascii="Arial" w:hAnsi="Arial" w:eastAsia="Arial" w:cs="Arial"/>
              </w:rPr>
              <w:t>Lanche (Tarde)</w:t>
            </w:r>
          </w:p>
        </w:tc>
        <w:tc>
          <w:tcPr>
            <w:tcW w:w="1426" w:type="dxa"/>
            <w:tcBorders>
              <w:left w:val="single" w:color="000000" w:sz="4" w:space="0"/>
              <w:bottom w:val="single" w:color="000000" w:sz="4" w:space="0"/>
            </w:tcBorders>
            <w:vAlign w:val="center"/>
          </w:tcPr>
          <w:p w14:paraId="0325C23B">
            <w:pPr>
              <w:widowControl w:val="0"/>
              <w:jc w:val="center"/>
              <w:rPr>
                <w:rFonts w:ascii="Arial" w:hAnsi="Arial" w:eastAsia="Arial" w:cs="Arial"/>
              </w:rPr>
            </w:pPr>
            <w:r>
              <w:rPr>
                <w:rFonts w:ascii="Arial" w:hAnsi="Arial" w:eastAsia="Arial" w:cs="Arial"/>
              </w:rPr>
              <w:t>612200</w:t>
            </w:r>
          </w:p>
        </w:tc>
        <w:tc>
          <w:tcPr>
            <w:tcW w:w="850" w:type="dxa"/>
            <w:tcBorders>
              <w:left w:val="single" w:color="000000" w:sz="4" w:space="0"/>
              <w:bottom w:val="single" w:color="000000" w:sz="4" w:space="0"/>
            </w:tcBorders>
            <w:vAlign w:val="center"/>
          </w:tcPr>
          <w:p w14:paraId="5A98F7DF">
            <w:pPr>
              <w:widowControl w:val="0"/>
              <w:jc w:val="center"/>
              <w:rPr>
                <w:rFonts w:ascii="Arial" w:hAnsi="Arial" w:eastAsia="Arial" w:cs="Arial"/>
              </w:rPr>
            </w:pPr>
            <w:r>
              <w:rPr>
                <w:rFonts w:ascii="Arial" w:hAnsi="Arial" w:eastAsia="Arial" w:cs="Arial"/>
              </w:rPr>
              <w:t>R$ 6,03</w:t>
            </w:r>
          </w:p>
        </w:tc>
        <w:tc>
          <w:tcPr>
            <w:tcW w:w="1636" w:type="dxa"/>
            <w:tcBorders>
              <w:left w:val="single" w:color="000000" w:sz="4" w:space="0"/>
              <w:bottom w:val="single" w:color="000000" w:sz="4" w:space="0"/>
              <w:right w:val="single" w:color="000000" w:sz="4" w:space="0"/>
            </w:tcBorders>
            <w:vAlign w:val="center"/>
          </w:tcPr>
          <w:p w14:paraId="396A06D2">
            <w:pPr>
              <w:widowControl w:val="0"/>
              <w:jc w:val="center"/>
              <w:rPr>
                <w:rFonts w:ascii="Arial" w:hAnsi="Arial" w:eastAsia="Arial" w:cs="Arial"/>
              </w:rPr>
            </w:pPr>
            <w:r>
              <w:rPr>
                <w:rFonts w:ascii="Arial" w:hAnsi="Arial" w:eastAsia="Arial" w:cs="Arial"/>
              </w:rPr>
              <w:t>R$ 3.691.566,00</w:t>
            </w:r>
          </w:p>
        </w:tc>
      </w:tr>
      <w:tr w14:paraId="2FEA771E">
        <w:tblPrEx>
          <w:tblCellMar>
            <w:top w:w="0" w:type="dxa"/>
            <w:left w:w="108" w:type="dxa"/>
            <w:bottom w:w="0" w:type="dxa"/>
            <w:right w:w="108" w:type="dxa"/>
          </w:tblCellMar>
        </w:tblPrEx>
        <w:trPr>
          <w:trHeight w:val="246" w:hRule="atLeast"/>
        </w:trPr>
        <w:tc>
          <w:tcPr>
            <w:tcW w:w="1064" w:type="dxa"/>
            <w:tcBorders>
              <w:left w:val="single" w:color="000000" w:sz="4" w:space="0"/>
              <w:bottom w:val="single" w:color="000000" w:sz="4" w:space="0"/>
            </w:tcBorders>
            <w:vAlign w:val="center"/>
          </w:tcPr>
          <w:p w14:paraId="649F512A">
            <w:pPr>
              <w:widowControl w:val="0"/>
              <w:jc w:val="center"/>
              <w:rPr>
                <w:rFonts w:ascii="Arial" w:hAnsi="Arial" w:eastAsia="Arial" w:cs="Arial"/>
                <w:b/>
              </w:rPr>
            </w:pPr>
            <w:r>
              <w:rPr>
                <w:rFonts w:ascii="Arial" w:hAnsi="Arial" w:eastAsia="Arial" w:cs="Arial"/>
                <w:b/>
              </w:rPr>
              <w:t>127822</w:t>
            </w:r>
          </w:p>
        </w:tc>
        <w:tc>
          <w:tcPr>
            <w:tcW w:w="3299" w:type="dxa"/>
            <w:tcBorders>
              <w:left w:val="single" w:color="000000" w:sz="4" w:space="0"/>
              <w:bottom w:val="single" w:color="000000" w:sz="4" w:space="0"/>
            </w:tcBorders>
            <w:vAlign w:val="center"/>
          </w:tcPr>
          <w:p w14:paraId="4EF9AA26">
            <w:pPr>
              <w:widowControl w:val="0"/>
              <w:jc w:val="center"/>
              <w:rPr>
                <w:rFonts w:ascii="Arial" w:hAnsi="Arial" w:eastAsia="Arial" w:cs="Arial"/>
              </w:rPr>
            </w:pPr>
            <w:r>
              <w:rPr>
                <w:rFonts w:ascii="Arial" w:hAnsi="Arial" w:eastAsia="Arial" w:cs="Arial"/>
              </w:rPr>
              <w:t>Pré-Escola Integral</w:t>
            </w:r>
          </w:p>
        </w:tc>
        <w:tc>
          <w:tcPr>
            <w:tcW w:w="1699" w:type="dxa"/>
            <w:tcBorders>
              <w:left w:val="single" w:color="000000" w:sz="4" w:space="0"/>
              <w:bottom w:val="single" w:color="000000" w:sz="4" w:space="0"/>
            </w:tcBorders>
            <w:vAlign w:val="center"/>
          </w:tcPr>
          <w:p w14:paraId="5B01513D">
            <w:pPr>
              <w:widowControl w:val="0"/>
              <w:jc w:val="center"/>
              <w:rPr>
                <w:rFonts w:ascii="Arial" w:hAnsi="Arial" w:eastAsia="Arial" w:cs="Arial"/>
              </w:rPr>
            </w:pPr>
            <w:r>
              <w:rPr>
                <w:rFonts w:ascii="Arial" w:hAnsi="Arial" w:eastAsia="Arial" w:cs="Arial"/>
              </w:rPr>
              <w:t>Café da Manhã</w:t>
            </w:r>
          </w:p>
        </w:tc>
        <w:tc>
          <w:tcPr>
            <w:tcW w:w="1426" w:type="dxa"/>
            <w:tcBorders>
              <w:left w:val="single" w:color="000000" w:sz="4" w:space="0"/>
              <w:bottom w:val="single" w:color="000000" w:sz="4" w:space="0"/>
            </w:tcBorders>
            <w:vAlign w:val="center"/>
          </w:tcPr>
          <w:p w14:paraId="5C967E67">
            <w:pPr>
              <w:widowControl w:val="0"/>
              <w:jc w:val="center"/>
              <w:rPr>
                <w:rFonts w:ascii="Arial" w:hAnsi="Arial" w:eastAsia="Arial" w:cs="Arial"/>
              </w:rPr>
            </w:pPr>
            <w:r>
              <w:rPr>
                <w:rFonts w:ascii="Arial" w:hAnsi="Arial" w:eastAsia="Arial" w:cs="Arial"/>
              </w:rPr>
              <w:t>115600</w:t>
            </w:r>
          </w:p>
        </w:tc>
        <w:tc>
          <w:tcPr>
            <w:tcW w:w="850" w:type="dxa"/>
            <w:tcBorders>
              <w:left w:val="single" w:color="000000" w:sz="4" w:space="0"/>
              <w:bottom w:val="single" w:color="000000" w:sz="4" w:space="0"/>
            </w:tcBorders>
            <w:vAlign w:val="center"/>
          </w:tcPr>
          <w:p w14:paraId="147C2F2E">
            <w:pPr>
              <w:widowControl w:val="0"/>
              <w:jc w:val="center"/>
              <w:rPr>
                <w:rFonts w:ascii="Arial" w:hAnsi="Arial" w:eastAsia="Arial" w:cs="Arial"/>
              </w:rPr>
            </w:pPr>
            <w:r>
              <w:rPr>
                <w:rFonts w:ascii="Arial" w:hAnsi="Arial" w:eastAsia="Arial" w:cs="Arial"/>
              </w:rPr>
              <w:t>R$ 5,18</w:t>
            </w:r>
          </w:p>
        </w:tc>
        <w:tc>
          <w:tcPr>
            <w:tcW w:w="1636" w:type="dxa"/>
            <w:tcBorders>
              <w:left w:val="single" w:color="000000" w:sz="4" w:space="0"/>
              <w:bottom w:val="single" w:color="000000" w:sz="4" w:space="0"/>
              <w:right w:val="single" w:color="000000" w:sz="4" w:space="0"/>
            </w:tcBorders>
            <w:vAlign w:val="center"/>
          </w:tcPr>
          <w:p w14:paraId="7B2AB18D">
            <w:pPr>
              <w:widowControl w:val="0"/>
              <w:jc w:val="center"/>
              <w:rPr>
                <w:rFonts w:ascii="Arial" w:hAnsi="Arial" w:eastAsia="Arial" w:cs="Arial"/>
              </w:rPr>
            </w:pPr>
            <w:r>
              <w:rPr>
                <w:rFonts w:ascii="Arial" w:hAnsi="Arial" w:eastAsia="Arial" w:cs="Arial"/>
              </w:rPr>
              <w:t>R$ 598.808,00</w:t>
            </w:r>
          </w:p>
        </w:tc>
      </w:tr>
      <w:tr w14:paraId="49EDFABB">
        <w:tblPrEx>
          <w:tblCellMar>
            <w:top w:w="0" w:type="dxa"/>
            <w:left w:w="108" w:type="dxa"/>
            <w:bottom w:w="0" w:type="dxa"/>
            <w:right w:w="108" w:type="dxa"/>
          </w:tblCellMar>
        </w:tblPrEx>
        <w:trPr>
          <w:trHeight w:val="287" w:hRule="atLeast"/>
        </w:trPr>
        <w:tc>
          <w:tcPr>
            <w:tcW w:w="1064" w:type="dxa"/>
            <w:tcBorders>
              <w:left w:val="single" w:color="000000" w:sz="4" w:space="0"/>
              <w:bottom w:val="single" w:color="000000" w:sz="4" w:space="0"/>
            </w:tcBorders>
            <w:vAlign w:val="center"/>
          </w:tcPr>
          <w:p w14:paraId="50E88E58">
            <w:pPr>
              <w:widowControl w:val="0"/>
              <w:jc w:val="center"/>
              <w:rPr>
                <w:rFonts w:ascii="Arial" w:hAnsi="Arial" w:eastAsia="Arial" w:cs="Arial"/>
                <w:b/>
              </w:rPr>
            </w:pPr>
            <w:r>
              <w:rPr>
                <w:rFonts w:ascii="Arial" w:hAnsi="Arial" w:eastAsia="Arial" w:cs="Arial"/>
                <w:b/>
              </w:rPr>
              <w:t>127823</w:t>
            </w:r>
          </w:p>
        </w:tc>
        <w:tc>
          <w:tcPr>
            <w:tcW w:w="3299" w:type="dxa"/>
            <w:tcBorders>
              <w:left w:val="single" w:color="000000" w:sz="4" w:space="0"/>
              <w:bottom w:val="single" w:color="000000" w:sz="4" w:space="0"/>
            </w:tcBorders>
            <w:vAlign w:val="center"/>
          </w:tcPr>
          <w:p w14:paraId="04A994A6">
            <w:pPr>
              <w:widowControl w:val="0"/>
              <w:jc w:val="center"/>
              <w:rPr>
                <w:rFonts w:ascii="Arial" w:hAnsi="Arial" w:eastAsia="Arial" w:cs="Arial"/>
              </w:rPr>
            </w:pPr>
            <w:r>
              <w:rPr>
                <w:rFonts w:ascii="Arial" w:hAnsi="Arial" w:eastAsia="Arial" w:cs="Arial"/>
              </w:rPr>
              <w:t>Pré-Escola Integral</w:t>
            </w:r>
          </w:p>
        </w:tc>
        <w:tc>
          <w:tcPr>
            <w:tcW w:w="1699" w:type="dxa"/>
            <w:tcBorders>
              <w:left w:val="single" w:color="000000" w:sz="4" w:space="0"/>
              <w:bottom w:val="single" w:color="000000" w:sz="4" w:space="0"/>
            </w:tcBorders>
            <w:vAlign w:val="center"/>
          </w:tcPr>
          <w:p w14:paraId="78B84D23">
            <w:pPr>
              <w:widowControl w:val="0"/>
              <w:jc w:val="center"/>
              <w:rPr>
                <w:rFonts w:ascii="Arial" w:hAnsi="Arial" w:eastAsia="Arial" w:cs="Arial"/>
              </w:rPr>
            </w:pPr>
            <w:r>
              <w:rPr>
                <w:rFonts w:ascii="Arial" w:hAnsi="Arial" w:eastAsia="Arial" w:cs="Arial"/>
              </w:rPr>
              <w:t>Almoço</w:t>
            </w:r>
          </w:p>
        </w:tc>
        <w:tc>
          <w:tcPr>
            <w:tcW w:w="1426" w:type="dxa"/>
            <w:tcBorders>
              <w:left w:val="single" w:color="000000" w:sz="4" w:space="0"/>
              <w:bottom w:val="single" w:color="000000" w:sz="4" w:space="0"/>
            </w:tcBorders>
            <w:vAlign w:val="center"/>
          </w:tcPr>
          <w:p w14:paraId="517437B1">
            <w:pPr>
              <w:widowControl w:val="0"/>
              <w:jc w:val="center"/>
              <w:rPr>
                <w:rFonts w:ascii="Arial" w:hAnsi="Arial" w:eastAsia="Arial" w:cs="Arial"/>
              </w:rPr>
            </w:pPr>
            <w:r>
              <w:rPr>
                <w:rFonts w:ascii="Arial" w:hAnsi="Arial" w:eastAsia="Arial" w:cs="Arial"/>
              </w:rPr>
              <w:t>115600</w:t>
            </w:r>
          </w:p>
        </w:tc>
        <w:tc>
          <w:tcPr>
            <w:tcW w:w="850" w:type="dxa"/>
            <w:tcBorders>
              <w:left w:val="single" w:color="000000" w:sz="4" w:space="0"/>
              <w:bottom w:val="single" w:color="000000" w:sz="4" w:space="0"/>
            </w:tcBorders>
            <w:vAlign w:val="center"/>
          </w:tcPr>
          <w:p w14:paraId="7289646E">
            <w:pPr>
              <w:widowControl w:val="0"/>
              <w:jc w:val="center"/>
              <w:rPr>
                <w:rFonts w:ascii="Arial" w:hAnsi="Arial" w:eastAsia="Arial" w:cs="Arial"/>
              </w:rPr>
            </w:pPr>
            <w:r>
              <w:rPr>
                <w:rFonts w:ascii="Arial" w:hAnsi="Arial" w:eastAsia="Arial" w:cs="Arial"/>
              </w:rPr>
              <w:t>R$ 5,17</w:t>
            </w:r>
          </w:p>
        </w:tc>
        <w:tc>
          <w:tcPr>
            <w:tcW w:w="1636" w:type="dxa"/>
            <w:tcBorders>
              <w:left w:val="single" w:color="000000" w:sz="4" w:space="0"/>
              <w:bottom w:val="single" w:color="000000" w:sz="4" w:space="0"/>
              <w:right w:val="single" w:color="000000" w:sz="4" w:space="0"/>
            </w:tcBorders>
            <w:vAlign w:val="center"/>
          </w:tcPr>
          <w:p w14:paraId="1BDEB5B7">
            <w:pPr>
              <w:widowControl w:val="0"/>
              <w:jc w:val="center"/>
              <w:rPr>
                <w:rFonts w:ascii="Arial" w:hAnsi="Arial" w:eastAsia="Arial" w:cs="Arial"/>
              </w:rPr>
            </w:pPr>
            <w:r>
              <w:rPr>
                <w:rFonts w:ascii="Arial" w:hAnsi="Arial" w:eastAsia="Arial" w:cs="Arial"/>
              </w:rPr>
              <w:t>R$ 597.652,00</w:t>
            </w:r>
          </w:p>
        </w:tc>
      </w:tr>
      <w:tr w14:paraId="55B603F1">
        <w:tblPrEx>
          <w:tblCellMar>
            <w:top w:w="0" w:type="dxa"/>
            <w:left w:w="108" w:type="dxa"/>
            <w:bottom w:w="0" w:type="dxa"/>
            <w:right w:w="108" w:type="dxa"/>
          </w:tblCellMar>
        </w:tblPrEx>
        <w:trPr>
          <w:trHeight w:val="275" w:hRule="atLeast"/>
        </w:trPr>
        <w:tc>
          <w:tcPr>
            <w:tcW w:w="1064" w:type="dxa"/>
            <w:tcBorders>
              <w:left w:val="single" w:color="000000" w:sz="4" w:space="0"/>
              <w:bottom w:val="single" w:color="000000" w:sz="4" w:space="0"/>
            </w:tcBorders>
            <w:vAlign w:val="center"/>
          </w:tcPr>
          <w:p w14:paraId="49B8BC30">
            <w:pPr>
              <w:widowControl w:val="0"/>
              <w:jc w:val="center"/>
              <w:rPr>
                <w:rFonts w:ascii="Arial" w:hAnsi="Arial" w:eastAsia="Arial" w:cs="Arial"/>
                <w:b/>
              </w:rPr>
            </w:pPr>
            <w:r>
              <w:rPr>
                <w:rFonts w:ascii="Arial" w:hAnsi="Arial" w:eastAsia="Arial" w:cs="Arial"/>
                <w:b/>
              </w:rPr>
              <w:t>127824</w:t>
            </w:r>
          </w:p>
        </w:tc>
        <w:tc>
          <w:tcPr>
            <w:tcW w:w="3299" w:type="dxa"/>
            <w:tcBorders>
              <w:left w:val="single" w:color="000000" w:sz="4" w:space="0"/>
              <w:bottom w:val="single" w:color="000000" w:sz="4" w:space="0"/>
            </w:tcBorders>
            <w:vAlign w:val="center"/>
          </w:tcPr>
          <w:p w14:paraId="4F1858A0">
            <w:pPr>
              <w:widowControl w:val="0"/>
              <w:jc w:val="center"/>
              <w:rPr>
                <w:rFonts w:ascii="Arial" w:hAnsi="Arial" w:eastAsia="Arial" w:cs="Arial"/>
              </w:rPr>
            </w:pPr>
            <w:r>
              <w:rPr>
                <w:rFonts w:ascii="Arial" w:hAnsi="Arial" w:eastAsia="Arial" w:cs="Arial"/>
              </w:rPr>
              <w:t>Pré-Escola Integral</w:t>
            </w:r>
          </w:p>
        </w:tc>
        <w:tc>
          <w:tcPr>
            <w:tcW w:w="1699" w:type="dxa"/>
            <w:tcBorders>
              <w:left w:val="single" w:color="000000" w:sz="4" w:space="0"/>
              <w:bottom w:val="single" w:color="000000" w:sz="4" w:space="0"/>
            </w:tcBorders>
            <w:vAlign w:val="center"/>
          </w:tcPr>
          <w:p w14:paraId="740CCE22">
            <w:pPr>
              <w:widowControl w:val="0"/>
              <w:jc w:val="center"/>
              <w:rPr>
                <w:rFonts w:ascii="Arial" w:hAnsi="Arial" w:eastAsia="Arial" w:cs="Arial"/>
              </w:rPr>
            </w:pPr>
            <w:r>
              <w:rPr>
                <w:rFonts w:ascii="Arial" w:hAnsi="Arial" w:eastAsia="Arial" w:cs="Arial"/>
              </w:rPr>
              <w:t>Lanche</w:t>
            </w:r>
          </w:p>
        </w:tc>
        <w:tc>
          <w:tcPr>
            <w:tcW w:w="1426" w:type="dxa"/>
            <w:tcBorders>
              <w:left w:val="single" w:color="000000" w:sz="4" w:space="0"/>
              <w:bottom w:val="single" w:color="000000" w:sz="4" w:space="0"/>
            </w:tcBorders>
            <w:vAlign w:val="center"/>
          </w:tcPr>
          <w:p w14:paraId="2A4CF0A7">
            <w:pPr>
              <w:widowControl w:val="0"/>
              <w:jc w:val="center"/>
              <w:rPr>
                <w:rFonts w:ascii="Arial" w:hAnsi="Arial" w:eastAsia="Arial" w:cs="Arial"/>
              </w:rPr>
            </w:pPr>
            <w:r>
              <w:rPr>
                <w:rFonts w:ascii="Arial" w:hAnsi="Arial" w:eastAsia="Arial" w:cs="Arial"/>
              </w:rPr>
              <w:t>115600</w:t>
            </w:r>
          </w:p>
        </w:tc>
        <w:tc>
          <w:tcPr>
            <w:tcW w:w="850" w:type="dxa"/>
            <w:tcBorders>
              <w:left w:val="single" w:color="000000" w:sz="4" w:space="0"/>
              <w:bottom w:val="single" w:color="000000" w:sz="4" w:space="0"/>
            </w:tcBorders>
            <w:vAlign w:val="center"/>
          </w:tcPr>
          <w:p w14:paraId="64B90BB6">
            <w:pPr>
              <w:widowControl w:val="0"/>
              <w:jc w:val="center"/>
              <w:rPr>
                <w:rFonts w:ascii="Arial" w:hAnsi="Arial" w:eastAsia="Arial" w:cs="Arial"/>
              </w:rPr>
            </w:pPr>
            <w:r>
              <w:rPr>
                <w:rFonts w:ascii="Arial" w:hAnsi="Arial" w:eastAsia="Arial" w:cs="Arial"/>
              </w:rPr>
              <w:t>R$ 5,18</w:t>
            </w:r>
          </w:p>
        </w:tc>
        <w:tc>
          <w:tcPr>
            <w:tcW w:w="1636" w:type="dxa"/>
            <w:tcBorders>
              <w:left w:val="single" w:color="000000" w:sz="4" w:space="0"/>
              <w:bottom w:val="single" w:color="000000" w:sz="4" w:space="0"/>
              <w:right w:val="single" w:color="000000" w:sz="4" w:space="0"/>
            </w:tcBorders>
            <w:vAlign w:val="center"/>
          </w:tcPr>
          <w:p w14:paraId="2A03252D">
            <w:pPr>
              <w:widowControl w:val="0"/>
              <w:jc w:val="center"/>
              <w:rPr>
                <w:rFonts w:ascii="Arial" w:hAnsi="Arial" w:eastAsia="Arial" w:cs="Arial"/>
              </w:rPr>
            </w:pPr>
            <w:r>
              <w:rPr>
                <w:rFonts w:ascii="Arial" w:hAnsi="Arial" w:eastAsia="Arial" w:cs="Arial"/>
              </w:rPr>
              <w:t>R$ 598.808,00</w:t>
            </w:r>
          </w:p>
        </w:tc>
      </w:tr>
      <w:tr w14:paraId="506B75BA">
        <w:tblPrEx>
          <w:tblCellMar>
            <w:top w:w="0" w:type="dxa"/>
            <w:left w:w="108" w:type="dxa"/>
            <w:bottom w:w="0" w:type="dxa"/>
            <w:right w:w="108" w:type="dxa"/>
          </w:tblCellMar>
        </w:tblPrEx>
        <w:trPr>
          <w:trHeight w:val="350" w:hRule="atLeast"/>
        </w:trPr>
        <w:tc>
          <w:tcPr>
            <w:tcW w:w="1064" w:type="dxa"/>
            <w:tcBorders>
              <w:left w:val="single" w:color="000000" w:sz="4" w:space="0"/>
              <w:bottom w:val="single" w:color="000000" w:sz="4" w:space="0"/>
            </w:tcBorders>
            <w:vAlign w:val="center"/>
          </w:tcPr>
          <w:p w14:paraId="42C2112A">
            <w:pPr>
              <w:widowControl w:val="0"/>
              <w:jc w:val="center"/>
              <w:rPr>
                <w:rFonts w:ascii="Arial" w:hAnsi="Arial" w:eastAsia="Arial" w:cs="Arial"/>
                <w:b/>
              </w:rPr>
            </w:pPr>
            <w:r>
              <w:rPr>
                <w:rFonts w:ascii="Arial" w:hAnsi="Arial" w:eastAsia="Arial" w:cs="Arial"/>
                <w:b/>
              </w:rPr>
              <w:t>127825</w:t>
            </w:r>
          </w:p>
        </w:tc>
        <w:tc>
          <w:tcPr>
            <w:tcW w:w="3299" w:type="dxa"/>
            <w:tcBorders>
              <w:left w:val="single" w:color="000000" w:sz="4" w:space="0"/>
              <w:bottom w:val="single" w:color="000000" w:sz="4" w:space="0"/>
            </w:tcBorders>
            <w:vAlign w:val="center"/>
          </w:tcPr>
          <w:p w14:paraId="2A193F37">
            <w:pPr>
              <w:widowControl w:val="0"/>
              <w:jc w:val="center"/>
              <w:rPr>
                <w:rFonts w:ascii="Arial" w:hAnsi="Arial" w:eastAsia="Arial" w:cs="Arial"/>
              </w:rPr>
            </w:pPr>
            <w:r>
              <w:rPr>
                <w:rFonts w:ascii="Arial" w:hAnsi="Arial" w:eastAsia="Arial" w:cs="Arial"/>
              </w:rPr>
              <w:t>Pré-Escola Integral</w:t>
            </w:r>
          </w:p>
        </w:tc>
        <w:tc>
          <w:tcPr>
            <w:tcW w:w="1699" w:type="dxa"/>
            <w:tcBorders>
              <w:left w:val="single" w:color="000000" w:sz="4" w:space="0"/>
              <w:bottom w:val="single" w:color="000000" w:sz="4" w:space="0"/>
            </w:tcBorders>
            <w:vAlign w:val="center"/>
          </w:tcPr>
          <w:p w14:paraId="259AFB59">
            <w:pPr>
              <w:widowControl w:val="0"/>
              <w:jc w:val="center"/>
              <w:rPr>
                <w:rFonts w:ascii="Arial" w:hAnsi="Arial" w:eastAsia="Arial" w:cs="Arial"/>
              </w:rPr>
            </w:pPr>
            <w:r>
              <w:rPr>
                <w:rFonts w:ascii="Arial" w:hAnsi="Arial" w:eastAsia="Arial" w:cs="Arial"/>
              </w:rPr>
              <w:t>Jantar</w:t>
            </w:r>
          </w:p>
        </w:tc>
        <w:tc>
          <w:tcPr>
            <w:tcW w:w="1426" w:type="dxa"/>
            <w:tcBorders>
              <w:left w:val="single" w:color="000000" w:sz="4" w:space="0"/>
              <w:bottom w:val="single" w:color="000000" w:sz="4" w:space="0"/>
            </w:tcBorders>
            <w:vAlign w:val="center"/>
          </w:tcPr>
          <w:p w14:paraId="45A93B0E">
            <w:pPr>
              <w:widowControl w:val="0"/>
              <w:jc w:val="center"/>
              <w:rPr>
                <w:rFonts w:ascii="Arial" w:hAnsi="Arial" w:eastAsia="Arial" w:cs="Arial"/>
              </w:rPr>
            </w:pPr>
            <w:r>
              <w:rPr>
                <w:rFonts w:ascii="Arial" w:hAnsi="Arial" w:eastAsia="Arial" w:cs="Arial"/>
              </w:rPr>
              <w:t>115600</w:t>
            </w:r>
          </w:p>
        </w:tc>
        <w:tc>
          <w:tcPr>
            <w:tcW w:w="850" w:type="dxa"/>
            <w:tcBorders>
              <w:left w:val="single" w:color="000000" w:sz="4" w:space="0"/>
              <w:bottom w:val="single" w:color="000000" w:sz="4" w:space="0"/>
            </w:tcBorders>
            <w:vAlign w:val="center"/>
          </w:tcPr>
          <w:p w14:paraId="084B6AFF">
            <w:pPr>
              <w:widowControl w:val="0"/>
              <w:jc w:val="center"/>
              <w:rPr>
                <w:rFonts w:ascii="Arial" w:hAnsi="Arial" w:eastAsia="Arial" w:cs="Arial"/>
              </w:rPr>
            </w:pPr>
            <w:r>
              <w:rPr>
                <w:rFonts w:ascii="Arial" w:hAnsi="Arial" w:eastAsia="Arial" w:cs="Arial"/>
              </w:rPr>
              <w:t>R$ 5,17</w:t>
            </w:r>
          </w:p>
        </w:tc>
        <w:tc>
          <w:tcPr>
            <w:tcW w:w="1636" w:type="dxa"/>
            <w:tcBorders>
              <w:left w:val="single" w:color="000000" w:sz="4" w:space="0"/>
              <w:bottom w:val="single" w:color="000000" w:sz="4" w:space="0"/>
              <w:right w:val="single" w:color="000000" w:sz="4" w:space="0"/>
            </w:tcBorders>
            <w:vAlign w:val="center"/>
          </w:tcPr>
          <w:p w14:paraId="5054631F">
            <w:pPr>
              <w:widowControl w:val="0"/>
              <w:jc w:val="center"/>
              <w:rPr>
                <w:rFonts w:ascii="Arial" w:hAnsi="Arial" w:eastAsia="Arial" w:cs="Arial"/>
              </w:rPr>
            </w:pPr>
            <w:r>
              <w:rPr>
                <w:rFonts w:ascii="Arial" w:hAnsi="Arial" w:eastAsia="Arial" w:cs="Arial"/>
              </w:rPr>
              <w:t>R$ 597.652,00</w:t>
            </w:r>
          </w:p>
        </w:tc>
      </w:tr>
      <w:tr w14:paraId="5BE482EC">
        <w:tblPrEx>
          <w:tblCellMar>
            <w:top w:w="0" w:type="dxa"/>
            <w:left w:w="108" w:type="dxa"/>
            <w:bottom w:w="0" w:type="dxa"/>
            <w:right w:w="108" w:type="dxa"/>
          </w:tblCellMar>
        </w:tblPrEx>
        <w:trPr>
          <w:trHeight w:val="255" w:hRule="atLeast"/>
        </w:trPr>
        <w:tc>
          <w:tcPr>
            <w:tcW w:w="1064" w:type="dxa"/>
            <w:tcBorders>
              <w:left w:val="single" w:color="000000" w:sz="4" w:space="0"/>
              <w:bottom w:val="single" w:color="000000" w:sz="4" w:space="0"/>
            </w:tcBorders>
            <w:vAlign w:val="center"/>
          </w:tcPr>
          <w:p w14:paraId="459035C4">
            <w:pPr>
              <w:widowControl w:val="0"/>
              <w:jc w:val="center"/>
              <w:rPr>
                <w:rFonts w:ascii="Arial" w:hAnsi="Arial" w:eastAsia="Arial" w:cs="Arial"/>
                <w:b/>
              </w:rPr>
            </w:pPr>
            <w:r>
              <w:rPr>
                <w:rFonts w:ascii="Arial" w:hAnsi="Arial" w:eastAsia="Arial" w:cs="Arial"/>
                <w:b/>
              </w:rPr>
              <w:t>127828</w:t>
            </w:r>
          </w:p>
        </w:tc>
        <w:tc>
          <w:tcPr>
            <w:tcW w:w="3299" w:type="dxa"/>
            <w:tcBorders>
              <w:left w:val="single" w:color="000000" w:sz="4" w:space="0"/>
              <w:bottom w:val="single" w:color="000000" w:sz="4" w:space="0"/>
            </w:tcBorders>
            <w:vAlign w:val="center"/>
          </w:tcPr>
          <w:p w14:paraId="486B67D6">
            <w:pPr>
              <w:widowControl w:val="0"/>
              <w:jc w:val="center"/>
              <w:rPr>
                <w:rFonts w:ascii="Arial" w:hAnsi="Arial" w:eastAsia="Arial" w:cs="Arial"/>
              </w:rPr>
            </w:pPr>
            <w:r>
              <w:rPr>
                <w:rFonts w:ascii="Arial" w:hAnsi="Arial" w:eastAsia="Arial" w:cs="Arial"/>
              </w:rPr>
              <w:t>Ensino Fund. Parcial (matutino)</w:t>
            </w:r>
          </w:p>
        </w:tc>
        <w:tc>
          <w:tcPr>
            <w:tcW w:w="1699" w:type="dxa"/>
            <w:tcBorders>
              <w:left w:val="single" w:color="000000" w:sz="4" w:space="0"/>
              <w:bottom w:val="single" w:color="000000" w:sz="4" w:space="0"/>
            </w:tcBorders>
            <w:vAlign w:val="center"/>
          </w:tcPr>
          <w:p w14:paraId="5B7B4918">
            <w:pPr>
              <w:widowControl w:val="0"/>
              <w:jc w:val="center"/>
              <w:rPr>
                <w:rFonts w:ascii="Arial" w:hAnsi="Arial" w:eastAsia="Arial" w:cs="Arial"/>
              </w:rPr>
            </w:pPr>
            <w:r>
              <w:rPr>
                <w:rFonts w:ascii="Arial" w:hAnsi="Arial" w:eastAsia="Arial" w:cs="Arial"/>
              </w:rPr>
              <w:t>Merenda Escolar</w:t>
            </w:r>
          </w:p>
        </w:tc>
        <w:tc>
          <w:tcPr>
            <w:tcW w:w="1426" w:type="dxa"/>
            <w:tcBorders>
              <w:left w:val="single" w:color="000000" w:sz="4" w:space="0"/>
              <w:bottom w:val="single" w:color="000000" w:sz="4" w:space="0"/>
            </w:tcBorders>
            <w:vAlign w:val="center"/>
          </w:tcPr>
          <w:p w14:paraId="23AFFB15">
            <w:pPr>
              <w:widowControl w:val="0"/>
              <w:jc w:val="center"/>
              <w:rPr>
                <w:rFonts w:ascii="Arial" w:hAnsi="Arial" w:eastAsia="Arial" w:cs="Arial"/>
              </w:rPr>
            </w:pPr>
            <w:r>
              <w:rPr>
                <w:rFonts w:ascii="Arial" w:hAnsi="Arial" w:eastAsia="Arial" w:cs="Arial"/>
              </w:rPr>
              <w:t>1958800</w:t>
            </w:r>
          </w:p>
        </w:tc>
        <w:tc>
          <w:tcPr>
            <w:tcW w:w="850" w:type="dxa"/>
            <w:tcBorders>
              <w:left w:val="single" w:color="000000" w:sz="4" w:space="0"/>
              <w:bottom w:val="single" w:color="000000" w:sz="4" w:space="0"/>
            </w:tcBorders>
            <w:vAlign w:val="center"/>
          </w:tcPr>
          <w:p w14:paraId="3140148B">
            <w:pPr>
              <w:widowControl w:val="0"/>
              <w:jc w:val="center"/>
              <w:rPr>
                <w:rFonts w:ascii="Arial" w:hAnsi="Arial" w:eastAsia="Arial" w:cs="Arial"/>
              </w:rPr>
            </w:pPr>
            <w:r>
              <w:rPr>
                <w:rFonts w:ascii="Arial" w:hAnsi="Arial" w:eastAsia="Arial" w:cs="Arial"/>
              </w:rPr>
              <w:t>R$ 6,70</w:t>
            </w:r>
          </w:p>
        </w:tc>
        <w:tc>
          <w:tcPr>
            <w:tcW w:w="1636" w:type="dxa"/>
            <w:tcBorders>
              <w:left w:val="single" w:color="000000" w:sz="4" w:space="0"/>
              <w:bottom w:val="single" w:color="000000" w:sz="4" w:space="0"/>
              <w:right w:val="single" w:color="000000" w:sz="4" w:space="0"/>
            </w:tcBorders>
            <w:vAlign w:val="center"/>
          </w:tcPr>
          <w:p w14:paraId="0260F004">
            <w:pPr>
              <w:widowControl w:val="0"/>
              <w:jc w:val="center"/>
              <w:rPr>
                <w:rFonts w:ascii="Arial" w:hAnsi="Arial" w:eastAsia="Arial" w:cs="Arial"/>
              </w:rPr>
            </w:pPr>
            <w:r>
              <w:rPr>
                <w:rFonts w:ascii="Arial" w:hAnsi="Arial" w:eastAsia="Arial" w:cs="Arial"/>
              </w:rPr>
              <w:t>R$ 13.123.960,00</w:t>
            </w:r>
          </w:p>
        </w:tc>
      </w:tr>
      <w:tr w14:paraId="46107542">
        <w:tblPrEx>
          <w:tblCellMar>
            <w:top w:w="0" w:type="dxa"/>
            <w:left w:w="108" w:type="dxa"/>
            <w:bottom w:w="0" w:type="dxa"/>
            <w:right w:w="108" w:type="dxa"/>
          </w:tblCellMar>
        </w:tblPrEx>
        <w:trPr>
          <w:trHeight w:val="287" w:hRule="atLeast"/>
        </w:trPr>
        <w:tc>
          <w:tcPr>
            <w:tcW w:w="1064" w:type="dxa"/>
            <w:tcBorders>
              <w:left w:val="single" w:color="000000" w:sz="4" w:space="0"/>
              <w:bottom w:val="single" w:color="000000" w:sz="4" w:space="0"/>
            </w:tcBorders>
            <w:vAlign w:val="center"/>
          </w:tcPr>
          <w:p w14:paraId="687F7DC9">
            <w:pPr>
              <w:widowControl w:val="0"/>
              <w:jc w:val="center"/>
              <w:rPr>
                <w:rFonts w:ascii="Arial" w:hAnsi="Arial" w:eastAsia="Arial" w:cs="Arial"/>
                <w:b/>
              </w:rPr>
            </w:pPr>
            <w:r>
              <w:rPr>
                <w:rFonts w:ascii="Arial" w:hAnsi="Arial" w:eastAsia="Arial" w:cs="Arial"/>
                <w:b/>
              </w:rPr>
              <w:t>127829</w:t>
            </w:r>
          </w:p>
        </w:tc>
        <w:tc>
          <w:tcPr>
            <w:tcW w:w="3299" w:type="dxa"/>
            <w:tcBorders>
              <w:left w:val="single" w:color="000000" w:sz="4" w:space="0"/>
              <w:bottom w:val="single" w:color="000000" w:sz="4" w:space="0"/>
            </w:tcBorders>
            <w:vAlign w:val="center"/>
          </w:tcPr>
          <w:p w14:paraId="7E0987FE">
            <w:pPr>
              <w:widowControl w:val="0"/>
              <w:jc w:val="center"/>
              <w:rPr>
                <w:rFonts w:ascii="Arial" w:hAnsi="Arial" w:eastAsia="Arial" w:cs="Arial"/>
              </w:rPr>
            </w:pPr>
            <w:r>
              <w:rPr>
                <w:rFonts w:ascii="Arial" w:hAnsi="Arial" w:eastAsia="Arial" w:cs="Arial"/>
              </w:rPr>
              <w:t>Ensino Fund. Parcial (vespertino)</w:t>
            </w:r>
          </w:p>
        </w:tc>
        <w:tc>
          <w:tcPr>
            <w:tcW w:w="1699" w:type="dxa"/>
            <w:tcBorders>
              <w:left w:val="single" w:color="000000" w:sz="4" w:space="0"/>
              <w:bottom w:val="single" w:color="000000" w:sz="4" w:space="0"/>
            </w:tcBorders>
            <w:vAlign w:val="center"/>
          </w:tcPr>
          <w:p w14:paraId="4EB324C4">
            <w:pPr>
              <w:widowControl w:val="0"/>
              <w:jc w:val="center"/>
              <w:rPr>
                <w:rFonts w:ascii="Arial" w:hAnsi="Arial" w:eastAsia="Arial" w:cs="Arial"/>
              </w:rPr>
            </w:pPr>
            <w:r>
              <w:rPr>
                <w:rFonts w:ascii="Arial" w:hAnsi="Arial" w:eastAsia="Arial" w:cs="Arial"/>
              </w:rPr>
              <w:t>Merenda Escolar</w:t>
            </w:r>
          </w:p>
        </w:tc>
        <w:tc>
          <w:tcPr>
            <w:tcW w:w="1426" w:type="dxa"/>
            <w:tcBorders>
              <w:left w:val="single" w:color="000000" w:sz="4" w:space="0"/>
              <w:bottom w:val="single" w:color="000000" w:sz="4" w:space="0"/>
            </w:tcBorders>
            <w:vAlign w:val="center"/>
          </w:tcPr>
          <w:p w14:paraId="49965908">
            <w:pPr>
              <w:widowControl w:val="0"/>
              <w:jc w:val="center"/>
              <w:rPr>
                <w:rFonts w:ascii="Arial" w:hAnsi="Arial" w:eastAsia="Arial" w:cs="Arial"/>
              </w:rPr>
            </w:pPr>
            <w:r>
              <w:rPr>
                <w:rFonts w:ascii="Arial" w:hAnsi="Arial" w:eastAsia="Arial" w:cs="Arial"/>
              </w:rPr>
              <w:t>1970200</w:t>
            </w:r>
          </w:p>
        </w:tc>
        <w:tc>
          <w:tcPr>
            <w:tcW w:w="850" w:type="dxa"/>
            <w:tcBorders>
              <w:left w:val="single" w:color="000000" w:sz="4" w:space="0"/>
              <w:bottom w:val="single" w:color="000000" w:sz="4" w:space="0"/>
            </w:tcBorders>
            <w:vAlign w:val="center"/>
          </w:tcPr>
          <w:p w14:paraId="27E25BFA">
            <w:pPr>
              <w:widowControl w:val="0"/>
              <w:jc w:val="center"/>
              <w:rPr>
                <w:rFonts w:ascii="Arial" w:hAnsi="Arial" w:eastAsia="Arial" w:cs="Arial"/>
              </w:rPr>
            </w:pPr>
            <w:r>
              <w:rPr>
                <w:rFonts w:ascii="Arial" w:hAnsi="Arial" w:eastAsia="Arial" w:cs="Arial"/>
              </w:rPr>
              <w:t>R$ 6,70</w:t>
            </w:r>
          </w:p>
        </w:tc>
        <w:tc>
          <w:tcPr>
            <w:tcW w:w="1636" w:type="dxa"/>
            <w:tcBorders>
              <w:left w:val="single" w:color="000000" w:sz="4" w:space="0"/>
              <w:bottom w:val="single" w:color="000000" w:sz="4" w:space="0"/>
              <w:right w:val="single" w:color="000000" w:sz="4" w:space="0"/>
            </w:tcBorders>
            <w:vAlign w:val="center"/>
          </w:tcPr>
          <w:p w14:paraId="31EF5805">
            <w:pPr>
              <w:widowControl w:val="0"/>
              <w:jc w:val="center"/>
              <w:rPr>
                <w:rFonts w:ascii="Arial" w:hAnsi="Arial" w:eastAsia="Arial" w:cs="Arial"/>
              </w:rPr>
            </w:pPr>
            <w:r>
              <w:rPr>
                <w:rFonts w:ascii="Arial" w:hAnsi="Arial" w:eastAsia="Arial" w:cs="Arial"/>
              </w:rPr>
              <w:t>R$ 13.200.340,00</w:t>
            </w:r>
          </w:p>
        </w:tc>
      </w:tr>
      <w:tr w14:paraId="4AA5E55B">
        <w:tblPrEx>
          <w:tblCellMar>
            <w:top w:w="0" w:type="dxa"/>
            <w:left w:w="108" w:type="dxa"/>
            <w:bottom w:w="0" w:type="dxa"/>
            <w:right w:w="108" w:type="dxa"/>
          </w:tblCellMar>
        </w:tblPrEx>
        <w:trPr>
          <w:trHeight w:val="288" w:hRule="atLeast"/>
        </w:trPr>
        <w:tc>
          <w:tcPr>
            <w:tcW w:w="1064" w:type="dxa"/>
            <w:tcBorders>
              <w:left w:val="single" w:color="000000" w:sz="4" w:space="0"/>
              <w:bottom w:val="single" w:color="000000" w:sz="4" w:space="0"/>
            </w:tcBorders>
            <w:vAlign w:val="center"/>
          </w:tcPr>
          <w:p w14:paraId="006F3CB9">
            <w:pPr>
              <w:widowControl w:val="0"/>
              <w:jc w:val="center"/>
              <w:rPr>
                <w:rFonts w:ascii="Arial" w:hAnsi="Arial" w:eastAsia="Arial" w:cs="Arial"/>
                <w:b/>
              </w:rPr>
            </w:pPr>
            <w:r>
              <w:rPr>
                <w:rFonts w:ascii="Arial" w:hAnsi="Arial" w:eastAsia="Arial" w:cs="Arial"/>
                <w:b/>
              </w:rPr>
              <w:t>127830</w:t>
            </w:r>
          </w:p>
        </w:tc>
        <w:tc>
          <w:tcPr>
            <w:tcW w:w="3299" w:type="dxa"/>
            <w:tcBorders>
              <w:left w:val="single" w:color="000000" w:sz="4" w:space="0"/>
              <w:bottom w:val="single" w:color="000000" w:sz="4" w:space="0"/>
            </w:tcBorders>
            <w:vAlign w:val="center"/>
          </w:tcPr>
          <w:p w14:paraId="46792D38">
            <w:pPr>
              <w:widowControl w:val="0"/>
              <w:jc w:val="center"/>
              <w:rPr>
                <w:rFonts w:ascii="Arial" w:hAnsi="Arial" w:eastAsia="Arial" w:cs="Arial"/>
              </w:rPr>
            </w:pPr>
            <w:r>
              <w:rPr>
                <w:rFonts w:ascii="Arial" w:hAnsi="Arial" w:eastAsia="Arial" w:cs="Arial"/>
              </w:rPr>
              <w:t>Ensino Fundamental Integral</w:t>
            </w:r>
          </w:p>
        </w:tc>
        <w:tc>
          <w:tcPr>
            <w:tcW w:w="1699" w:type="dxa"/>
            <w:tcBorders>
              <w:left w:val="single" w:color="000000" w:sz="4" w:space="0"/>
              <w:bottom w:val="single" w:color="000000" w:sz="4" w:space="0"/>
            </w:tcBorders>
            <w:vAlign w:val="center"/>
          </w:tcPr>
          <w:p w14:paraId="31C89709">
            <w:pPr>
              <w:widowControl w:val="0"/>
              <w:jc w:val="center"/>
              <w:rPr>
                <w:rFonts w:ascii="Arial" w:hAnsi="Arial" w:eastAsia="Arial" w:cs="Arial"/>
              </w:rPr>
            </w:pPr>
            <w:r>
              <w:rPr>
                <w:rFonts w:ascii="Arial" w:hAnsi="Arial" w:eastAsia="Arial" w:cs="Arial"/>
              </w:rPr>
              <w:t>Café da Manhã</w:t>
            </w:r>
          </w:p>
        </w:tc>
        <w:tc>
          <w:tcPr>
            <w:tcW w:w="1426" w:type="dxa"/>
            <w:tcBorders>
              <w:left w:val="single" w:color="000000" w:sz="4" w:space="0"/>
              <w:bottom w:val="single" w:color="000000" w:sz="4" w:space="0"/>
            </w:tcBorders>
            <w:vAlign w:val="center"/>
          </w:tcPr>
          <w:p w14:paraId="77570377">
            <w:pPr>
              <w:widowControl w:val="0"/>
              <w:jc w:val="center"/>
              <w:rPr>
                <w:rFonts w:ascii="Arial" w:hAnsi="Arial" w:eastAsia="Arial" w:cs="Arial"/>
              </w:rPr>
            </w:pPr>
            <w:r>
              <w:rPr>
                <w:rFonts w:ascii="Arial" w:hAnsi="Arial" w:eastAsia="Arial" w:cs="Arial"/>
              </w:rPr>
              <w:t>51000</w:t>
            </w:r>
          </w:p>
        </w:tc>
        <w:tc>
          <w:tcPr>
            <w:tcW w:w="850" w:type="dxa"/>
            <w:tcBorders>
              <w:left w:val="single" w:color="000000" w:sz="4" w:space="0"/>
              <w:bottom w:val="single" w:color="000000" w:sz="4" w:space="0"/>
            </w:tcBorders>
            <w:vAlign w:val="center"/>
          </w:tcPr>
          <w:p w14:paraId="602CEC35">
            <w:pPr>
              <w:widowControl w:val="0"/>
              <w:jc w:val="center"/>
              <w:rPr>
                <w:rFonts w:ascii="Arial" w:hAnsi="Arial" w:eastAsia="Arial" w:cs="Arial"/>
              </w:rPr>
            </w:pPr>
            <w:r>
              <w:rPr>
                <w:rFonts w:ascii="Arial" w:hAnsi="Arial" w:eastAsia="Arial" w:cs="Arial"/>
              </w:rPr>
              <w:t>R$ 6,02</w:t>
            </w:r>
          </w:p>
        </w:tc>
        <w:tc>
          <w:tcPr>
            <w:tcW w:w="1636" w:type="dxa"/>
            <w:tcBorders>
              <w:left w:val="single" w:color="000000" w:sz="4" w:space="0"/>
              <w:bottom w:val="single" w:color="000000" w:sz="4" w:space="0"/>
              <w:right w:val="single" w:color="000000" w:sz="4" w:space="0"/>
            </w:tcBorders>
            <w:vAlign w:val="center"/>
          </w:tcPr>
          <w:p w14:paraId="366E9063">
            <w:pPr>
              <w:widowControl w:val="0"/>
              <w:jc w:val="center"/>
              <w:rPr>
                <w:rFonts w:ascii="Arial" w:hAnsi="Arial" w:eastAsia="Arial" w:cs="Arial"/>
              </w:rPr>
            </w:pPr>
            <w:r>
              <w:rPr>
                <w:rFonts w:ascii="Arial" w:hAnsi="Arial" w:eastAsia="Arial" w:cs="Arial"/>
              </w:rPr>
              <w:t>R$ 307.020,00</w:t>
            </w:r>
          </w:p>
        </w:tc>
      </w:tr>
      <w:tr w14:paraId="746E1D3A">
        <w:tblPrEx>
          <w:tblCellMar>
            <w:top w:w="0" w:type="dxa"/>
            <w:left w:w="108" w:type="dxa"/>
            <w:bottom w:w="0" w:type="dxa"/>
            <w:right w:w="108" w:type="dxa"/>
          </w:tblCellMar>
        </w:tblPrEx>
        <w:trPr>
          <w:trHeight w:val="338" w:hRule="atLeast"/>
        </w:trPr>
        <w:tc>
          <w:tcPr>
            <w:tcW w:w="1064" w:type="dxa"/>
            <w:tcBorders>
              <w:left w:val="single" w:color="000000" w:sz="4" w:space="0"/>
              <w:bottom w:val="single" w:color="000000" w:sz="4" w:space="0"/>
            </w:tcBorders>
            <w:vAlign w:val="center"/>
          </w:tcPr>
          <w:p w14:paraId="595CA129">
            <w:pPr>
              <w:widowControl w:val="0"/>
              <w:jc w:val="center"/>
              <w:rPr>
                <w:rFonts w:ascii="Arial" w:hAnsi="Arial" w:eastAsia="Arial" w:cs="Arial"/>
                <w:b/>
              </w:rPr>
            </w:pPr>
            <w:r>
              <w:rPr>
                <w:rFonts w:ascii="Arial" w:hAnsi="Arial" w:eastAsia="Arial" w:cs="Arial"/>
                <w:b/>
              </w:rPr>
              <w:t>127831</w:t>
            </w:r>
          </w:p>
        </w:tc>
        <w:tc>
          <w:tcPr>
            <w:tcW w:w="3299" w:type="dxa"/>
            <w:tcBorders>
              <w:left w:val="single" w:color="000000" w:sz="4" w:space="0"/>
              <w:bottom w:val="single" w:color="000000" w:sz="4" w:space="0"/>
            </w:tcBorders>
            <w:vAlign w:val="center"/>
          </w:tcPr>
          <w:p w14:paraId="519F7836">
            <w:pPr>
              <w:widowControl w:val="0"/>
              <w:jc w:val="center"/>
              <w:rPr>
                <w:rFonts w:ascii="Arial" w:hAnsi="Arial" w:eastAsia="Arial" w:cs="Arial"/>
              </w:rPr>
            </w:pPr>
            <w:r>
              <w:rPr>
                <w:rFonts w:ascii="Arial" w:hAnsi="Arial" w:eastAsia="Arial" w:cs="Arial"/>
              </w:rPr>
              <w:t>Ensino Fundamental Integral</w:t>
            </w:r>
          </w:p>
        </w:tc>
        <w:tc>
          <w:tcPr>
            <w:tcW w:w="1699" w:type="dxa"/>
            <w:tcBorders>
              <w:left w:val="single" w:color="000000" w:sz="4" w:space="0"/>
              <w:bottom w:val="single" w:color="000000" w:sz="4" w:space="0"/>
            </w:tcBorders>
            <w:vAlign w:val="center"/>
          </w:tcPr>
          <w:p w14:paraId="6DD3930B">
            <w:pPr>
              <w:widowControl w:val="0"/>
              <w:jc w:val="center"/>
              <w:rPr>
                <w:rFonts w:ascii="Arial" w:hAnsi="Arial" w:eastAsia="Arial" w:cs="Arial"/>
              </w:rPr>
            </w:pPr>
            <w:r>
              <w:rPr>
                <w:rFonts w:ascii="Arial" w:hAnsi="Arial" w:eastAsia="Arial" w:cs="Arial"/>
              </w:rPr>
              <w:t>Almoço</w:t>
            </w:r>
          </w:p>
        </w:tc>
        <w:tc>
          <w:tcPr>
            <w:tcW w:w="1426" w:type="dxa"/>
            <w:tcBorders>
              <w:left w:val="single" w:color="000000" w:sz="4" w:space="0"/>
              <w:bottom w:val="single" w:color="000000" w:sz="4" w:space="0"/>
            </w:tcBorders>
            <w:vAlign w:val="center"/>
          </w:tcPr>
          <w:p w14:paraId="68BD0E9F">
            <w:pPr>
              <w:widowControl w:val="0"/>
              <w:jc w:val="center"/>
              <w:rPr>
                <w:rFonts w:ascii="Arial" w:hAnsi="Arial" w:eastAsia="Arial" w:cs="Arial"/>
              </w:rPr>
            </w:pPr>
            <w:r>
              <w:rPr>
                <w:rFonts w:ascii="Arial" w:hAnsi="Arial" w:eastAsia="Arial" w:cs="Arial"/>
              </w:rPr>
              <w:t>51000</w:t>
            </w:r>
          </w:p>
        </w:tc>
        <w:tc>
          <w:tcPr>
            <w:tcW w:w="850" w:type="dxa"/>
            <w:tcBorders>
              <w:left w:val="single" w:color="000000" w:sz="4" w:space="0"/>
              <w:bottom w:val="single" w:color="000000" w:sz="4" w:space="0"/>
            </w:tcBorders>
            <w:vAlign w:val="center"/>
          </w:tcPr>
          <w:p w14:paraId="37E6CCE5">
            <w:pPr>
              <w:widowControl w:val="0"/>
              <w:jc w:val="center"/>
              <w:rPr>
                <w:rFonts w:ascii="Arial" w:hAnsi="Arial" w:eastAsia="Arial" w:cs="Arial"/>
              </w:rPr>
            </w:pPr>
            <w:r>
              <w:rPr>
                <w:rFonts w:ascii="Arial" w:hAnsi="Arial" w:eastAsia="Arial" w:cs="Arial"/>
              </w:rPr>
              <w:t>R$ 5,98</w:t>
            </w:r>
          </w:p>
        </w:tc>
        <w:tc>
          <w:tcPr>
            <w:tcW w:w="1636" w:type="dxa"/>
            <w:tcBorders>
              <w:left w:val="single" w:color="000000" w:sz="4" w:space="0"/>
              <w:bottom w:val="single" w:color="000000" w:sz="4" w:space="0"/>
              <w:right w:val="single" w:color="000000" w:sz="4" w:space="0"/>
            </w:tcBorders>
            <w:vAlign w:val="center"/>
          </w:tcPr>
          <w:p w14:paraId="2C4F2C95">
            <w:pPr>
              <w:widowControl w:val="0"/>
              <w:jc w:val="center"/>
              <w:rPr>
                <w:rFonts w:ascii="Arial" w:hAnsi="Arial" w:eastAsia="Arial" w:cs="Arial"/>
              </w:rPr>
            </w:pPr>
            <w:r>
              <w:rPr>
                <w:rFonts w:ascii="Arial" w:hAnsi="Arial" w:eastAsia="Arial" w:cs="Arial"/>
              </w:rPr>
              <w:t>R$ 304.980,00</w:t>
            </w:r>
          </w:p>
        </w:tc>
      </w:tr>
      <w:tr w14:paraId="7FF54E67">
        <w:tblPrEx>
          <w:tblCellMar>
            <w:top w:w="0" w:type="dxa"/>
            <w:left w:w="108" w:type="dxa"/>
            <w:bottom w:w="0" w:type="dxa"/>
            <w:right w:w="108" w:type="dxa"/>
          </w:tblCellMar>
        </w:tblPrEx>
        <w:trPr>
          <w:trHeight w:val="287" w:hRule="atLeast"/>
        </w:trPr>
        <w:tc>
          <w:tcPr>
            <w:tcW w:w="1064" w:type="dxa"/>
            <w:tcBorders>
              <w:left w:val="single" w:color="000000" w:sz="4" w:space="0"/>
              <w:bottom w:val="single" w:color="000000" w:sz="4" w:space="0"/>
            </w:tcBorders>
            <w:vAlign w:val="center"/>
          </w:tcPr>
          <w:p w14:paraId="3F6436C0">
            <w:pPr>
              <w:widowControl w:val="0"/>
              <w:jc w:val="center"/>
              <w:rPr>
                <w:rFonts w:ascii="Arial" w:hAnsi="Arial" w:eastAsia="Arial" w:cs="Arial"/>
                <w:b/>
              </w:rPr>
            </w:pPr>
            <w:r>
              <w:rPr>
                <w:rFonts w:ascii="Arial" w:hAnsi="Arial" w:eastAsia="Arial" w:cs="Arial"/>
                <w:b/>
              </w:rPr>
              <w:t>127832</w:t>
            </w:r>
          </w:p>
        </w:tc>
        <w:tc>
          <w:tcPr>
            <w:tcW w:w="3299" w:type="dxa"/>
            <w:tcBorders>
              <w:left w:val="single" w:color="000000" w:sz="4" w:space="0"/>
              <w:bottom w:val="single" w:color="000000" w:sz="4" w:space="0"/>
            </w:tcBorders>
            <w:vAlign w:val="center"/>
          </w:tcPr>
          <w:p w14:paraId="0295472F">
            <w:pPr>
              <w:widowControl w:val="0"/>
              <w:jc w:val="center"/>
              <w:rPr>
                <w:rFonts w:ascii="Arial" w:hAnsi="Arial" w:eastAsia="Arial" w:cs="Arial"/>
              </w:rPr>
            </w:pPr>
            <w:r>
              <w:rPr>
                <w:rFonts w:ascii="Arial" w:hAnsi="Arial" w:eastAsia="Arial" w:cs="Arial"/>
              </w:rPr>
              <w:t>Ensino Fundamental Integral</w:t>
            </w:r>
          </w:p>
        </w:tc>
        <w:tc>
          <w:tcPr>
            <w:tcW w:w="1699" w:type="dxa"/>
            <w:tcBorders>
              <w:left w:val="single" w:color="000000" w:sz="4" w:space="0"/>
              <w:bottom w:val="single" w:color="000000" w:sz="4" w:space="0"/>
            </w:tcBorders>
            <w:vAlign w:val="center"/>
          </w:tcPr>
          <w:p w14:paraId="33D88AFA">
            <w:pPr>
              <w:widowControl w:val="0"/>
              <w:jc w:val="center"/>
              <w:rPr>
                <w:rFonts w:ascii="Arial" w:hAnsi="Arial" w:eastAsia="Arial" w:cs="Arial"/>
              </w:rPr>
            </w:pPr>
            <w:r>
              <w:rPr>
                <w:rFonts w:ascii="Arial" w:hAnsi="Arial" w:eastAsia="Arial" w:cs="Arial"/>
              </w:rPr>
              <w:t>Lanche</w:t>
            </w:r>
          </w:p>
        </w:tc>
        <w:tc>
          <w:tcPr>
            <w:tcW w:w="1426" w:type="dxa"/>
            <w:tcBorders>
              <w:left w:val="single" w:color="000000" w:sz="4" w:space="0"/>
              <w:bottom w:val="single" w:color="000000" w:sz="4" w:space="0"/>
            </w:tcBorders>
            <w:vAlign w:val="center"/>
          </w:tcPr>
          <w:p w14:paraId="15585571">
            <w:pPr>
              <w:widowControl w:val="0"/>
              <w:jc w:val="center"/>
              <w:rPr>
                <w:rFonts w:ascii="Arial" w:hAnsi="Arial" w:eastAsia="Arial" w:cs="Arial"/>
              </w:rPr>
            </w:pPr>
            <w:r>
              <w:rPr>
                <w:rFonts w:ascii="Arial" w:hAnsi="Arial" w:eastAsia="Arial" w:cs="Arial"/>
              </w:rPr>
              <w:t>51000</w:t>
            </w:r>
          </w:p>
        </w:tc>
        <w:tc>
          <w:tcPr>
            <w:tcW w:w="850" w:type="dxa"/>
            <w:tcBorders>
              <w:left w:val="single" w:color="000000" w:sz="4" w:space="0"/>
              <w:bottom w:val="single" w:color="000000" w:sz="4" w:space="0"/>
            </w:tcBorders>
            <w:vAlign w:val="center"/>
          </w:tcPr>
          <w:p w14:paraId="78D29881">
            <w:pPr>
              <w:widowControl w:val="0"/>
              <w:jc w:val="center"/>
              <w:rPr>
                <w:rFonts w:ascii="Arial" w:hAnsi="Arial" w:eastAsia="Arial" w:cs="Arial"/>
              </w:rPr>
            </w:pPr>
            <w:r>
              <w:rPr>
                <w:rFonts w:ascii="Arial" w:hAnsi="Arial" w:eastAsia="Arial" w:cs="Arial"/>
              </w:rPr>
              <w:t>R$ 6,02</w:t>
            </w:r>
          </w:p>
        </w:tc>
        <w:tc>
          <w:tcPr>
            <w:tcW w:w="1636" w:type="dxa"/>
            <w:tcBorders>
              <w:left w:val="single" w:color="000000" w:sz="4" w:space="0"/>
              <w:bottom w:val="single" w:color="000000" w:sz="4" w:space="0"/>
              <w:right w:val="single" w:color="000000" w:sz="4" w:space="0"/>
            </w:tcBorders>
            <w:vAlign w:val="center"/>
          </w:tcPr>
          <w:p w14:paraId="42317F81">
            <w:pPr>
              <w:widowControl w:val="0"/>
              <w:jc w:val="center"/>
              <w:rPr>
                <w:rFonts w:ascii="Arial" w:hAnsi="Arial" w:eastAsia="Arial" w:cs="Arial"/>
              </w:rPr>
            </w:pPr>
            <w:r>
              <w:rPr>
                <w:rFonts w:ascii="Arial" w:hAnsi="Arial" w:eastAsia="Arial" w:cs="Arial"/>
              </w:rPr>
              <w:t>R$ 307.020,00</w:t>
            </w:r>
          </w:p>
        </w:tc>
      </w:tr>
      <w:tr w14:paraId="614F3955">
        <w:tblPrEx>
          <w:tblCellMar>
            <w:top w:w="0" w:type="dxa"/>
            <w:left w:w="108" w:type="dxa"/>
            <w:bottom w:w="0" w:type="dxa"/>
            <w:right w:w="108" w:type="dxa"/>
          </w:tblCellMar>
        </w:tblPrEx>
        <w:trPr>
          <w:trHeight w:val="338" w:hRule="atLeast"/>
        </w:trPr>
        <w:tc>
          <w:tcPr>
            <w:tcW w:w="1064" w:type="dxa"/>
            <w:tcBorders>
              <w:left w:val="single" w:color="000000" w:sz="4" w:space="0"/>
              <w:bottom w:val="single" w:color="000000" w:sz="4" w:space="0"/>
            </w:tcBorders>
            <w:vAlign w:val="center"/>
          </w:tcPr>
          <w:p w14:paraId="00CDBDC2">
            <w:pPr>
              <w:widowControl w:val="0"/>
              <w:jc w:val="center"/>
              <w:rPr>
                <w:rFonts w:ascii="Arial" w:hAnsi="Arial" w:eastAsia="Arial" w:cs="Arial"/>
                <w:b/>
              </w:rPr>
            </w:pPr>
            <w:r>
              <w:rPr>
                <w:rFonts w:ascii="Arial" w:hAnsi="Arial" w:eastAsia="Arial" w:cs="Arial"/>
                <w:b/>
              </w:rPr>
              <w:t>127833</w:t>
            </w:r>
          </w:p>
        </w:tc>
        <w:tc>
          <w:tcPr>
            <w:tcW w:w="3299" w:type="dxa"/>
            <w:tcBorders>
              <w:left w:val="single" w:color="000000" w:sz="4" w:space="0"/>
              <w:bottom w:val="single" w:color="000000" w:sz="4" w:space="0"/>
            </w:tcBorders>
            <w:vAlign w:val="center"/>
          </w:tcPr>
          <w:p w14:paraId="6FF56429">
            <w:pPr>
              <w:widowControl w:val="0"/>
              <w:jc w:val="center"/>
              <w:rPr>
                <w:rFonts w:ascii="Arial" w:hAnsi="Arial" w:eastAsia="Arial" w:cs="Arial"/>
              </w:rPr>
            </w:pPr>
            <w:r>
              <w:rPr>
                <w:rFonts w:ascii="Arial" w:hAnsi="Arial" w:eastAsia="Arial" w:cs="Arial"/>
              </w:rPr>
              <w:t>Ensino Fundamental Integral</w:t>
            </w:r>
          </w:p>
        </w:tc>
        <w:tc>
          <w:tcPr>
            <w:tcW w:w="1699" w:type="dxa"/>
            <w:tcBorders>
              <w:left w:val="single" w:color="000000" w:sz="4" w:space="0"/>
              <w:bottom w:val="single" w:color="000000" w:sz="4" w:space="0"/>
            </w:tcBorders>
            <w:vAlign w:val="center"/>
          </w:tcPr>
          <w:p w14:paraId="34106AF0">
            <w:pPr>
              <w:widowControl w:val="0"/>
              <w:jc w:val="center"/>
              <w:rPr>
                <w:rFonts w:ascii="Arial" w:hAnsi="Arial" w:eastAsia="Arial" w:cs="Arial"/>
              </w:rPr>
            </w:pPr>
            <w:r>
              <w:rPr>
                <w:rFonts w:ascii="Arial" w:hAnsi="Arial" w:eastAsia="Arial" w:cs="Arial"/>
              </w:rPr>
              <w:t>Jantar</w:t>
            </w:r>
          </w:p>
        </w:tc>
        <w:tc>
          <w:tcPr>
            <w:tcW w:w="1426" w:type="dxa"/>
            <w:tcBorders>
              <w:left w:val="single" w:color="000000" w:sz="4" w:space="0"/>
              <w:bottom w:val="single" w:color="000000" w:sz="4" w:space="0"/>
            </w:tcBorders>
            <w:vAlign w:val="center"/>
          </w:tcPr>
          <w:p w14:paraId="74E349BC">
            <w:pPr>
              <w:widowControl w:val="0"/>
              <w:jc w:val="center"/>
              <w:rPr>
                <w:rFonts w:ascii="Arial" w:hAnsi="Arial" w:eastAsia="Arial" w:cs="Arial"/>
              </w:rPr>
            </w:pPr>
            <w:r>
              <w:rPr>
                <w:rFonts w:ascii="Arial" w:hAnsi="Arial" w:eastAsia="Arial" w:cs="Arial"/>
              </w:rPr>
              <w:t>51000</w:t>
            </w:r>
          </w:p>
        </w:tc>
        <w:tc>
          <w:tcPr>
            <w:tcW w:w="850" w:type="dxa"/>
            <w:tcBorders>
              <w:left w:val="single" w:color="000000" w:sz="4" w:space="0"/>
              <w:bottom w:val="single" w:color="000000" w:sz="4" w:space="0"/>
            </w:tcBorders>
            <w:vAlign w:val="center"/>
          </w:tcPr>
          <w:p w14:paraId="4E909540">
            <w:pPr>
              <w:widowControl w:val="0"/>
              <w:jc w:val="center"/>
              <w:rPr>
                <w:rFonts w:ascii="Arial" w:hAnsi="Arial" w:eastAsia="Arial" w:cs="Arial"/>
              </w:rPr>
            </w:pPr>
            <w:r>
              <w:rPr>
                <w:rFonts w:ascii="Arial" w:hAnsi="Arial" w:eastAsia="Arial" w:cs="Arial"/>
              </w:rPr>
              <w:t>R$ 5,98</w:t>
            </w:r>
          </w:p>
        </w:tc>
        <w:tc>
          <w:tcPr>
            <w:tcW w:w="1636" w:type="dxa"/>
            <w:tcBorders>
              <w:left w:val="single" w:color="000000" w:sz="4" w:space="0"/>
              <w:bottom w:val="single" w:color="000000" w:sz="4" w:space="0"/>
              <w:right w:val="single" w:color="000000" w:sz="4" w:space="0"/>
            </w:tcBorders>
            <w:vAlign w:val="center"/>
          </w:tcPr>
          <w:p w14:paraId="1BBA9E15">
            <w:pPr>
              <w:widowControl w:val="0"/>
              <w:jc w:val="center"/>
              <w:rPr>
                <w:rFonts w:ascii="Arial" w:hAnsi="Arial" w:eastAsia="Arial" w:cs="Arial"/>
              </w:rPr>
            </w:pPr>
            <w:r>
              <w:rPr>
                <w:rFonts w:ascii="Arial" w:hAnsi="Arial" w:eastAsia="Arial" w:cs="Arial"/>
              </w:rPr>
              <w:t>R$ 304.980,00</w:t>
            </w:r>
          </w:p>
        </w:tc>
      </w:tr>
      <w:tr w14:paraId="73426031">
        <w:tblPrEx>
          <w:tblCellMar>
            <w:top w:w="0" w:type="dxa"/>
            <w:left w:w="108" w:type="dxa"/>
            <w:bottom w:w="0" w:type="dxa"/>
            <w:right w:w="108" w:type="dxa"/>
          </w:tblCellMar>
        </w:tblPrEx>
        <w:trPr>
          <w:trHeight w:val="288" w:hRule="atLeast"/>
        </w:trPr>
        <w:tc>
          <w:tcPr>
            <w:tcW w:w="1064" w:type="dxa"/>
            <w:tcBorders>
              <w:left w:val="single" w:color="000000" w:sz="4" w:space="0"/>
              <w:bottom w:val="single" w:color="000000" w:sz="4" w:space="0"/>
            </w:tcBorders>
            <w:vAlign w:val="center"/>
          </w:tcPr>
          <w:p w14:paraId="37576A70">
            <w:pPr>
              <w:widowControl w:val="0"/>
              <w:jc w:val="center"/>
              <w:rPr>
                <w:rFonts w:ascii="Arial" w:hAnsi="Arial" w:eastAsia="Arial" w:cs="Arial"/>
                <w:b/>
              </w:rPr>
            </w:pPr>
            <w:r>
              <w:rPr>
                <w:rFonts w:ascii="Arial" w:hAnsi="Arial" w:eastAsia="Arial" w:cs="Arial"/>
                <w:b/>
              </w:rPr>
              <w:t>127834</w:t>
            </w:r>
          </w:p>
        </w:tc>
        <w:tc>
          <w:tcPr>
            <w:tcW w:w="3299" w:type="dxa"/>
            <w:tcBorders>
              <w:left w:val="single" w:color="000000" w:sz="4" w:space="0"/>
              <w:bottom w:val="single" w:color="000000" w:sz="4" w:space="0"/>
            </w:tcBorders>
            <w:vAlign w:val="center"/>
          </w:tcPr>
          <w:p w14:paraId="2F9B2E7E">
            <w:pPr>
              <w:widowControl w:val="0"/>
              <w:jc w:val="center"/>
              <w:rPr>
                <w:rFonts w:ascii="Arial" w:hAnsi="Arial" w:eastAsia="Arial" w:cs="Arial"/>
              </w:rPr>
            </w:pPr>
            <w:r>
              <w:rPr>
                <w:rFonts w:ascii="Arial" w:hAnsi="Arial" w:eastAsia="Arial" w:cs="Arial"/>
              </w:rPr>
              <w:t>EJA – Educação de Jovens e Adultos</w:t>
            </w:r>
          </w:p>
        </w:tc>
        <w:tc>
          <w:tcPr>
            <w:tcW w:w="1699" w:type="dxa"/>
            <w:tcBorders>
              <w:left w:val="single" w:color="000000" w:sz="4" w:space="0"/>
              <w:bottom w:val="single" w:color="000000" w:sz="4" w:space="0"/>
            </w:tcBorders>
            <w:vAlign w:val="center"/>
          </w:tcPr>
          <w:p w14:paraId="6F536F83">
            <w:pPr>
              <w:widowControl w:val="0"/>
              <w:jc w:val="center"/>
              <w:rPr>
                <w:rFonts w:ascii="Arial" w:hAnsi="Arial" w:eastAsia="Arial" w:cs="Arial"/>
              </w:rPr>
            </w:pPr>
            <w:r>
              <w:rPr>
                <w:rFonts w:ascii="Arial" w:hAnsi="Arial" w:eastAsia="Arial" w:cs="Arial"/>
              </w:rPr>
              <w:t>Lanche Noturno</w:t>
            </w:r>
          </w:p>
        </w:tc>
        <w:tc>
          <w:tcPr>
            <w:tcW w:w="1426" w:type="dxa"/>
            <w:tcBorders>
              <w:left w:val="single" w:color="000000" w:sz="4" w:space="0"/>
              <w:bottom w:val="single" w:color="000000" w:sz="4" w:space="0"/>
            </w:tcBorders>
            <w:vAlign w:val="center"/>
          </w:tcPr>
          <w:p w14:paraId="6EE9E953">
            <w:pPr>
              <w:widowControl w:val="0"/>
              <w:jc w:val="center"/>
              <w:rPr>
                <w:rFonts w:ascii="Arial" w:hAnsi="Arial" w:eastAsia="Arial" w:cs="Arial"/>
              </w:rPr>
            </w:pPr>
            <w:r>
              <w:rPr>
                <w:rFonts w:ascii="Arial" w:hAnsi="Arial" w:eastAsia="Arial" w:cs="Arial"/>
              </w:rPr>
              <w:t>79200</w:t>
            </w:r>
          </w:p>
        </w:tc>
        <w:tc>
          <w:tcPr>
            <w:tcW w:w="850" w:type="dxa"/>
            <w:tcBorders>
              <w:left w:val="single" w:color="000000" w:sz="4" w:space="0"/>
              <w:bottom w:val="single" w:color="000000" w:sz="4" w:space="0"/>
            </w:tcBorders>
            <w:vAlign w:val="center"/>
          </w:tcPr>
          <w:p w14:paraId="1EA9155B">
            <w:pPr>
              <w:widowControl w:val="0"/>
              <w:jc w:val="center"/>
              <w:rPr>
                <w:rFonts w:ascii="Arial" w:hAnsi="Arial" w:eastAsia="Arial" w:cs="Arial"/>
              </w:rPr>
            </w:pPr>
            <w:r>
              <w:rPr>
                <w:rFonts w:ascii="Arial" w:hAnsi="Arial" w:eastAsia="Arial" w:cs="Arial"/>
              </w:rPr>
              <w:t>R$ 6,13</w:t>
            </w:r>
          </w:p>
        </w:tc>
        <w:tc>
          <w:tcPr>
            <w:tcW w:w="1636" w:type="dxa"/>
            <w:tcBorders>
              <w:left w:val="single" w:color="000000" w:sz="4" w:space="0"/>
              <w:bottom w:val="single" w:color="000000" w:sz="4" w:space="0"/>
              <w:right w:val="single" w:color="000000" w:sz="4" w:space="0"/>
            </w:tcBorders>
            <w:vAlign w:val="center"/>
          </w:tcPr>
          <w:p w14:paraId="57A515CE">
            <w:pPr>
              <w:widowControl w:val="0"/>
              <w:jc w:val="center"/>
              <w:rPr>
                <w:rFonts w:ascii="Arial" w:hAnsi="Arial" w:eastAsia="Arial" w:cs="Arial"/>
              </w:rPr>
            </w:pPr>
            <w:r>
              <w:rPr>
                <w:rFonts w:ascii="Arial" w:hAnsi="Arial" w:eastAsia="Arial" w:cs="Arial"/>
              </w:rPr>
              <w:t>R$ 485.496,00</w:t>
            </w:r>
          </w:p>
        </w:tc>
      </w:tr>
      <w:tr w14:paraId="1E47F2D1">
        <w:tblPrEx>
          <w:tblCellMar>
            <w:top w:w="0" w:type="dxa"/>
            <w:left w:w="108" w:type="dxa"/>
            <w:bottom w:w="0" w:type="dxa"/>
            <w:right w:w="108" w:type="dxa"/>
          </w:tblCellMar>
        </w:tblPrEx>
        <w:trPr>
          <w:trHeight w:val="262" w:hRule="atLeast"/>
        </w:trPr>
        <w:tc>
          <w:tcPr>
            <w:tcW w:w="1064" w:type="dxa"/>
            <w:tcBorders>
              <w:left w:val="single" w:color="000000" w:sz="4" w:space="0"/>
              <w:bottom w:val="single" w:color="000000" w:sz="4" w:space="0"/>
            </w:tcBorders>
            <w:vAlign w:val="center"/>
          </w:tcPr>
          <w:p w14:paraId="54712844">
            <w:pPr>
              <w:widowControl w:val="0"/>
              <w:jc w:val="center"/>
              <w:rPr>
                <w:rFonts w:ascii="Arial" w:hAnsi="Arial" w:eastAsia="Arial" w:cs="Arial"/>
                <w:b/>
              </w:rPr>
            </w:pPr>
            <w:r>
              <w:rPr>
                <w:rFonts w:ascii="Arial" w:hAnsi="Arial" w:eastAsia="Arial" w:cs="Arial"/>
                <w:b/>
              </w:rPr>
              <w:t>127835</w:t>
            </w:r>
          </w:p>
        </w:tc>
        <w:tc>
          <w:tcPr>
            <w:tcW w:w="3299" w:type="dxa"/>
            <w:tcBorders>
              <w:left w:val="single" w:color="000000" w:sz="4" w:space="0"/>
              <w:bottom w:val="single" w:color="000000" w:sz="4" w:space="0"/>
            </w:tcBorders>
            <w:vAlign w:val="center"/>
          </w:tcPr>
          <w:p w14:paraId="1422AB45">
            <w:pPr>
              <w:widowControl w:val="0"/>
              <w:jc w:val="center"/>
              <w:rPr>
                <w:rFonts w:ascii="Arial" w:hAnsi="Arial" w:eastAsia="Arial" w:cs="Arial"/>
              </w:rPr>
            </w:pPr>
            <w:r>
              <w:rPr>
                <w:rFonts w:ascii="Arial" w:hAnsi="Arial" w:eastAsia="Arial" w:cs="Arial"/>
              </w:rPr>
              <w:t>AEE – Pré-Escola e Fundamental</w:t>
            </w:r>
          </w:p>
        </w:tc>
        <w:tc>
          <w:tcPr>
            <w:tcW w:w="1699" w:type="dxa"/>
            <w:tcBorders>
              <w:left w:val="single" w:color="000000" w:sz="4" w:space="0"/>
              <w:bottom w:val="single" w:color="000000" w:sz="4" w:space="0"/>
            </w:tcBorders>
            <w:vAlign w:val="center"/>
          </w:tcPr>
          <w:p w14:paraId="1111457E">
            <w:pPr>
              <w:widowControl w:val="0"/>
              <w:jc w:val="center"/>
              <w:rPr>
                <w:rFonts w:ascii="Arial" w:hAnsi="Arial" w:eastAsia="Arial" w:cs="Arial"/>
              </w:rPr>
            </w:pPr>
            <w:r>
              <w:rPr>
                <w:rFonts w:ascii="Arial" w:hAnsi="Arial" w:eastAsia="Arial" w:cs="Arial"/>
              </w:rPr>
              <w:t>Merenda suplementar</w:t>
            </w:r>
          </w:p>
        </w:tc>
        <w:tc>
          <w:tcPr>
            <w:tcW w:w="1426" w:type="dxa"/>
            <w:tcBorders>
              <w:left w:val="single" w:color="000000" w:sz="4" w:space="0"/>
              <w:bottom w:val="single" w:color="000000" w:sz="4" w:space="0"/>
            </w:tcBorders>
            <w:vAlign w:val="center"/>
          </w:tcPr>
          <w:p w14:paraId="5EA3BAEE">
            <w:pPr>
              <w:widowControl w:val="0"/>
              <w:jc w:val="center"/>
              <w:rPr>
                <w:rFonts w:ascii="Arial" w:hAnsi="Arial" w:eastAsia="Arial" w:cs="Arial"/>
              </w:rPr>
            </w:pPr>
            <w:r>
              <w:rPr>
                <w:rFonts w:ascii="Arial" w:hAnsi="Arial" w:eastAsia="Arial" w:cs="Arial"/>
              </w:rPr>
              <w:t>126800</w:t>
            </w:r>
          </w:p>
        </w:tc>
        <w:tc>
          <w:tcPr>
            <w:tcW w:w="850" w:type="dxa"/>
            <w:tcBorders>
              <w:left w:val="single" w:color="000000" w:sz="4" w:space="0"/>
              <w:bottom w:val="single" w:color="000000" w:sz="4" w:space="0"/>
            </w:tcBorders>
            <w:vAlign w:val="center"/>
          </w:tcPr>
          <w:p w14:paraId="4A47133A">
            <w:pPr>
              <w:widowControl w:val="0"/>
              <w:jc w:val="center"/>
              <w:rPr>
                <w:rFonts w:ascii="Arial" w:hAnsi="Arial" w:eastAsia="Arial" w:cs="Arial"/>
              </w:rPr>
            </w:pPr>
            <w:r>
              <w:rPr>
                <w:rFonts w:ascii="Arial" w:hAnsi="Arial" w:eastAsia="Arial" w:cs="Arial"/>
              </w:rPr>
              <w:t>R$ 6,28</w:t>
            </w:r>
          </w:p>
        </w:tc>
        <w:tc>
          <w:tcPr>
            <w:tcW w:w="1636" w:type="dxa"/>
            <w:tcBorders>
              <w:left w:val="single" w:color="000000" w:sz="4" w:space="0"/>
              <w:bottom w:val="single" w:color="000000" w:sz="4" w:space="0"/>
              <w:right w:val="single" w:color="000000" w:sz="4" w:space="0"/>
            </w:tcBorders>
            <w:vAlign w:val="center"/>
          </w:tcPr>
          <w:p w14:paraId="23B97EF3">
            <w:pPr>
              <w:widowControl w:val="0"/>
              <w:jc w:val="center"/>
              <w:rPr>
                <w:rFonts w:ascii="Arial" w:hAnsi="Arial" w:eastAsia="Arial" w:cs="Arial"/>
              </w:rPr>
            </w:pPr>
            <w:r>
              <w:rPr>
                <w:rFonts w:ascii="Arial" w:hAnsi="Arial" w:eastAsia="Arial" w:cs="Arial"/>
              </w:rPr>
              <w:t>R$ 796.304,00</w:t>
            </w:r>
          </w:p>
        </w:tc>
      </w:tr>
      <w:tr w14:paraId="2F7FEAE0">
        <w:tblPrEx>
          <w:tblCellMar>
            <w:top w:w="0" w:type="dxa"/>
            <w:left w:w="108" w:type="dxa"/>
            <w:bottom w:w="0" w:type="dxa"/>
            <w:right w:w="108" w:type="dxa"/>
          </w:tblCellMar>
        </w:tblPrEx>
        <w:trPr>
          <w:trHeight w:val="349" w:hRule="atLeast"/>
        </w:trPr>
        <w:tc>
          <w:tcPr>
            <w:tcW w:w="1064" w:type="dxa"/>
            <w:tcBorders>
              <w:left w:val="single" w:color="000000" w:sz="4" w:space="0"/>
              <w:bottom w:val="single" w:color="000000" w:sz="4" w:space="0"/>
            </w:tcBorders>
            <w:vAlign w:val="center"/>
          </w:tcPr>
          <w:p w14:paraId="493AFACA">
            <w:pPr>
              <w:widowControl w:val="0"/>
              <w:jc w:val="center"/>
              <w:rPr>
                <w:rFonts w:ascii="Arial" w:hAnsi="Arial" w:eastAsia="Arial" w:cs="Arial"/>
                <w:b/>
              </w:rPr>
            </w:pPr>
            <w:r>
              <w:rPr>
                <w:rFonts w:ascii="Arial" w:hAnsi="Arial" w:eastAsia="Arial" w:cs="Arial"/>
                <w:b/>
              </w:rPr>
              <w:t>127836</w:t>
            </w:r>
          </w:p>
        </w:tc>
        <w:tc>
          <w:tcPr>
            <w:tcW w:w="3299" w:type="dxa"/>
            <w:tcBorders>
              <w:left w:val="single" w:color="000000" w:sz="4" w:space="0"/>
              <w:bottom w:val="single" w:color="000000" w:sz="4" w:space="0"/>
            </w:tcBorders>
            <w:vAlign w:val="center"/>
          </w:tcPr>
          <w:p w14:paraId="76B4006E">
            <w:pPr>
              <w:widowControl w:val="0"/>
              <w:jc w:val="center"/>
              <w:rPr>
                <w:rFonts w:ascii="Arial" w:hAnsi="Arial" w:eastAsia="Arial" w:cs="Arial"/>
              </w:rPr>
            </w:pPr>
            <w:r>
              <w:rPr>
                <w:rFonts w:ascii="Arial" w:hAnsi="Arial" w:eastAsia="Arial" w:cs="Arial"/>
              </w:rPr>
              <w:t>AEE – Creche (matutino)</w:t>
            </w:r>
          </w:p>
        </w:tc>
        <w:tc>
          <w:tcPr>
            <w:tcW w:w="1699" w:type="dxa"/>
            <w:tcBorders>
              <w:left w:val="single" w:color="000000" w:sz="4" w:space="0"/>
              <w:bottom w:val="single" w:color="000000" w:sz="4" w:space="0"/>
            </w:tcBorders>
            <w:vAlign w:val="center"/>
          </w:tcPr>
          <w:p w14:paraId="72816F1F">
            <w:pPr>
              <w:widowControl w:val="0"/>
              <w:jc w:val="center"/>
              <w:rPr>
                <w:rFonts w:ascii="Arial" w:hAnsi="Arial" w:eastAsia="Arial" w:cs="Arial"/>
              </w:rPr>
            </w:pPr>
            <w:r>
              <w:rPr>
                <w:rFonts w:ascii="Arial" w:hAnsi="Arial" w:eastAsia="Arial" w:cs="Arial"/>
              </w:rPr>
              <w:t>Café da Manhã</w:t>
            </w:r>
          </w:p>
        </w:tc>
        <w:tc>
          <w:tcPr>
            <w:tcW w:w="1426" w:type="dxa"/>
            <w:tcBorders>
              <w:left w:val="single" w:color="000000" w:sz="4" w:space="0"/>
              <w:bottom w:val="single" w:color="000000" w:sz="4" w:space="0"/>
            </w:tcBorders>
            <w:vAlign w:val="center"/>
          </w:tcPr>
          <w:p w14:paraId="6A90FF81">
            <w:pPr>
              <w:widowControl w:val="0"/>
              <w:jc w:val="center"/>
              <w:rPr>
                <w:rFonts w:ascii="Arial" w:hAnsi="Arial" w:eastAsia="Arial" w:cs="Arial"/>
              </w:rPr>
            </w:pPr>
            <w:r>
              <w:rPr>
                <w:rFonts w:ascii="Arial" w:hAnsi="Arial" w:eastAsia="Arial" w:cs="Arial"/>
              </w:rPr>
              <w:t>45000</w:t>
            </w:r>
          </w:p>
        </w:tc>
        <w:tc>
          <w:tcPr>
            <w:tcW w:w="850" w:type="dxa"/>
            <w:tcBorders>
              <w:left w:val="single" w:color="000000" w:sz="4" w:space="0"/>
              <w:bottom w:val="single" w:color="000000" w:sz="4" w:space="0"/>
            </w:tcBorders>
            <w:vAlign w:val="center"/>
          </w:tcPr>
          <w:p w14:paraId="57A6F2D2">
            <w:pPr>
              <w:widowControl w:val="0"/>
              <w:jc w:val="center"/>
              <w:rPr>
                <w:rFonts w:ascii="Arial" w:hAnsi="Arial" w:eastAsia="Arial" w:cs="Arial"/>
              </w:rPr>
            </w:pPr>
            <w:r>
              <w:rPr>
                <w:rFonts w:ascii="Arial" w:hAnsi="Arial" w:eastAsia="Arial" w:cs="Arial"/>
              </w:rPr>
              <w:t>R$ 6,43</w:t>
            </w:r>
          </w:p>
        </w:tc>
        <w:tc>
          <w:tcPr>
            <w:tcW w:w="1636" w:type="dxa"/>
            <w:tcBorders>
              <w:left w:val="single" w:color="000000" w:sz="4" w:space="0"/>
              <w:bottom w:val="single" w:color="000000" w:sz="4" w:space="0"/>
              <w:right w:val="single" w:color="000000" w:sz="4" w:space="0"/>
            </w:tcBorders>
            <w:vAlign w:val="center"/>
          </w:tcPr>
          <w:p w14:paraId="3ABE3EE7">
            <w:pPr>
              <w:widowControl w:val="0"/>
              <w:jc w:val="center"/>
              <w:rPr>
                <w:rFonts w:ascii="Arial" w:hAnsi="Arial" w:eastAsia="Arial" w:cs="Arial"/>
              </w:rPr>
            </w:pPr>
            <w:r>
              <w:rPr>
                <w:rFonts w:ascii="Arial" w:hAnsi="Arial" w:eastAsia="Arial" w:cs="Arial"/>
              </w:rPr>
              <w:t>R$ 289.350,00</w:t>
            </w:r>
          </w:p>
        </w:tc>
      </w:tr>
      <w:tr w14:paraId="4E50A3B3">
        <w:tblPrEx>
          <w:tblCellMar>
            <w:top w:w="0" w:type="dxa"/>
            <w:left w:w="108" w:type="dxa"/>
            <w:bottom w:w="0" w:type="dxa"/>
            <w:right w:w="108" w:type="dxa"/>
          </w:tblCellMar>
        </w:tblPrEx>
        <w:trPr>
          <w:trHeight w:val="267" w:hRule="atLeast"/>
        </w:trPr>
        <w:tc>
          <w:tcPr>
            <w:tcW w:w="1064" w:type="dxa"/>
            <w:tcBorders>
              <w:left w:val="single" w:color="000000" w:sz="4" w:space="0"/>
              <w:bottom w:val="single" w:color="000000" w:sz="4" w:space="0"/>
            </w:tcBorders>
            <w:vAlign w:val="center"/>
          </w:tcPr>
          <w:p w14:paraId="59626DBD">
            <w:pPr>
              <w:widowControl w:val="0"/>
              <w:jc w:val="center"/>
              <w:rPr>
                <w:rFonts w:ascii="Arial" w:hAnsi="Arial" w:eastAsia="Arial" w:cs="Arial"/>
                <w:b/>
              </w:rPr>
            </w:pPr>
            <w:r>
              <w:rPr>
                <w:rFonts w:ascii="Arial" w:hAnsi="Arial" w:eastAsia="Arial" w:cs="Arial"/>
                <w:b/>
              </w:rPr>
              <w:t>127837</w:t>
            </w:r>
          </w:p>
        </w:tc>
        <w:tc>
          <w:tcPr>
            <w:tcW w:w="3299" w:type="dxa"/>
            <w:tcBorders>
              <w:left w:val="single" w:color="000000" w:sz="4" w:space="0"/>
              <w:bottom w:val="single" w:color="000000" w:sz="4" w:space="0"/>
            </w:tcBorders>
            <w:vAlign w:val="center"/>
          </w:tcPr>
          <w:p w14:paraId="3018C7C0">
            <w:pPr>
              <w:widowControl w:val="0"/>
              <w:jc w:val="center"/>
              <w:rPr>
                <w:rFonts w:ascii="Arial" w:hAnsi="Arial" w:eastAsia="Arial" w:cs="Arial"/>
              </w:rPr>
            </w:pPr>
            <w:r>
              <w:rPr>
                <w:rFonts w:ascii="Arial" w:hAnsi="Arial" w:eastAsia="Arial" w:cs="Arial"/>
              </w:rPr>
              <w:t>AEE – Creche (matutino)</w:t>
            </w:r>
          </w:p>
        </w:tc>
        <w:tc>
          <w:tcPr>
            <w:tcW w:w="1699" w:type="dxa"/>
            <w:tcBorders>
              <w:left w:val="single" w:color="000000" w:sz="4" w:space="0"/>
              <w:bottom w:val="single" w:color="000000" w:sz="4" w:space="0"/>
            </w:tcBorders>
            <w:vAlign w:val="center"/>
          </w:tcPr>
          <w:p w14:paraId="41B3CD4B">
            <w:pPr>
              <w:widowControl w:val="0"/>
              <w:jc w:val="center"/>
              <w:rPr>
                <w:rFonts w:ascii="Arial" w:hAnsi="Arial" w:eastAsia="Arial" w:cs="Arial"/>
              </w:rPr>
            </w:pPr>
            <w:r>
              <w:rPr>
                <w:rFonts w:ascii="Arial" w:hAnsi="Arial" w:eastAsia="Arial" w:cs="Arial"/>
              </w:rPr>
              <w:t>Almoço</w:t>
            </w:r>
          </w:p>
        </w:tc>
        <w:tc>
          <w:tcPr>
            <w:tcW w:w="1426" w:type="dxa"/>
            <w:tcBorders>
              <w:left w:val="single" w:color="000000" w:sz="4" w:space="0"/>
              <w:bottom w:val="single" w:color="000000" w:sz="4" w:space="0"/>
            </w:tcBorders>
            <w:vAlign w:val="center"/>
          </w:tcPr>
          <w:p w14:paraId="29D78718">
            <w:pPr>
              <w:widowControl w:val="0"/>
              <w:jc w:val="center"/>
              <w:rPr>
                <w:rFonts w:ascii="Arial" w:hAnsi="Arial" w:eastAsia="Arial" w:cs="Arial"/>
              </w:rPr>
            </w:pPr>
            <w:r>
              <w:rPr>
                <w:rFonts w:ascii="Arial" w:hAnsi="Arial" w:eastAsia="Arial" w:cs="Arial"/>
              </w:rPr>
              <w:t>45000</w:t>
            </w:r>
          </w:p>
        </w:tc>
        <w:tc>
          <w:tcPr>
            <w:tcW w:w="850" w:type="dxa"/>
            <w:tcBorders>
              <w:left w:val="single" w:color="000000" w:sz="4" w:space="0"/>
              <w:bottom w:val="single" w:color="000000" w:sz="4" w:space="0"/>
            </w:tcBorders>
            <w:vAlign w:val="center"/>
          </w:tcPr>
          <w:p w14:paraId="4C667D2F">
            <w:pPr>
              <w:widowControl w:val="0"/>
              <w:jc w:val="center"/>
              <w:rPr>
                <w:rFonts w:ascii="Arial" w:hAnsi="Arial" w:eastAsia="Arial" w:cs="Arial"/>
              </w:rPr>
            </w:pPr>
            <w:r>
              <w:rPr>
                <w:rFonts w:ascii="Arial" w:hAnsi="Arial" w:eastAsia="Arial" w:cs="Arial"/>
              </w:rPr>
              <w:t>R$ 6,35</w:t>
            </w:r>
          </w:p>
        </w:tc>
        <w:tc>
          <w:tcPr>
            <w:tcW w:w="1636" w:type="dxa"/>
            <w:tcBorders>
              <w:left w:val="single" w:color="000000" w:sz="4" w:space="0"/>
              <w:bottom w:val="single" w:color="000000" w:sz="4" w:space="0"/>
              <w:right w:val="single" w:color="000000" w:sz="4" w:space="0"/>
            </w:tcBorders>
            <w:vAlign w:val="center"/>
          </w:tcPr>
          <w:p w14:paraId="12DD4945">
            <w:pPr>
              <w:widowControl w:val="0"/>
              <w:jc w:val="center"/>
              <w:rPr>
                <w:rFonts w:ascii="Arial" w:hAnsi="Arial" w:eastAsia="Arial" w:cs="Arial"/>
              </w:rPr>
            </w:pPr>
            <w:r>
              <w:rPr>
                <w:rFonts w:ascii="Arial" w:hAnsi="Arial" w:eastAsia="Arial" w:cs="Arial"/>
              </w:rPr>
              <w:t>R$ 285.750,00</w:t>
            </w:r>
          </w:p>
        </w:tc>
      </w:tr>
      <w:tr w14:paraId="0E1CDD67">
        <w:tblPrEx>
          <w:tblCellMar>
            <w:top w:w="0" w:type="dxa"/>
            <w:left w:w="108" w:type="dxa"/>
            <w:bottom w:w="0" w:type="dxa"/>
            <w:right w:w="108" w:type="dxa"/>
          </w:tblCellMar>
        </w:tblPrEx>
        <w:trPr>
          <w:trHeight w:val="338" w:hRule="atLeast"/>
        </w:trPr>
        <w:tc>
          <w:tcPr>
            <w:tcW w:w="1064" w:type="dxa"/>
            <w:tcBorders>
              <w:left w:val="single" w:color="000000" w:sz="4" w:space="0"/>
              <w:bottom w:val="single" w:color="000000" w:sz="4" w:space="0"/>
            </w:tcBorders>
            <w:vAlign w:val="center"/>
          </w:tcPr>
          <w:p w14:paraId="06A4D662">
            <w:pPr>
              <w:widowControl w:val="0"/>
              <w:jc w:val="center"/>
              <w:rPr>
                <w:rFonts w:ascii="Arial" w:hAnsi="Arial" w:eastAsia="Arial" w:cs="Arial"/>
                <w:b/>
              </w:rPr>
            </w:pPr>
            <w:r>
              <w:rPr>
                <w:rFonts w:ascii="Arial" w:hAnsi="Arial" w:eastAsia="Arial" w:cs="Arial"/>
                <w:b/>
              </w:rPr>
              <w:t>127838</w:t>
            </w:r>
          </w:p>
        </w:tc>
        <w:tc>
          <w:tcPr>
            <w:tcW w:w="3299" w:type="dxa"/>
            <w:tcBorders>
              <w:left w:val="single" w:color="000000" w:sz="4" w:space="0"/>
              <w:bottom w:val="single" w:color="000000" w:sz="4" w:space="0"/>
            </w:tcBorders>
            <w:vAlign w:val="center"/>
          </w:tcPr>
          <w:p w14:paraId="7CC12498">
            <w:pPr>
              <w:widowControl w:val="0"/>
              <w:jc w:val="center"/>
              <w:rPr>
                <w:rFonts w:ascii="Arial" w:hAnsi="Arial" w:eastAsia="Arial" w:cs="Arial"/>
              </w:rPr>
            </w:pPr>
            <w:r>
              <w:rPr>
                <w:rFonts w:ascii="Arial" w:hAnsi="Arial" w:eastAsia="Arial" w:cs="Arial"/>
              </w:rPr>
              <w:t>AEE – Creche (vespertino)</w:t>
            </w:r>
          </w:p>
        </w:tc>
        <w:tc>
          <w:tcPr>
            <w:tcW w:w="1699" w:type="dxa"/>
            <w:tcBorders>
              <w:left w:val="single" w:color="000000" w:sz="4" w:space="0"/>
              <w:bottom w:val="single" w:color="000000" w:sz="4" w:space="0"/>
            </w:tcBorders>
            <w:vAlign w:val="center"/>
          </w:tcPr>
          <w:p w14:paraId="18A5E7DD">
            <w:pPr>
              <w:widowControl w:val="0"/>
              <w:jc w:val="center"/>
              <w:rPr>
                <w:rFonts w:ascii="Arial" w:hAnsi="Arial" w:eastAsia="Arial" w:cs="Arial"/>
              </w:rPr>
            </w:pPr>
            <w:r>
              <w:rPr>
                <w:rFonts w:ascii="Arial" w:hAnsi="Arial" w:eastAsia="Arial" w:cs="Arial"/>
              </w:rPr>
              <w:t>Lanche Tarde</w:t>
            </w:r>
          </w:p>
        </w:tc>
        <w:tc>
          <w:tcPr>
            <w:tcW w:w="1426" w:type="dxa"/>
            <w:tcBorders>
              <w:left w:val="single" w:color="000000" w:sz="4" w:space="0"/>
              <w:bottom w:val="single" w:color="000000" w:sz="4" w:space="0"/>
            </w:tcBorders>
            <w:vAlign w:val="center"/>
          </w:tcPr>
          <w:p w14:paraId="2FBCBA84">
            <w:pPr>
              <w:widowControl w:val="0"/>
              <w:jc w:val="center"/>
              <w:rPr>
                <w:rFonts w:ascii="Arial" w:hAnsi="Arial" w:eastAsia="Arial" w:cs="Arial"/>
              </w:rPr>
            </w:pPr>
            <w:r>
              <w:rPr>
                <w:rFonts w:ascii="Arial" w:hAnsi="Arial" w:eastAsia="Arial" w:cs="Arial"/>
              </w:rPr>
              <w:t>43000</w:t>
            </w:r>
          </w:p>
        </w:tc>
        <w:tc>
          <w:tcPr>
            <w:tcW w:w="850" w:type="dxa"/>
            <w:tcBorders>
              <w:left w:val="single" w:color="000000" w:sz="4" w:space="0"/>
              <w:bottom w:val="single" w:color="000000" w:sz="4" w:space="0"/>
            </w:tcBorders>
            <w:vAlign w:val="center"/>
          </w:tcPr>
          <w:p w14:paraId="764C1A63">
            <w:pPr>
              <w:widowControl w:val="0"/>
              <w:jc w:val="center"/>
              <w:rPr>
                <w:rFonts w:ascii="Arial" w:hAnsi="Arial" w:eastAsia="Arial" w:cs="Arial"/>
              </w:rPr>
            </w:pPr>
            <w:r>
              <w:rPr>
                <w:rFonts w:ascii="Arial" w:hAnsi="Arial" w:eastAsia="Arial" w:cs="Arial"/>
              </w:rPr>
              <w:t>R$ 6,43</w:t>
            </w:r>
          </w:p>
        </w:tc>
        <w:tc>
          <w:tcPr>
            <w:tcW w:w="1636" w:type="dxa"/>
            <w:tcBorders>
              <w:left w:val="single" w:color="000000" w:sz="4" w:space="0"/>
              <w:bottom w:val="single" w:color="000000" w:sz="4" w:space="0"/>
              <w:right w:val="single" w:color="000000" w:sz="4" w:space="0"/>
            </w:tcBorders>
            <w:vAlign w:val="center"/>
          </w:tcPr>
          <w:p w14:paraId="609D5042">
            <w:pPr>
              <w:widowControl w:val="0"/>
              <w:jc w:val="center"/>
              <w:rPr>
                <w:rFonts w:ascii="Arial" w:hAnsi="Arial" w:eastAsia="Arial" w:cs="Arial"/>
              </w:rPr>
            </w:pPr>
            <w:r>
              <w:rPr>
                <w:rFonts w:ascii="Arial" w:hAnsi="Arial" w:eastAsia="Arial" w:cs="Arial"/>
              </w:rPr>
              <w:t>R$ 276.490,00</w:t>
            </w:r>
          </w:p>
        </w:tc>
      </w:tr>
      <w:tr w14:paraId="440D0E8E">
        <w:tblPrEx>
          <w:tblCellMar>
            <w:top w:w="0" w:type="dxa"/>
            <w:left w:w="108" w:type="dxa"/>
            <w:bottom w:w="0" w:type="dxa"/>
            <w:right w:w="108" w:type="dxa"/>
          </w:tblCellMar>
        </w:tblPrEx>
        <w:trPr>
          <w:trHeight w:val="287" w:hRule="atLeast"/>
        </w:trPr>
        <w:tc>
          <w:tcPr>
            <w:tcW w:w="1064" w:type="dxa"/>
            <w:tcBorders>
              <w:left w:val="single" w:color="000000" w:sz="4" w:space="0"/>
              <w:bottom w:val="single" w:color="000000" w:sz="4" w:space="0"/>
            </w:tcBorders>
            <w:vAlign w:val="center"/>
          </w:tcPr>
          <w:p w14:paraId="046681B4">
            <w:pPr>
              <w:widowControl w:val="0"/>
              <w:jc w:val="center"/>
              <w:rPr>
                <w:rFonts w:ascii="Arial" w:hAnsi="Arial" w:eastAsia="Arial" w:cs="Arial"/>
                <w:b/>
              </w:rPr>
            </w:pPr>
            <w:r>
              <w:rPr>
                <w:rFonts w:ascii="Arial" w:hAnsi="Arial" w:eastAsia="Arial" w:cs="Arial"/>
                <w:b/>
              </w:rPr>
              <w:t>127839</w:t>
            </w:r>
          </w:p>
        </w:tc>
        <w:tc>
          <w:tcPr>
            <w:tcW w:w="3299" w:type="dxa"/>
            <w:tcBorders>
              <w:left w:val="single" w:color="000000" w:sz="4" w:space="0"/>
              <w:bottom w:val="single" w:color="000000" w:sz="4" w:space="0"/>
            </w:tcBorders>
            <w:vAlign w:val="center"/>
          </w:tcPr>
          <w:p w14:paraId="6B8A7C3A">
            <w:pPr>
              <w:widowControl w:val="0"/>
              <w:jc w:val="center"/>
              <w:rPr>
                <w:rFonts w:ascii="Arial" w:hAnsi="Arial" w:eastAsia="Arial" w:cs="Arial"/>
              </w:rPr>
            </w:pPr>
            <w:r>
              <w:rPr>
                <w:rFonts w:ascii="Arial" w:hAnsi="Arial" w:eastAsia="Arial" w:cs="Arial"/>
              </w:rPr>
              <w:t>AEE – Creche (vespertino)</w:t>
            </w:r>
          </w:p>
        </w:tc>
        <w:tc>
          <w:tcPr>
            <w:tcW w:w="1699" w:type="dxa"/>
            <w:tcBorders>
              <w:left w:val="single" w:color="000000" w:sz="4" w:space="0"/>
              <w:bottom w:val="single" w:color="000000" w:sz="4" w:space="0"/>
            </w:tcBorders>
            <w:vAlign w:val="center"/>
          </w:tcPr>
          <w:p w14:paraId="3ACCB2DC">
            <w:pPr>
              <w:widowControl w:val="0"/>
              <w:jc w:val="center"/>
              <w:rPr>
                <w:rFonts w:ascii="Arial" w:hAnsi="Arial" w:eastAsia="Arial" w:cs="Arial"/>
              </w:rPr>
            </w:pPr>
            <w:r>
              <w:rPr>
                <w:rFonts w:ascii="Arial" w:hAnsi="Arial" w:eastAsia="Arial" w:cs="Arial"/>
              </w:rPr>
              <w:t>Jantar</w:t>
            </w:r>
          </w:p>
        </w:tc>
        <w:tc>
          <w:tcPr>
            <w:tcW w:w="1426" w:type="dxa"/>
            <w:tcBorders>
              <w:left w:val="single" w:color="000000" w:sz="4" w:space="0"/>
              <w:bottom w:val="single" w:color="000000" w:sz="4" w:space="0"/>
            </w:tcBorders>
            <w:vAlign w:val="center"/>
          </w:tcPr>
          <w:p w14:paraId="59F66A14">
            <w:pPr>
              <w:widowControl w:val="0"/>
              <w:jc w:val="center"/>
              <w:rPr>
                <w:rFonts w:ascii="Arial" w:hAnsi="Arial" w:eastAsia="Arial" w:cs="Arial"/>
              </w:rPr>
            </w:pPr>
            <w:r>
              <w:rPr>
                <w:rFonts w:ascii="Arial" w:hAnsi="Arial" w:eastAsia="Arial" w:cs="Arial"/>
              </w:rPr>
              <w:t>43000</w:t>
            </w:r>
          </w:p>
        </w:tc>
        <w:tc>
          <w:tcPr>
            <w:tcW w:w="850" w:type="dxa"/>
            <w:tcBorders>
              <w:left w:val="single" w:color="000000" w:sz="4" w:space="0"/>
              <w:bottom w:val="single" w:color="000000" w:sz="4" w:space="0"/>
            </w:tcBorders>
            <w:vAlign w:val="center"/>
          </w:tcPr>
          <w:p w14:paraId="5D505808">
            <w:pPr>
              <w:widowControl w:val="0"/>
              <w:jc w:val="center"/>
              <w:rPr>
                <w:rFonts w:ascii="Arial" w:hAnsi="Arial" w:eastAsia="Arial" w:cs="Arial"/>
              </w:rPr>
            </w:pPr>
            <w:r>
              <w:rPr>
                <w:rFonts w:ascii="Arial" w:hAnsi="Arial" w:eastAsia="Arial" w:cs="Arial"/>
              </w:rPr>
              <w:t>R$ 6,35</w:t>
            </w:r>
          </w:p>
        </w:tc>
        <w:tc>
          <w:tcPr>
            <w:tcW w:w="1636" w:type="dxa"/>
            <w:tcBorders>
              <w:left w:val="single" w:color="000000" w:sz="4" w:space="0"/>
              <w:bottom w:val="single" w:color="000000" w:sz="4" w:space="0"/>
              <w:right w:val="single" w:color="000000" w:sz="4" w:space="0"/>
            </w:tcBorders>
            <w:vAlign w:val="center"/>
          </w:tcPr>
          <w:p w14:paraId="6E4E11C8">
            <w:pPr>
              <w:widowControl w:val="0"/>
              <w:jc w:val="center"/>
              <w:rPr>
                <w:rFonts w:ascii="Arial" w:hAnsi="Arial" w:eastAsia="Arial" w:cs="Arial"/>
              </w:rPr>
            </w:pPr>
            <w:r>
              <w:rPr>
                <w:rFonts w:ascii="Arial" w:hAnsi="Arial" w:eastAsia="Arial" w:cs="Arial"/>
              </w:rPr>
              <w:t>R$ 273.050,00</w:t>
            </w:r>
          </w:p>
        </w:tc>
      </w:tr>
      <w:tr w14:paraId="72A169D5">
        <w:tblPrEx>
          <w:tblCellMar>
            <w:top w:w="0" w:type="dxa"/>
            <w:left w:w="108" w:type="dxa"/>
            <w:bottom w:w="0" w:type="dxa"/>
            <w:right w:w="108" w:type="dxa"/>
          </w:tblCellMar>
        </w:tblPrEx>
        <w:trPr>
          <w:trHeight w:val="156" w:hRule="atLeast"/>
        </w:trPr>
        <w:tc>
          <w:tcPr>
            <w:tcW w:w="8338" w:type="dxa"/>
            <w:gridSpan w:val="5"/>
            <w:tcBorders>
              <w:left w:val="single" w:color="000000" w:sz="4" w:space="0"/>
              <w:bottom w:val="single" w:color="000000" w:sz="4" w:space="0"/>
            </w:tcBorders>
            <w:shd w:val="clear" w:color="auto" w:fill="DDDDDD"/>
          </w:tcPr>
          <w:p w14:paraId="43F442D0">
            <w:pPr>
              <w:widowControl w:val="0"/>
              <w:spacing w:before="57" w:after="57" w:line="216" w:lineRule="auto"/>
              <w:jc w:val="right"/>
              <w:rPr>
                <w:rFonts w:ascii="Arial" w:hAnsi="Arial" w:eastAsia="Arial" w:cs="Arial"/>
              </w:rPr>
            </w:pPr>
            <w:r>
              <w:rPr>
                <w:rFonts w:ascii="Arial" w:hAnsi="Arial" w:eastAsia="Arial" w:cs="Arial"/>
                <w:b/>
              </w:rPr>
              <w:t>VALOR TOTAL</w:t>
            </w:r>
          </w:p>
        </w:tc>
        <w:tc>
          <w:tcPr>
            <w:tcW w:w="1636" w:type="dxa"/>
            <w:tcBorders>
              <w:left w:val="single" w:color="000000" w:sz="4" w:space="0"/>
              <w:bottom w:val="single" w:color="000000" w:sz="4" w:space="0"/>
              <w:right w:val="single" w:color="000000" w:sz="4" w:space="0"/>
            </w:tcBorders>
            <w:shd w:val="clear" w:color="auto" w:fill="DDDDDD"/>
          </w:tcPr>
          <w:p w14:paraId="0CB40E9E">
            <w:pPr>
              <w:widowControl w:val="0"/>
              <w:spacing w:before="57" w:after="57" w:line="216" w:lineRule="auto"/>
              <w:ind w:left="-57" w:right="-113"/>
              <w:jc w:val="center"/>
              <w:rPr>
                <w:rFonts w:ascii="Arial" w:hAnsi="Arial" w:eastAsia="Arial" w:cs="Arial"/>
              </w:rPr>
            </w:pPr>
            <w:r>
              <w:rPr>
                <w:rFonts w:ascii="Arial" w:hAnsi="Arial" w:eastAsia="Arial" w:cs="Arial"/>
                <w:b/>
              </w:rPr>
              <w:t>R$ 54.113.758,00</w:t>
            </w:r>
          </w:p>
        </w:tc>
      </w:tr>
    </w:tbl>
    <w:p w14:paraId="3566178D">
      <w:pPr>
        <w:jc w:val="both"/>
        <w:rPr>
          <w:rFonts w:ascii="Arial" w:hAnsi="Arial" w:eastAsia="Arial" w:cs="Arial"/>
          <w:b/>
          <w:i/>
        </w:rPr>
      </w:pPr>
    </w:p>
    <w:p w14:paraId="28A249C6">
      <w:pPr>
        <w:jc w:val="both"/>
        <w:rPr>
          <w:rFonts w:ascii="Arial" w:hAnsi="Arial" w:eastAsia="Arial" w:cs="Arial"/>
          <w:b/>
          <w:i/>
        </w:rPr>
      </w:pPr>
    </w:p>
    <w:p w14:paraId="74F50AB1">
      <w:pPr>
        <w:jc w:val="both"/>
        <w:rPr>
          <w:rFonts w:ascii="Arial" w:hAnsi="Arial" w:eastAsia="Arial" w:cs="Arial"/>
          <w:color w:val="000000"/>
        </w:rPr>
      </w:pPr>
      <w:r>
        <w:rPr>
          <w:rFonts w:ascii="Arial" w:hAnsi="Arial" w:eastAsia="Arial" w:cs="Arial"/>
          <w:b/>
          <w:i/>
          <w:color w:val="000000"/>
        </w:rPr>
        <w:t xml:space="preserve">2.2. </w:t>
      </w:r>
      <w:r>
        <w:rPr>
          <w:rFonts w:ascii="Arial" w:hAnsi="Arial" w:eastAsia="Arial" w:cs="Arial"/>
          <w:color w:val="000000"/>
        </w:rPr>
        <w:t xml:space="preserve">A presente licitação será realizada em </w:t>
      </w:r>
      <w:r>
        <w:rPr>
          <w:rFonts w:ascii="Arial" w:hAnsi="Arial" w:eastAsia="Arial" w:cs="Arial"/>
          <w:b/>
          <w:color w:val="000000"/>
        </w:rPr>
        <w:t>lote único</w:t>
      </w:r>
      <w:r>
        <w:rPr>
          <w:rFonts w:ascii="Arial" w:hAnsi="Arial" w:eastAsia="Arial" w:cs="Arial"/>
          <w:color w:val="000000"/>
        </w:rPr>
        <w:t xml:space="preserve">, composto por diversos itens relacionados no Anexo  na plataforma BLL, sitio da prefeitura de Rondonópolis e anexo modelo de proposta, Será facultada a participação de qualquer licitante interessado, desde que apresente proposta contemplando </w:t>
      </w:r>
      <w:r>
        <w:rPr>
          <w:rFonts w:ascii="Arial" w:hAnsi="Arial" w:eastAsia="Arial" w:cs="Arial"/>
          <w:b/>
          <w:color w:val="000000"/>
        </w:rPr>
        <w:t>integralmente todos os itens</w:t>
      </w:r>
      <w:r>
        <w:rPr>
          <w:rFonts w:ascii="Arial" w:hAnsi="Arial" w:eastAsia="Arial" w:cs="Arial"/>
          <w:color w:val="000000"/>
        </w:rPr>
        <w:t xml:space="preserve"> que compõem o referido lote.</w:t>
      </w:r>
    </w:p>
    <w:p w14:paraId="77A8195D">
      <w:pPr>
        <w:jc w:val="both"/>
        <w:rPr>
          <w:rFonts w:ascii="Arial" w:hAnsi="Arial" w:eastAsia="Arial" w:cs="Arial"/>
          <w:color w:val="000000"/>
        </w:rPr>
      </w:pPr>
      <w:r>
        <w:rPr>
          <w:rFonts w:ascii="Arial" w:hAnsi="Arial" w:eastAsia="Arial" w:cs="Arial"/>
          <w:b/>
          <w:color w:val="000000"/>
        </w:rPr>
        <w:t>2.2.1.</w:t>
      </w:r>
      <w:r>
        <w:rPr>
          <w:rFonts w:ascii="Arial" w:hAnsi="Arial" w:eastAsia="Arial" w:cs="Arial"/>
          <w:color w:val="000000"/>
        </w:rPr>
        <w:t xml:space="preserve"> Não serão aceitas propostas parciais, ou seja, o licitante deverá obrigatoriamente ofertar preços e condições para </w:t>
      </w:r>
      <w:r>
        <w:rPr>
          <w:rFonts w:ascii="Arial" w:hAnsi="Arial" w:eastAsia="Arial" w:cs="Arial"/>
          <w:b/>
          <w:color w:val="000000"/>
        </w:rPr>
        <w:t>todos os itens do lote</w:t>
      </w:r>
      <w:r>
        <w:rPr>
          <w:rFonts w:ascii="Arial" w:hAnsi="Arial" w:eastAsia="Arial" w:cs="Arial"/>
          <w:color w:val="000000"/>
        </w:rPr>
        <w:t xml:space="preserve">, sob pena de desclassificação. A adjudicação será feita </w:t>
      </w:r>
      <w:r>
        <w:rPr>
          <w:rFonts w:ascii="Arial" w:hAnsi="Arial" w:eastAsia="Arial" w:cs="Arial"/>
          <w:b/>
          <w:color w:val="000000"/>
        </w:rPr>
        <w:t>pelo conjunto do lote</w:t>
      </w:r>
      <w:r>
        <w:rPr>
          <w:rFonts w:ascii="Arial" w:hAnsi="Arial" w:eastAsia="Arial" w:cs="Arial"/>
          <w:color w:val="000000"/>
        </w:rPr>
        <w:t>, observada a proposta mais vantajosa para a Administração, nos termos da legislação vigente.</w:t>
      </w:r>
    </w:p>
    <w:p w14:paraId="06E208BD">
      <w:pPr>
        <w:jc w:val="both"/>
        <w:rPr>
          <w:rFonts w:ascii="Arial" w:hAnsi="Arial" w:eastAsia="Arial" w:cs="Arial"/>
          <w:b/>
          <w:i/>
        </w:rPr>
      </w:pPr>
    </w:p>
    <w:p w14:paraId="2875E931">
      <w:pPr>
        <w:jc w:val="both"/>
        <w:rPr>
          <w:rFonts w:ascii="Arial" w:hAnsi="Arial" w:eastAsia="Arial" w:cs="Arial"/>
        </w:rPr>
      </w:pPr>
      <w:r>
        <w:rPr>
          <w:rFonts w:ascii="Arial" w:hAnsi="Arial" w:eastAsia="Arial" w:cs="Arial"/>
        </w:rPr>
        <w:t>2.2.2. Na presente licitação a fase de habilitação irá anteceder as fases de apresentação de propostas e lances. A inversão da fase de habilitação encontra amparo no art. 17, §1º, da Lei nº 14.133/2021, que autoriza expressamente a antecipação da análise da habilitação em relação às fases de apresentação de propostas e julgamento, desde que haja motivação fundamentada e previsão no instrumento convocatório.</w:t>
      </w:r>
    </w:p>
    <w:p w14:paraId="4E7FCEEC">
      <w:pPr>
        <w:jc w:val="both"/>
        <w:rPr>
          <w:rFonts w:ascii="Arial" w:hAnsi="Arial" w:eastAsia="Arial" w:cs="Arial"/>
        </w:rPr>
      </w:pPr>
    </w:p>
    <w:p w14:paraId="18321093">
      <w:pPr>
        <w:jc w:val="both"/>
        <w:rPr>
          <w:rFonts w:ascii="Arial" w:hAnsi="Arial" w:eastAsia="Arial" w:cs="Arial"/>
        </w:rPr>
      </w:pPr>
      <w:r>
        <w:rPr>
          <w:rFonts w:ascii="Arial" w:hAnsi="Arial" w:eastAsia="Arial" w:cs="Arial"/>
        </w:rPr>
        <w:t>A medida se justifica especialmente em razão do vulto e da complexidade do objeto licitado. A habilitação prévia permite à Administração conferir maior segurança e previsibilidade ao certame, assegurando que apenas empresas aptas do ponto de vista documental e jurídico avancem para a fase de lances e julgamento. Com isso, evita-se o retrabalho decorrente da eventual desclassificação posterior da empresa vencedora por inabilitação, o que exigiria a reabertura de etapas e dilatação de prazos, comprometendo a celeridade e a economicidade do processo licitatório.</w:t>
      </w:r>
    </w:p>
    <w:p w14:paraId="53B28CE6">
      <w:pPr>
        <w:jc w:val="both"/>
        <w:rPr>
          <w:rFonts w:ascii="Arial" w:hAnsi="Arial" w:eastAsia="Arial" w:cs="Arial"/>
        </w:rPr>
      </w:pPr>
    </w:p>
    <w:p w14:paraId="03D447EC">
      <w:pPr>
        <w:jc w:val="both"/>
        <w:rPr>
          <w:rFonts w:ascii="Arial" w:hAnsi="Arial" w:eastAsia="Arial" w:cs="Arial"/>
        </w:rPr>
      </w:pPr>
    </w:p>
    <w:p w14:paraId="01D7DF96">
      <w:pPr>
        <w:jc w:val="both"/>
        <w:rPr>
          <w:rFonts w:ascii="Arial" w:hAnsi="Arial" w:eastAsia="Arial" w:cs="Arial"/>
        </w:rPr>
      </w:pPr>
    </w:p>
    <w:p w14:paraId="51A92F78">
      <w:pPr>
        <w:pStyle w:val="2"/>
        <w:spacing w:before="0" w:after="0"/>
        <w:rPr>
          <w:sz w:val="20"/>
          <w:szCs w:val="20"/>
          <w:lang w:val="pt-BR"/>
        </w:rPr>
      </w:pPr>
      <w:r>
        <w:rPr>
          <w:sz w:val="20"/>
          <w:szCs w:val="20"/>
          <w:lang w:val="pt-BR"/>
        </w:rPr>
        <w:t xml:space="preserve">3. DA REFERÊNCIA DE HORÁRIO NO EDITAL: </w:t>
      </w:r>
    </w:p>
    <w:p w14:paraId="628EEE5A">
      <w:pPr>
        <w:jc w:val="both"/>
        <w:rPr>
          <w:rFonts w:ascii="Arial" w:hAnsi="Arial" w:eastAsia="Arial" w:cs="Arial"/>
        </w:rPr>
      </w:pPr>
    </w:p>
    <w:p w14:paraId="205AE8C9">
      <w:pPr>
        <w:jc w:val="both"/>
        <w:rPr>
          <w:rFonts w:ascii="Arial" w:hAnsi="Arial" w:eastAsia="Arial" w:cs="Arial"/>
        </w:rPr>
      </w:pPr>
      <w:r>
        <w:rPr>
          <w:rFonts w:ascii="Arial" w:hAnsi="Arial" w:eastAsia="Arial" w:cs="Arial"/>
          <w:b/>
        </w:rPr>
        <w:t>3.1.</w:t>
      </w:r>
      <w:r>
        <w:rPr>
          <w:rFonts w:ascii="Arial" w:hAnsi="Arial" w:eastAsia="Arial" w:cs="Arial"/>
        </w:rPr>
        <w:t xml:space="preserve"> Todas as referências de horário no Edital, no Aviso e durante a Sessão Pública observarão obrigatoriamente o </w:t>
      </w:r>
      <w:r>
        <w:rPr>
          <w:rFonts w:ascii="Arial" w:hAnsi="Arial" w:eastAsia="Arial" w:cs="Arial"/>
          <w:b/>
        </w:rPr>
        <w:t>Horário de Brasília – DF</w:t>
      </w:r>
      <w:r>
        <w:rPr>
          <w:rFonts w:ascii="Arial" w:hAnsi="Arial" w:eastAsia="Arial" w:cs="Arial"/>
        </w:rPr>
        <w:t xml:space="preserve"> e, dessa forma, serão registradas no sistema eletrônico e na documentação relativa ao certame. </w:t>
      </w:r>
    </w:p>
    <w:p w14:paraId="5AA124AF">
      <w:pPr>
        <w:jc w:val="both"/>
        <w:rPr>
          <w:rFonts w:ascii="Arial" w:hAnsi="Arial" w:eastAsia="Arial" w:cs="Arial"/>
        </w:rPr>
      </w:pPr>
    </w:p>
    <w:p w14:paraId="73093A38">
      <w:pPr>
        <w:pStyle w:val="2"/>
        <w:spacing w:before="0" w:after="0"/>
        <w:rPr>
          <w:sz w:val="20"/>
          <w:szCs w:val="20"/>
          <w:lang w:val="pt-BR"/>
        </w:rPr>
      </w:pPr>
      <w:bookmarkStart w:id="6" w:name="_heading=h.pscvaq7q2jc2"/>
      <w:bookmarkEnd w:id="6"/>
      <w:r>
        <w:rPr>
          <w:sz w:val="20"/>
          <w:szCs w:val="20"/>
          <w:lang w:val="pt-BR"/>
        </w:rPr>
        <w:t xml:space="preserve">4. DAS CONDIÇÕES PARA PARTICIPAÇÃO NO CERTAME: </w:t>
      </w:r>
    </w:p>
    <w:p w14:paraId="440B5EB8">
      <w:pPr>
        <w:jc w:val="both"/>
        <w:rPr>
          <w:rFonts w:ascii="Arial" w:hAnsi="Arial" w:eastAsia="Arial" w:cs="Arial"/>
          <w:b/>
        </w:rPr>
      </w:pPr>
    </w:p>
    <w:p w14:paraId="033D93BC">
      <w:pPr>
        <w:jc w:val="both"/>
        <w:rPr>
          <w:rFonts w:ascii="Arial" w:hAnsi="Arial" w:eastAsia="Arial" w:cs="Arial"/>
          <w:color w:val="000000"/>
        </w:rPr>
      </w:pPr>
      <w:r>
        <w:rPr>
          <w:rFonts w:ascii="Arial" w:hAnsi="Arial" w:eastAsia="Arial" w:cs="Arial"/>
          <w:b/>
        </w:rPr>
        <w:t>4.1.</w:t>
      </w:r>
      <w:r>
        <w:rPr>
          <w:rFonts w:ascii="Arial" w:hAnsi="Arial" w:eastAsia="Arial" w:cs="Arial"/>
        </w:rPr>
        <w:t xml:space="preserve"> A participação no certame se dará por meio da digitação da senha pessoal e intransferível do representante credenciado e subsequente encaminhamento da proposta de preços, exclusivamente, por meio do sistema eletrônico no site </w:t>
      </w:r>
      <w:r>
        <w:rPr>
          <w:rFonts w:ascii="Arial" w:hAnsi="Arial" w:eastAsia="Arial" w:cs="Arial"/>
          <w:b/>
        </w:rPr>
        <w:t>bllcompras.com</w:t>
      </w:r>
      <w:r>
        <w:rPr>
          <w:rFonts w:ascii="Arial" w:hAnsi="Arial" w:eastAsia="Arial" w:cs="Arial"/>
        </w:rPr>
        <w:t xml:space="preserve"> e ou, opção "</w:t>
      </w:r>
      <w:r>
        <w:rPr>
          <w:rFonts w:ascii="Arial" w:hAnsi="Arial" w:eastAsia="Arial" w:cs="Arial"/>
          <w:b/>
        </w:rPr>
        <w:t>Acesso Identificado</w:t>
      </w:r>
      <w:r>
        <w:rPr>
          <w:rFonts w:ascii="Arial" w:hAnsi="Arial" w:eastAsia="Arial" w:cs="Arial"/>
        </w:rPr>
        <w:t xml:space="preserve">", </w:t>
      </w:r>
      <w:r>
        <w:rPr>
          <w:rFonts w:ascii="Arial" w:hAnsi="Arial" w:eastAsia="Arial" w:cs="Arial"/>
          <w:b/>
        </w:rPr>
        <w:t>observadas a data e horário limite estabelecido neste edital</w:t>
      </w:r>
      <w:r>
        <w:rPr>
          <w:rFonts w:ascii="Arial" w:hAnsi="Arial" w:eastAsia="Arial" w:cs="Arial"/>
          <w:b/>
          <w:color w:val="000000"/>
        </w:rPr>
        <w:t>.</w:t>
      </w:r>
      <w:r>
        <w:rPr>
          <w:rFonts w:ascii="Arial" w:hAnsi="Arial" w:eastAsia="Arial" w:cs="Arial"/>
          <w:color w:val="000000"/>
        </w:rPr>
        <w:t xml:space="preserve"> (Horário de Brasília).</w:t>
      </w:r>
    </w:p>
    <w:p w14:paraId="6C59536F">
      <w:pPr>
        <w:jc w:val="both"/>
        <w:rPr>
          <w:rFonts w:ascii="Arial" w:hAnsi="Arial" w:eastAsia="Arial" w:cs="Arial"/>
          <w:color w:val="000000"/>
        </w:rPr>
      </w:pPr>
    </w:p>
    <w:p w14:paraId="39E2B5C0">
      <w:pPr>
        <w:jc w:val="both"/>
        <w:rPr>
          <w:rFonts w:ascii="Arial" w:hAnsi="Arial" w:eastAsia="Arial" w:cs="Arial"/>
        </w:rPr>
      </w:pPr>
      <w:r>
        <w:rPr>
          <w:rFonts w:ascii="Arial" w:hAnsi="Arial" w:eastAsia="Arial" w:cs="Arial"/>
          <w:b/>
        </w:rPr>
        <w:t>4.2.</w:t>
      </w:r>
      <w:r>
        <w:rPr>
          <w:rFonts w:ascii="Arial" w:hAnsi="Arial" w:eastAsia="Arial" w:cs="Arial"/>
        </w:rPr>
        <w:t xml:space="preserve"> O licitante arcará integralmente com todos os custos de preparação e apresentação de sua proposta, independente do resultado do procedimento licitatório. </w:t>
      </w:r>
    </w:p>
    <w:p w14:paraId="49634ADC">
      <w:pPr>
        <w:jc w:val="both"/>
        <w:rPr>
          <w:rFonts w:ascii="Arial" w:hAnsi="Arial" w:eastAsia="Arial" w:cs="Arial"/>
          <w:b/>
        </w:rPr>
      </w:pPr>
    </w:p>
    <w:p w14:paraId="013BB809">
      <w:pPr>
        <w:jc w:val="both"/>
        <w:rPr>
          <w:rFonts w:ascii="Arial" w:hAnsi="Arial" w:eastAsia="Arial" w:cs="Arial"/>
        </w:rPr>
      </w:pPr>
      <w:r>
        <w:rPr>
          <w:rFonts w:ascii="Arial" w:hAnsi="Arial" w:eastAsia="Arial" w:cs="Arial"/>
          <w:b/>
        </w:rPr>
        <w:t>4.3.</w:t>
      </w:r>
      <w:r>
        <w:rPr>
          <w:rFonts w:ascii="Arial" w:hAnsi="Arial" w:eastAsia="Arial" w:cs="Arial"/>
        </w:rPr>
        <w:t xml:space="preserve"> Somente será admitida a participação neste certame, de pessoas jurídicas, que comprovem com documentos de registros ou autorizações legais, que explorem ramo de atividade compatível com o objeto desta licitação e atendam às exigências do edital e seus anexos; </w:t>
      </w:r>
    </w:p>
    <w:p w14:paraId="6B0FEA23">
      <w:pPr>
        <w:jc w:val="both"/>
        <w:rPr>
          <w:rFonts w:ascii="Arial" w:hAnsi="Arial" w:eastAsia="Arial" w:cs="Arial"/>
        </w:rPr>
      </w:pPr>
    </w:p>
    <w:p w14:paraId="5C963BBF">
      <w:pPr>
        <w:jc w:val="both"/>
        <w:rPr>
          <w:rFonts w:ascii="Arial" w:hAnsi="Arial" w:eastAsia="Arial" w:cs="Arial"/>
        </w:rPr>
      </w:pPr>
      <w:r>
        <w:rPr>
          <w:rFonts w:ascii="Arial" w:hAnsi="Arial" w:eastAsia="Arial" w:cs="Arial"/>
          <w:b/>
        </w:rPr>
        <w:t>4.4.</w:t>
      </w:r>
      <w:r>
        <w:rPr>
          <w:rFonts w:ascii="Arial" w:hAnsi="Arial" w:eastAsia="Arial" w:cs="Arial"/>
        </w:rPr>
        <w:t xml:space="preserve">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A7EFD82">
      <w:pPr>
        <w:jc w:val="both"/>
        <w:rPr>
          <w:rFonts w:ascii="Arial" w:hAnsi="Arial" w:eastAsia="Arial" w:cs="Arial"/>
        </w:rPr>
      </w:pPr>
    </w:p>
    <w:p w14:paraId="44D02603">
      <w:pPr>
        <w:jc w:val="both"/>
        <w:rPr>
          <w:rFonts w:ascii="Arial" w:hAnsi="Arial" w:eastAsia="Arial" w:cs="Arial"/>
        </w:rPr>
      </w:pPr>
      <w:r>
        <w:rPr>
          <w:rFonts w:ascii="Arial" w:hAnsi="Arial" w:eastAsia="Arial" w:cs="Arial"/>
          <w:b/>
        </w:rPr>
        <w:t>4.4.1.</w:t>
      </w:r>
      <w:r>
        <w:rPr>
          <w:rFonts w:ascii="Arial" w:hAnsi="Arial" w:eastAsia="Arial" w:cs="Arial"/>
        </w:rPr>
        <w:t xml:space="preserve"> Poderão participar deste certame pessoas jurídicas que explorem ramo de atividade compatível e pertinente com o objeto desta licitação e atendam às exigências deste Edital e seus anexos, correndo por sua conta todos os custos decorrentes da elaboração e apresentação de suas propostas, não sendo devida nenhuma indenização aos licitantes pela realização de tais atos.</w:t>
      </w:r>
    </w:p>
    <w:p w14:paraId="004F2D5E">
      <w:pPr>
        <w:jc w:val="both"/>
        <w:rPr>
          <w:rFonts w:ascii="Arial" w:hAnsi="Arial" w:eastAsia="Arial" w:cs="Arial"/>
        </w:rPr>
      </w:pPr>
    </w:p>
    <w:p w14:paraId="788C0E51">
      <w:pPr>
        <w:jc w:val="both"/>
        <w:rPr>
          <w:rFonts w:ascii="Arial" w:hAnsi="Arial" w:eastAsia="Arial" w:cs="Arial"/>
          <w:color w:val="000000"/>
        </w:rPr>
      </w:pPr>
      <w:r>
        <w:rPr>
          <w:rFonts w:ascii="Arial" w:hAnsi="Arial" w:eastAsia="Arial" w:cs="Arial"/>
          <w:b/>
          <w:color w:val="000000"/>
        </w:rPr>
        <w:t>4.4.2.</w:t>
      </w:r>
      <w:r>
        <w:rPr>
          <w:rFonts w:ascii="Arial" w:hAnsi="Arial" w:eastAsia="Arial" w:cs="Arial"/>
          <w:color w:val="000000"/>
        </w:rPr>
        <w:t xml:space="preserve"> Será concedido tratamento favorecido para as microempresas e empresas de pequeno porte, para as sociedades cooperativas mencionadas no </w:t>
      </w:r>
      <w:r>
        <w:fldChar w:fldCharType="begin"/>
      </w:r>
      <w:r>
        <w:instrText xml:space="preserve"> HYPERLINK "http://www.planalto.gov.br/ccivil_03/_ato2019-2022/2021/lei/L14133.htm" \l "art16" </w:instrText>
      </w:r>
      <w:r>
        <w:fldChar w:fldCharType="separate"/>
      </w:r>
      <w:r>
        <w:rPr>
          <w:rFonts w:ascii="Arial" w:hAnsi="Arial" w:eastAsia="Arial" w:cs="Arial"/>
          <w:color w:val="000000"/>
          <w:u w:val="single"/>
        </w:rPr>
        <w:t>artigo 16 da Lei nº 14.133, de 2021</w:t>
      </w:r>
      <w:r>
        <w:rPr>
          <w:rFonts w:ascii="Arial" w:hAnsi="Arial" w:eastAsia="Arial" w:cs="Arial"/>
          <w:color w:val="000000"/>
          <w:u w:val="single"/>
        </w:rPr>
        <w:fldChar w:fldCharType="end"/>
      </w:r>
      <w:r>
        <w:rPr>
          <w:rFonts w:ascii="Arial" w:hAnsi="Arial" w:eastAsia="Arial" w:cs="Arial"/>
          <w:color w:val="000000"/>
        </w:rPr>
        <w:t xml:space="preserve">, para o agricultor familiar, o produtor rural pessoa física e para o microempreendedor individual - MEI, nos limites previstos da </w:t>
      </w:r>
      <w:r>
        <w:fldChar w:fldCharType="begin"/>
      </w:r>
      <w:r>
        <w:instrText xml:space="preserve"> HYPERLINK "https://www.planalto.gov.br/ccivil_03/leis/lcp/lcp123.htm" \h </w:instrText>
      </w:r>
      <w:r>
        <w:fldChar w:fldCharType="separate"/>
      </w:r>
      <w:r>
        <w:rPr>
          <w:rFonts w:ascii="Arial" w:hAnsi="Arial" w:eastAsia="Arial" w:cs="Arial"/>
          <w:color w:val="000000"/>
          <w:u w:val="single"/>
        </w:rPr>
        <w:t>Lei Complementar nº 123, de 2006</w:t>
      </w:r>
      <w:r>
        <w:rPr>
          <w:rFonts w:ascii="Arial" w:hAnsi="Arial" w:eastAsia="Arial" w:cs="Arial"/>
          <w:color w:val="000000"/>
          <w:u w:val="single"/>
        </w:rPr>
        <w:fldChar w:fldCharType="end"/>
      </w:r>
      <w:r>
        <w:rPr>
          <w:rFonts w:ascii="Arial" w:hAnsi="Arial" w:eastAsia="Arial" w:cs="Arial"/>
          <w:color w:val="000000"/>
        </w:rPr>
        <w:t xml:space="preserve"> e do Decreto n.º 8.538, de 2015.</w:t>
      </w:r>
    </w:p>
    <w:p w14:paraId="300E28D9">
      <w:pPr>
        <w:jc w:val="both"/>
        <w:rPr>
          <w:rFonts w:ascii="Arial" w:hAnsi="Arial" w:eastAsia="Arial" w:cs="Arial"/>
        </w:rPr>
      </w:pPr>
      <w:bookmarkStart w:id="7" w:name="_heading=h.xdr9i8o5896i"/>
      <w:bookmarkEnd w:id="7"/>
    </w:p>
    <w:p w14:paraId="2A41D298">
      <w:pPr>
        <w:jc w:val="both"/>
        <w:rPr>
          <w:rFonts w:ascii="Arial" w:hAnsi="Arial" w:eastAsia="Arial" w:cs="Arial"/>
          <w:b/>
          <w:color w:val="000000"/>
        </w:rPr>
      </w:pPr>
      <w:bookmarkStart w:id="8" w:name="_heading=h.mggn4f7e7hl2"/>
      <w:bookmarkEnd w:id="8"/>
      <w:r>
        <w:rPr>
          <w:rFonts w:ascii="Arial" w:hAnsi="Arial" w:eastAsia="Arial" w:cs="Arial"/>
          <w:b/>
          <w:color w:val="000000"/>
        </w:rPr>
        <w:t>4.5.</w:t>
      </w:r>
      <w:r>
        <w:rPr>
          <w:rFonts w:ascii="Arial" w:hAnsi="Arial" w:eastAsia="Arial" w:cs="Arial"/>
          <w:color w:val="000000"/>
        </w:rPr>
        <w:t xml:space="preserve"> </w:t>
      </w:r>
      <w:r>
        <w:rPr>
          <w:rFonts w:ascii="Arial" w:hAnsi="Arial" w:eastAsia="Arial" w:cs="Arial"/>
          <w:b/>
          <w:color w:val="000000"/>
        </w:rPr>
        <w:t>NÃO PODERÃO DISPUTAR ESTA LICITAÇÃO:</w:t>
      </w:r>
    </w:p>
    <w:p w14:paraId="3A38C8D1">
      <w:pPr>
        <w:jc w:val="both"/>
        <w:rPr>
          <w:rFonts w:ascii="Arial" w:hAnsi="Arial" w:eastAsia="Arial" w:cs="Arial"/>
          <w:b/>
          <w:color w:val="000000"/>
        </w:rPr>
      </w:pPr>
    </w:p>
    <w:p w14:paraId="2F7CCB39">
      <w:pPr>
        <w:jc w:val="both"/>
        <w:rPr>
          <w:rFonts w:ascii="Arial" w:hAnsi="Arial" w:eastAsia="Arial" w:cs="Arial"/>
        </w:rPr>
      </w:pPr>
      <w:r>
        <w:rPr>
          <w:rFonts w:ascii="Arial" w:hAnsi="Arial" w:eastAsia="Arial" w:cs="Arial"/>
          <w:b/>
        </w:rPr>
        <w:t>4.5.1</w:t>
      </w:r>
      <w:r>
        <w:rPr>
          <w:rFonts w:ascii="Arial" w:hAnsi="Arial" w:eastAsia="Arial" w:cs="Arial"/>
        </w:rPr>
        <w:t>. Aquele que não atenda às condições deste Edital e seu(s) anexo(s);</w:t>
      </w:r>
    </w:p>
    <w:p w14:paraId="618D269E">
      <w:pPr>
        <w:jc w:val="both"/>
        <w:rPr>
          <w:rFonts w:ascii="Arial" w:hAnsi="Arial" w:eastAsia="Arial" w:cs="Arial"/>
          <w:b/>
        </w:rPr>
      </w:pPr>
    </w:p>
    <w:p w14:paraId="7F0F5E3A">
      <w:pPr>
        <w:jc w:val="both"/>
        <w:rPr>
          <w:rFonts w:ascii="Arial" w:hAnsi="Arial" w:eastAsia="Arial" w:cs="Arial"/>
        </w:rPr>
      </w:pPr>
      <w:r>
        <w:rPr>
          <w:rFonts w:ascii="Arial" w:hAnsi="Arial" w:eastAsia="Arial" w:cs="Arial"/>
          <w:b/>
        </w:rPr>
        <w:t>4.5.2.</w:t>
      </w:r>
      <w:r>
        <w:rPr>
          <w:rFonts w:ascii="Arial" w:hAnsi="Arial" w:eastAsia="Arial" w:cs="Arial"/>
        </w:rPr>
        <w:t xml:space="preserve"> Aqueles que se encontrem sob falência, concurso de credores, dissolução ou liquidação, ressalvados os que tenham plano de recuperação judicial aprovado em assembleia geral de credores e homologado pelo juiz.</w:t>
      </w:r>
    </w:p>
    <w:p w14:paraId="0B9EC751">
      <w:pPr>
        <w:jc w:val="both"/>
        <w:rPr>
          <w:rFonts w:ascii="Arial" w:hAnsi="Arial" w:eastAsia="Arial" w:cs="Arial"/>
          <w:b/>
        </w:rPr>
      </w:pPr>
    </w:p>
    <w:p w14:paraId="655125CC">
      <w:pPr>
        <w:jc w:val="both"/>
        <w:rPr>
          <w:rFonts w:ascii="Arial" w:hAnsi="Arial" w:eastAsia="Arial" w:cs="Arial"/>
          <w:b/>
        </w:rPr>
      </w:pPr>
      <w:r>
        <w:rPr>
          <w:rFonts w:ascii="Arial" w:hAnsi="Arial" w:eastAsia="Arial" w:cs="Arial"/>
          <w:b/>
        </w:rPr>
        <w:t>4.5.3. Empresas reunidas em consórcio, qualquer que seja sua forma de constituição.</w:t>
      </w:r>
    </w:p>
    <w:p w14:paraId="7523E5DD">
      <w:pPr>
        <w:jc w:val="both"/>
        <w:rPr>
          <w:rFonts w:ascii="Arial" w:hAnsi="Arial" w:eastAsia="Arial" w:cs="Arial"/>
          <w:b/>
        </w:rPr>
      </w:pPr>
    </w:p>
    <w:p w14:paraId="7D36388E">
      <w:pPr>
        <w:jc w:val="both"/>
        <w:rPr>
          <w:rFonts w:ascii="Arial" w:hAnsi="Arial" w:eastAsia="Arial" w:cs="Arial"/>
        </w:rPr>
      </w:pPr>
      <w:r>
        <w:rPr>
          <w:rFonts w:ascii="Arial" w:hAnsi="Arial" w:eastAsia="Arial" w:cs="Arial"/>
          <w:b/>
        </w:rPr>
        <w:t xml:space="preserve">4.5.3.1. </w:t>
      </w:r>
      <w:r>
        <w:rPr>
          <w:rFonts w:ascii="Arial" w:hAnsi="Arial" w:eastAsia="Arial" w:cs="Arial"/>
        </w:rPr>
        <w:t>O presente edital não prevê as condições de participação de empresas reunidas em consórcio, vez que as licitações que demandam essa participação são aquelas que envolvem serviços de grande vulto e/ou de alta complexidade técnica.</w:t>
      </w:r>
    </w:p>
    <w:p w14:paraId="2424A7BC">
      <w:pPr>
        <w:jc w:val="both"/>
        <w:rPr>
          <w:rFonts w:ascii="Arial" w:hAnsi="Arial" w:eastAsia="Arial" w:cs="Arial"/>
          <w:b/>
        </w:rPr>
      </w:pPr>
    </w:p>
    <w:p w14:paraId="2D438C6C">
      <w:pPr>
        <w:jc w:val="both"/>
        <w:rPr>
          <w:rFonts w:ascii="Arial" w:hAnsi="Arial" w:eastAsia="Arial" w:cs="Arial"/>
        </w:rPr>
      </w:pPr>
      <w:r>
        <w:rPr>
          <w:rFonts w:ascii="Arial" w:hAnsi="Arial" w:eastAsia="Arial" w:cs="Arial"/>
          <w:b/>
        </w:rPr>
        <w:t>4.5.4.</w:t>
      </w:r>
      <w:r>
        <w:rPr>
          <w:rFonts w:ascii="Arial" w:hAnsi="Arial" w:eastAsia="Arial" w:cs="Arial"/>
        </w:rPr>
        <w:t xml:space="preserve"> Organizações da Sociedade Civil de Interesse Público - OSCIP, atuando nessa condição;</w:t>
      </w:r>
    </w:p>
    <w:p w14:paraId="136EDCC2">
      <w:pPr>
        <w:jc w:val="both"/>
        <w:rPr>
          <w:rFonts w:ascii="Arial" w:hAnsi="Arial" w:eastAsia="Arial" w:cs="Arial"/>
          <w:b/>
        </w:rPr>
      </w:pPr>
    </w:p>
    <w:p w14:paraId="1F17C9EF">
      <w:pPr>
        <w:jc w:val="both"/>
        <w:rPr>
          <w:rFonts w:ascii="Arial" w:hAnsi="Arial" w:eastAsia="Arial" w:cs="Arial"/>
        </w:rPr>
      </w:pPr>
      <w:r>
        <w:rPr>
          <w:rFonts w:ascii="Arial" w:hAnsi="Arial" w:eastAsia="Arial" w:cs="Arial"/>
          <w:b/>
        </w:rPr>
        <w:t>4.5.5.</w:t>
      </w:r>
      <w:r>
        <w:rPr>
          <w:rFonts w:ascii="Arial" w:hAnsi="Arial" w:eastAsia="Arial" w:cs="Arial"/>
        </w:rPr>
        <w:t xml:space="preserve"> Empresa suspensa de licitar e contratar com a Prefeitura Municipal de Rondonópolis;</w:t>
      </w:r>
    </w:p>
    <w:p w14:paraId="6EAA85ED">
      <w:pPr>
        <w:jc w:val="both"/>
        <w:rPr>
          <w:rFonts w:ascii="Arial" w:hAnsi="Arial" w:eastAsia="Arial" w:cs="Arial"/>
          <w:b/>
        </w:rPr>
      </w:pPr>
    </w:p>
    <w:p w14:paraId="1EE0C677">
      <w:pPr>
        <w:jc w:val="both"/>
        <w:rPr>
          <w:rFonts w:ascii="Arial" w:hAnsi="Arial" w:eastAsia="Arial" w:cs="Arial"/>
        </w:rPr>
      </w:pPr>
      <w:r>
        <w:rPr>
          <w:rFonts w:ascii="Arial" w:hAnsi="Arial" w:eastAsia="Arial" w:cs="Arial"/>
          <w:b/>
        </w:rPr>
        <w:t>4.5.6.</w:t>
      </w:r>
      <w:r>
        <w:rPr>
          <w:rFonts w:ascii="Arial" w:hAnsi="Arial" w:eastAsia="Arial" w:cs="Arial"/>
        </w:rPr>
        <w:t xml:space="preserve"> Empresa que esteja declarada inidônea para licitar ou contratar com a Administração Pública, enquanto perdurarem os motivos da punição ou até que seja promovida a reabilitação perante a própria autoridade que aplicou a penalidade;</w:t>
      </w:r>
    </w:p>
    <w:p w14:paraId="302A9654">
      <w:pPr>
        <w:jc w:val="both"/>
        <w:rPr>
          <w:rFonts w:ascii="Arial" w:hAnsi="Arial" w:eastAsia="Arial" w:cs="Arial"/>
          <w:b/>
        </w:rPr>
      </w:pPr>
    </w:p>
    <w:p w14:paraId="6CD5D8D9">
      <w:pPr>
        <w:jc w:val="both"/>
        <w:rPr>
          <w:rFonts w:ascii="Arial" w:hAnsi="Arial" w:eastAsia="Arial" w:cs="Arial"/>
        </w:rPr>
      </w:pPr>
      <w:r>
        <w:rPr>
          <w:rFonts w:ascii="Arial" w:hAnsi="Arial" w:eastAsia="Arial" w:cs="Arial"/>
          <w:b/>
        </w:rPr>
        <w:t>4.5.7.</w:t>
      </w:r>
      <w:r>
        <w:rPr>
          <w:rFonts w:ascii="Arial" w:hAnsi="Arial" w:eastAsia="Arial" w:cs="Arial"/>
        </w:rPr>
        <w:t xml:space="preserve"> Cooperativas, exclusivamente nos casos em que o objeto do certame requer subordinação de mão de obra (Fundamentação: art. 5º da Lei 12.690/12 e acórdãos TCU 1937/03, 307/04, 1148/05);</w:t>
      </w:r>
    </w:p>
    <w:p w14:paraId="62ECEFD8">
      <w:pPr>
        <w:jc w:val="both"/>
        <w:rPr>
          <w:rFonts w:ascii="Arial" w:hAnsi="Arial" w:eastAsia="Arial" w:cs="Arial"/>
          <w:b/>
        </w:rPr>
      </w:pPr>
    </w:p>
    <w:p w14:paraId="36BA2AC7">
      <w:pPr>
        <w:jc w:val="both"/>
        <w:rPr>
          <w:rFonts w:ascii="Arial" w:hAnsi="Arial" w:eastAsia="Arial" w:cs="Arial"/>
        </w:rPr>
      </w:pPr>
      <w:r>
        <w:rPr>
          <w:rFonts w:ascii="Arial" w:hAnsi="Arial" w:eastAsia="Arial" w:cs="Arial"/>
          <w:b/>
        </w:rPr>
        <w:t>4.5.8.</w:t>
      </w:r>
      <w:r>
        <w:rPr>
          <w:rFonts w:ascii="Arial" w:hAnsi="Arial" w:eastAsia="Arial" w:cs="Arial"/>
        </w:rPr>
        <w:t xml:space="preserve"> Cooperativas em que seu objeto social não tem escopo com o objeto do certame. (Fundamentação: art. 10, § 2º da Lei 12.690/12).</w:t>
      </w:r>
    </w:p>
    <w:p w14:paraId="1F07F10E">
      <w:pPr>
        <w:jc w:val="both"/>
        <w:rPr>
          <w:rFonts w:ascii="Arial" w:hAnsi="Arial" w:eastAsia="Arial" w:cs="Arial"/>
          <w:b/>
        </w:rPr>
      </w:pPr>
    </w:p>
    <w:p w14:paraId="0EB77AFC">
      <w:pPr>
        <w:jc w:val="both"/>
        <w:rPr>
          <w:rFonts w:ascii="Arial" w:hAnsi="Arial" w:eastAsia="Arial" w:cs="Arial"/>
        </w:rPr>
      </w:pPr>
      <w:r>
        <w:rPr>
          <w:rFonts w:ascii="Arial" w:hAnsi="Arial" w:eastAsia="Arial" w:cs="Arial"/>
          <w:b/>
        </w:rPr>
        <w:t>4.5.9.</w:t>
      </w:r>
      <w:r>
        <w:rPr>
          <w:rFonts w:ascii="Arial" w:hAnsi="Arial" w:eastAsia="Arial" w:cs="Arial"/>
        </w:rPr>
        <w:t xml:space="preserve"> Empresas controladoras, controladas ou coligadas, nos termos da Lei Federal nº 6.404, de 15 de dezembro de 1976, concorrendo entre si;</w:t>
      </w:r>
    </w:p>
    <w:p w14:paraId="2FF5C14E">
      <w:pPr>
        <w:jc w:val="both"/>
        <w:rPr>
          <w:rFonts w:ascii="Arial" w:hAnsi="Arial" w:eastAsia="Arial" w:cs="Arial"/>
          <w:b/>
        </w:rPr>
      </w:pPr>
    </w:p>
    <w:p w14:paraId="0205AA2D">
      <w:pPr>
        <w:jc w:val="both"/>
        <w:rPr>
          <w:rFonts w:ascii="Arial" w:hAnsi="Arial" w:eastAsia="Arial" w:cs="Arial"/>
        </w:rPr>
      </w:pPr>
      <w:r>
        <w:rPr>
          <w:rFonts w:ascii="Arial" w:hAnsi="Arial" w:eastAsia="Arial" w:cs="Arial"/>
          <w:b/>
        </w:rPr>
        <w:t>4.5.10.</w:t>
      </w:r>
      <w:r>
        <w:rPr>
          <w:rFonts w:ascii="Arial" w:hAnsi="Arial" w:eastAsia="Arial" w:cs="Arial"/>
        </w:rPr>
        <w:t xml:space="preserve"> Empresas estrangeiras que não funcionem no País.</w:t>
      </w:r>
    </w:p>
    <w:p w14:paraId="2E5E35D9">
      <w:pPr>
        <w:jc w:val="both"/>
        <w:rPr>
          <w:rFonts w:ascii="Arial" w:hAnsi="Arial" w:eastAsia="Arial" w:cs="Arial"/>
        </w:rPr>
      </w:pPr>
    </w:p>
    <w:p w14:paraId="6F4493D5">
      <w:pPr>
        <w:jc w:val="both"/>
        <w:rPr>
          <w:rFonts w:ascii="Arial" w:hAnsi="Arial" w:eastAsia="Arial" w:cs="Arial"/>
        </w:rPr>
      </w:pPr>
      <w:r>
        <w:rPr>
          <w:rFonts w:ascii="Arial" w:hAnsi="Arial" w:eastAsia="Arial" w:cs="Arial"/>
          <w:b/>
        </w:rPr>
        <w:t>4.5.11</w:t>
      </w:r>
      <w:r>
        <w:rPr>
          <w:rFonts w:ascii="Arial" w:hAnsi="Arial" w:eastAsia="Arial" w:cs="Arial"/>
        </w:rPr>
        <w:t>. Pessoa física ou jurídica que se encontre, ao tempo da licitação, impossibilitada de participar da licitação em decorrência de sanção que lhe foi imposta, aplicado também ao licitante que atue em substituição a outra pessoa física ou jurídica, com o intuito de burlar a efetividade da sanção a ela aplicada, desde que devidamente comprovado o ilícito ou a utilização fraudulenta da personalidade jurídica do licitante.</w:t>
      </w:r>
    </w:p>
    <w:p w14:paraId="34E84698">
      <w:pPr>
        <w:jc w:val="both"/>
        <w:rPr>
          <w:rFonts w:ascii="Arial" w:hAnsi="Arial" w:eastAsia="Arial" w:cs="Arial"/>
        </w:rPr>
      </w:pPr>
    </w:p>
    <w:p w14:paraId="4DE90491">
      <w:pPr>
        <w:jc w:val="both"/>
        <w:rPr>
          <w:rFonts w:ascii="Arial" w:hAnsi="Arial" w:eastAsia="Arial" w:cs="Arial"/>
        </w:rPr>
      </w:pPr>
      <w:r>
        <w:rPr>
          <w:rFonts w:ascii="Arial" w:hAnsi="Arial" w:eastAsia="Arial" w:cs="Arial"/>
          <w:b/>
        </w:rPr>
        <w:t>4.5.12.</w:t>
      </w:r>
      <w:r>
        <w:rPr>
          <w:rFonts w:ascii="Arial" w:hAnsi="Arial" w:eastAsia="Arial" w:cs="Arial"/>
        </w:rPr>
        <w:t xml:space="preserve"> Aquele que mantenha vínculo de natureza técnica, comercial, econômica, financeira, trabalhista ou civil com dirigente do contratante ou com agente público que desempenhe função na licitação ou atue na fiscalização ou na gestão do contrato, ou que deles seja cônjuge, companheiro ou parente em linha reta, colateral ou por afinidade, até o terceiro grau.</w:t>
      </w:r>
    </w:p>
    <w:p w14:paraId="7F611639">
      <w:pPr>
        <w:jc w:val="both"/>
        <w:rPr>
          <w:rFonts w:ascii="Arial" w:hAnsi="Arial" w:eastAsia="Arial" w:cs="Arial"/>
        </w:rPr>
      </w:pPr>
    </w:p>
    <w:p w14:paraId="4A9E89F5">
      <w:pPr>
        <w:jc w:val="both"/>
        <w:rPr>
          <w:rFonts w:ascii="Arial" w:hAnsi="Arial" w:eastAsia="Arial" w:cs="Arial"/>
        </w:rPr>
      </w:pPr>
      <w:r>
        <w:rPr>
          <w:rFonts w:ascii="Arial" w:hAnsi="Arial" w:eastAsia="Arial" w:cs="Arial"/>
          <w:b/>
        </w:rPr>
        <w:t>4.5.13.</w:t>
      </w:r>
      <w:r>
        <w:rPr>
          <w:rFonts w:ascii="Arial" w:hAnsi="Arial" w:eastAsia="Arial" w:cs="Arial"/>
        </w:rPr>
        <w:t xml:space="preserve"> Pessoa física ou jurídica que, nos 05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3F1F6295">
      <w:pPr>
        <w:jc w:val="both"/>
        <w:rPr>
          <w:rFonts w:ascii="Arial" w:hAnsi="Arial" w:eastAsia="Arial" w:cs="Arial"/>
        </w:rPr>
      </w:pPr>
    </w:p>
    <w:p w14:paraId="3215BB28">
      <w:pPr>
        <w:jc w:val="both"/>
        <w:rPr>
          <w:rFonts w:ascii="Arial" w:hAnsi="Arial" w:eastAsia="Arial" w:cs="Arial"/>
        </w:rPr>
      </w:pPr>
      <w:r>
        <w:rPr>
          <w:rFonts w:ascii="Arial" w:hAnsi="Arial" w:eastAsia="Arial" w:cs="Arial"/>
          <w:b/>
        </w:rPr>
        <w:t>4.5.14.</w:t>
      </w:r>
      <w:r>
        <w:rPr>
          <w:rFonts w:ascii="Arial" w:hAnsi="Arial" w:eastAsia="Arial" w:cs="Arial"/>
        </w:rPr>
        <w:t xml:space="preserve"> 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14:paraId="06B9BCE2">
      <w:pPr>
        <w:jc w:val="both"/>
        <w:rPr>
          <w:rFonts w:ascii="Arial" w:hAnsi="Arial" w:eastAsia="Arial" w:cs="Arial"/>
        </w:rPr>
      </w:pPr>
    </w:p>
    <w:p w14:paraId="1E8FEB4B">
      <w:pPr>
        <w:jc w:val="both"/>
        <w:rPr>
          <w:rFonts w:ascii="Arial" w:hAnsi="Arial" w:eastAsia="Arial" w:cs="Arial"/>
        </w:rPr>
      </w:pPr>
      <w:r>
        <w:rPr>
          <w:rFonts w:ascii="Arial" w:hAnsi="Arial" w:eastAsia="Arial" w:cs="Arial"/>
          <w:b/>
        </w:rPr>
        <w:t>4.5.15.</w:t>
      </w:r>
      <w:r>
        <w:rPr>
          <w:rFonts w:ascii="Arial" w:hAnsi="Arial" w:eastAsia="Arial" w:cs="Arial"/>
        </w:rPr>
        <w:t xml:space="preserve"> A vedação estabelecida no item anterior estende-se a terceiro que auxilie a condução da contratação na qualidade de integrante de equipe de apoio, profissional especializado ou funcionário ou representante de empresa que preste assessoria técnica.</w:t>
      </w:r>
    </w:p>
    <w:p w14:paraId="124250C6">
      <w:pPr>
        <w:jc w:val="both"/>
        <w:rPr>
          <w:rFonts w:ascii="Arial" w:hAnsi="Arial" w:eastAsia="Arial" w:cs="Arial"/>
        </w:rPr>
      </w:pPr>
    </w:p>
    <w:p w14:paraId="15217C12">
      <w:pPr>
        <w:pStyle w:val="2"/>
        <w:spacing w:before="0" w:after="0"/>
        <w:rPr>
          <w:sz w:val="20"/>
          <w:szCs w:val="20"/>
          <w:lang w:val="pt-BR"/>
        </w:rPr>
      </w:pPr>
      <w:bookmarkStart w:id="9" w:name="_heading=h.yoiged1uytkh"/>
      <w:bookmarkEnd w:id="9"/>
      <w:r>
        <w:rPr>
          <w:sz w:val="20"/>
          <w:szCs w:val="20"/>
          <w:lang w:val="pt-BR"/>
        </w:rPr>
        <w:t xml:space="preserve">5. DO CREDENCIAMENTO: </w:t>
      </w:r>
    </w:p>
    <w:p w14:paraId="40A18499">
      <w:pPr>
        <w:jc w:val="both"/>
        <w:rPr>
          <w:rFonts w:ascii="Arial" w:hAnsi="Arial" w:eastAsia="Arial" w:cs="Arial"/>
        </w:rPr>
      </w:pPr>
    </w:p>
    <w:p w14:paraId="0F68B50E">
      <w:pPr>
        <w:jc w:val="both"/>
        <w:rPr>
          <w:rFonts w:ascii="Arial" w:hAnsi="Arial" w:eastAsia="Arial" w:cs="Arial"/>
          <w:b/>
        </w:rPr>
      </w:pPr>
      <w:r>
        <w:rPr>
          <w:rFonts w:ascii="Arial" w:hAnsi="Arial" w:eastAsia="Arial" w:cs="Arial"/>
          <w:b/>
        </w:rPr>
        <w:t>5.1.</w:t>
      </w:r>
      <w:r>
        <w:rPr>
          <w:rFonts w:ascii="Arial" w:hAnsi="Arial" w:eastAsia="Arial" w:cs="Arial"/>
        </w:rPr>
        <w:t xml:space="preserve"> Para participação da licitação ou simples acompanha-la, o interessado deverá acessar, na internet, a página </w:t>
      </w:r>
      <w:r>
        <w:rPr>
          <w:rFonts w:ascii="Arial" w:hAnsi="Arial" w:eastAsia="Arial" w:cs="Arial"/>
          <w:b/>
        </w:rPr>
        <w:t>bllcompras.com</w:t>
      </w:r>
      <w:r>
        <w:rPr>
          <w:rFonts w:ascii="Arial" w:hAnsi="Arial" w:eastAsia="Arial" w:cs="Arial"/>
        </w:rPr>
        <w:t>, onde se encontra o link para o “</w:t>
      </w:r>
      <w:r>
        <w:rPr>
          <w:rFonts w:ascii="Arial" w:hAnsi="Arial" w:eastAsia="Arial" w:cs="Arial"/>
          <w:b/>
        </w:rPr>
        <w:t>Acesso Identificado</w:t>
      </w:r>
      <w:r>
        <w:rPr>
          <w:rFonts w:ascii="Arial" w:hAnsi="Arial" w:eastAsia="Arial" w:cs="Arial"/>
        </w:rPr>
        <w:t xml:space="preserve">”, deverão dispor de chave de identificação e de senha pessoais e intransferíveis, obtidas junto à </w:t>
      </w:r>
      <w:r>
        <w:rPr>
          <w:rFonts w:ascii="Arial" w:hAnsi="Arial" w:eastAsia="Arial" w:cs="Arial"/>
          <w:b/>
        </w:rPr>
        <w:t xml:space="preserve">BLL – Bolsa de Licitações e Leilões: </w:t>
      </w:r>
      <w:r>
        <w:fldChar w:fldCharType="begin"/>
      </w:r>
      <w:r>
        <w:instrText xml:space="preserve"> HYPERLINK "http://www.bllcompras.org.br/" \h </w:instrText>
      </w:r>
      <w:r>
        <w:fldChar w:fldCharType="separate"/>
      </w:r>
      <w:r>
        <w:rPr>
          <w:rFonts w:ascii="Arial" w:hAnsi="Arial" w:eastAsia="Arial" w:cs="Arial"/>
          <w:b/>
          <w:color w:val="0000FF"/>
          <w:u w:val="single"/>
        </w:rPr>
        <w:t>bllcompras.com</w:t>
      </w:r>
      <w:r>
        <w:rPr>
          <w:rFonts w:ascii="Arial" w:hAnsi="Arial" w:eastAsia="Arial" w:cs="Arial"/>
          <w:b/>
          <w:color w:val="0000FF"/>
          <w:u w:val="single"/>
        </w:rPr>
        <w:fldChar w:fldCharType="end"/>
      </w:r>
      <w:r>
        <w:rPr>
          <w:rFonts w:ascii="Arial" w:hAnsi="Arial" w:eastAsia="Arial" w:cs="Arial"/>
          <w:b/>
        </w:rPr>
        <w:t xml:space="preserve">. </w:t>
      </w:r>
    </w:p>
    <w:p w14:paraId="3EF69AE6">
      <w:pPr>
        <w:jc w:val="both"/>
        <w:rPr>
          <w:rFonts w:ascii="Arial" w:hAnsi="Arial" w:eastAsia="Arial" w:cs="Arial"/>
          <w:b/>
        </w:rPr>
      </w:pPr>
    </w:p>
    <w:p w14:paraId="15A147F8">
      <w:pPr>
        <w:jc w:val="both"/>
        <w:rPr>
          <w:rFonts w:ascii="Arial" w:hAnsi="Arial" w:eastAsia="Arial" w:cs="Arial"/>
        </w:rPr>
      </w:pPr>
      <w:r>
        <w:rPr>
          <w:rFonts w:ascii="Arial" w:hAnsi="Arial" w:eastAsia="Arial" w:cs="Arial"/>
          <w:b/>
        </w:rPr>
        <w:t>5.2.</w:t>
      </w:r>
      <w:r>
        <w:rPr>
          <w:rFonts w:ascii="Arial" w:hAnsi="Arial" w:eastAsia="Arial" w:cs="Arial"/>
        </w:rPr>
        <w:t xml:space="preserve"> As propostas comerciais e os documentos exigidos para habilitação poderão ser cadastrados até </w:t>
      </w:r>
      <w:r>
        <w:rPr>
          <w:rFonts w:ascii="Arial" w:hAnsi="Arial" w:eastAsia="Arial" w:cs="Arial"/>
          <w:b/>
        </w:rPr>
        <w:t>meia hora antes</w:t>
      </w:r>
      <w:r>
        <w:rPr>
          <w:rFonts w:ascii="Arial" w:hAnsi="Arial" w:eastAsia="Arial" w:cs="Arial"/>
        </w:rPr>
        <w:t xml:space="preserve"> do horário estabelecido no preambulo deste edital </w:t>
      </w:r>
      <w:r>
        <w:rPr>
          <w:rFonts w:ascii="Arial" w:hAnsi="Arial" w:eastAsia="Arial" w:cs="Arial"/>
          <w:b/>
          <w:color w:val="000000"/>
        </w:rPr>
        <w:t xml:space="preserve">(horário de Brasília) </w:t>
      </w:r>
      <w:r>
        <w:rPr>
          <w:rFonts w:ascii="Arial" w:hAnsi="Arial" w:eastAsia="Arial" w:cs="Arial"/>
        </w:rPr>
        <w:t xml:space="preserve">por meio do endereço </w:t>
      </w:r>
      <w:r>
        <w:rPr>
          <w:rFonts w:ascii="Arial" w:hAnsi="Arial" w:eastAsia="Arial" w:cs="Arial"/>
          <w:b/>
        </w:rPr>
        <w:t>bllcompras.com</w:t>
      </w:r>
      <w:r>
        <w:rPr>
          <w:rFonts w:ascii="Arial" w:hAnsi="Arial" w:eastAsia="Arial" w:cs="Arial"/>
        </w:rPr>
        <w:t>, onde se encontra o link para o “</w:t>
      </w:r>
      <w:r>
        <w:rPr>
          <w:rFonts w:ascii="Arial" w:hAnsi="Arial" w:eastAsia="Arial" w:cs="Arial"/>
          <w:b/>
        </w:rPr>
        <w:t>Acesso Identificado</w:t>
      </w:r>
      <w:r>
        <w:rPr>
          <w:rFonts w:ascii="Arial" w:hAnsi="Arial" w:eastAsia="Arial" w:cs="Arial"/>
        </w:rPr>
        <w:t xml:space="preserve">”, podendo os interessados cadastrar ou substituir propostas no sistema eletrônico; </w:t>
      </w:r>
    </w:p>
    <w:p w14:paraId="6752A379">
      <w:pPr>
        <w:jc w:val="both"/>
        <w:rPr>
          <w:rFonts w:ascii="Arial" w:hAnsi="Arial" w:eastAsia="Arial" w:cs="Arial"/>
          <w:b/>
        </w:rPr>
      </w:pPr>
    </w:p>
    <w:p w14:paraId="68564381">
      <w:pPr>
        <w:jc w:val="both"/>
        <w:rPr>
          <w:rFonts w:ascii="Arial" w:hAnsi="Arial" w:eastAsia="Arial" w:cs="Arial"/>
        </w:rPr>
      </w:pPr>
      <w:r>
        <w:rPr>
          <w:rFonts w:ascii="Arial" w:hAnsi="Arial" w:eastAsia="Arial" w:cs="Arial"/>
          <w:b/>
        </w:rPr>
        <w:t>5.2.1.</w:t>
      </w:r>
      <w:r>
        <w:rPr>
          <w:rFonts w:ascii="Arial" w:hAnsi="Arial" w:eastAsia="Arial" w:cs="Arial"/>
        </w:rPr>
        <w:t xml:space="preserve"> Eventuais </w:t>
      </w:r>
      <w:r>
        <w:rPr>
          <w:rFonts w:ascii="Arial" w:hAnsi="Arial" w:eastAsia="Arial" w:cs="Arial"/>
          <w:b/>
        </w:rPr>
        <w:t>dúvidas para obtenção da senha</w:t>
      </w:r>
      <w:r>
        <w:rPr>
          <w:rFonts w:ascii="Arial" w:hAnsi="Arial" w:eastAsia="Arial" w:cs="Arial"/>
        </w:rPr>
        <w:t xml:space="preserve"> de acesso ou qualquer problema com o cadastramento das propostas, o licitante deverá entrar em contato com a </w:t>
      </w:r>
      <w:r>
        <w:rPr>
          <w:rFonts w:ascii="Arial" w:hAnsi="Arial" w:eastAsia="Arial" w:cs="Arial"/>
          <w:b/>
        </w:rPr>
        <w:t xml:space="preserve">BLL </w:t>
      </w:r>
      <w:r>
        <w:rPr>
          <w:rFonts w:ascii="Arial" w:hAnsi="Arial" w:eastAsia="Arial" w:cs="Arial"/>
        </w:rPr>
        <w:t xml:space="preserve">pelos telefones </w:t>
      </w:r>
      <w:r>
        <w:rPr>
          <w:rFonts w:ascii="Arial" w:hAnsi="Arial" w:eastAsia="Arial" w:cs="Arial"/>
          <w:b/>
        </w:rPr>
        <w:t>(041) 3097-4600; 3097-4623; 3097-4646; 3148-9870</w:t>
      </w:r>
      <w:r>
        <w:rPr>
          <w:rFonts w:ascii="Arial" w:hAnsi="Arial" w:eastAsia="Arial" w:cs="Arial"/>
        </w:rPr>
        <w:t xml:space="preserve"> pois é de inteira responsabilidade da mesma em sanar problemas relacionados com o sistema; </w:t>
      </w:r>
    </w:p>
    <w:p w14:paraId="506890F1">
      <w:pPr>
        <w:jc w:val="both"/>
        <w:rPr>
          <w:rFonts w:ascii="Arial" w:hAnsi="Arial" w:eastAsia="Arial" w:cs="Arial"/>
        </w:rPr>
      </w:pPr>
    </w:p>
    <w:p w14:paraId="568D48AA">
      <w:pPr>
        <w:jc w:val="both"/>
        <w:rPr>
          <w:rFonts w:ascii="Arial" w:hAnsi="Arial" w:eastAsia="Arial" w:cs="Arial"/>
        </w:rPr>
      </w:pPr>
      <w:r>
        <w:rPr>
          <w:rFonts w:ascii="Arial" w:hAnsi="Arial" w:eastAsia="Arial" w:cs="Arial"/>
          <w:b/>
        </w:rPr>
        <w:t xml:space="preserve">5.3. </w:t>
      </w:r>
      <w:r>
        <w:rPr>
          <w:rFonts w:ascii="Arial" w:hAnsi="Arial" w:eastAsia="Arial" w:cs="Arial"/>
        </w:rPr>
        <w:t xml:space="preserve">A chave de identificação e senha poderão ser utilizadas em qualquer pregão eletrônico, salvo quando canceladas por solicitação do credenciado ou por iniciativa da BLL, devidamente justificado. </w:t>
      </w:r>
    </w:p>
    <w:p w14:paraId="052976CE">
      <w:pPr>
        <w:jc w:val="both"/>
        <w:rPr>
          <w:rFonts w:ascii="Arial" w:hAnsi="Arial" w:eastAsia="Arial" w:cs="Arial"/>
          <w:b/>
        </w:rPr>
      </w:pPr>
    </w:p>
    <w:p w14:paraId="22BF7688">
      <w:pPr>
        <w:jc w:val="both"/>
        <w:rPr>
          <w:rFonts w:ascii="Arial" w:hAnsi="Arial" w:eastAsia="Arial" w:cs="Arial"/>
        </w:rPr>
      </w:pPr>
      <w:r>
        <w:rPr>
          <w:rFonts w:ascii="Arial" w:hAnsi="Arial" w:eastAsia="Arial" w:cs="Arial"/>
          <w:b/>
        </w:rPr>
        <w:t>5.4.</w:t>
      </w:r>
      <w:r>
        <w:rPr>
          <w:rFonts w:ascii="Arial" w:hAnsi="Arial" w:eastAsia="Arial" w:cs="Arial"/>
        </w:rPr>
        <w:t xml:space="preserve"> É de exclusiva responsabilidade do usuário o sigilo da senha, bem como seu uso em qualquer transação efetuada diretamente ou por seu representante, não cabendo à Prefeitura Municipal de Rondonópolis-MT e/ou BLL, a responsabilidade por eventuais danos decorrentes de uso indevido da senha, ainda que por terceiros.</w:t>
      </w:r>
    </w:p>
    <w:p w14:paraId="26331401">
      <w:pPr>
        <w:jc w:val="both"/>
        <w:rPr>
          <w:rFonts w:ascii="Arial" w:hAnsi="Arial" w:eastAsia="Arial" w:cs="Arial"/>
        </w:rPr>
      </w:pPr>
      <w:r>
        <w:rPr>
          <w:rFonts w:ascii="Arial" w:hAnsi="Arial" w:eastAsia="Arial" w:cs="Arial"/>
        </w:rPr>
        <w:t xml:space="preserve"> </w:t>
      </w:r>
    </w:p>
    <w:p w14:paraId="1093209D">
      <w:pPr>
        <w:jc w:val="both"/>
        <w:rPr>
          <w:rFonts w:ascii="Arial" w:hAnsi="Arial" w:eastAsia="Arial" w:cs="Arial"/>
        </w:rPr>
      </w:pPr>
      <w:r>
        <w:rPr>
          <w:rFonts w:ascii="Arial" w:hAnsi="Arial" w:eastAsia="Arial" w:cs="Arial"/>
          <w:b/>
        </w:rPr>
        <w:t>5.5.</w:t>
      </w:r>
      <w:r>
        <w:rPr>
          <w:rFonts w:ascii="Arial" w:hAnsi="Arial" w:eastAsia="Arial" w:cs="Arial"/>
        </w:rPr>
        <w:t xml:space="preserve"> O credenciamento do fornecedor e de seu representante legal junto ao sistema eletrônico implica a responsabilidade legal pelos atos praticados e a presunção de capacidade técnica para realização das transações inerentes ao pregão eletrônico.</w:t>
      </w:r>
    </w:p>
    <w:p w14:paraId="7756EDFD">
      <w:pPr>
        <w:jc w:val="both"/>
        <w:rPr>
          <w:rFonts w:ascii="Arial" w:hAnsi="Arial" w:eastAsia="Arial" w:cs="Arial"/>
          <w:b/>
        </w:rPr>
      </w:pPr>
    </w:p>
    <w:p w14:paraId="5CF503A3">
      <w:pPr>
        <w:jc w:val="both"/>
        <w:rPr>
          <w:rFonts w:ascii="Arial" w:hAnsi="Arial" w:eastAsia="Arial" w:cs="Arial"/>
        </w:rPr>
      </w:pPr>
      <w:r>
        <w:rPr>
          <w:rFonts w:ascii="Arial" w:hAnsi="Arial" w:eastAsia="Arial" w:cs="Arial"/>
          <w:b/>
        </w:rPr>
        <w:t>5.6.</w:t>
      </w:r>
      <w:r>
        <w:rPr>
          <w:rFonts w:ascii="Arial" w:hAnsi="Arial" w:eastAsia="Arial" w:cs="Arial"/>
        </w:rPr>
        <w:t xml:space="preserve"> Como requisito para participação deste Pregão Eletrônico, o Licitante deverá manifestar, em campo próprio do Sistema BLL, que sua proposta se encontra em conformidade com as exigências previstas e cumpre plenamente os requisitos de habilitação deste Edital, ressalvados os casos de participação de microempresa e de empresa de pequeno porte, no que concerne a regularidade fiscal e trabalhista.</w:t>
      </w:r>
    </w:p>
    <w:p w14:paraId="3E996074">
      <w:pPr>
        <w:jc w:val="both"/>
        <w:rPr>
          <w:rFonts w:ascii="Arial" w:hAnsi="Arial" w:eastAsia="Arial" w:cs="Arial"/>
        </w:rPr>
      </w:pPr>
    </w:p>
    <w:p w14:paraId="1D160C9F">
      <w:pPr>
        <w:jc w:val="both"/>
        <w:rPr>
          <w:rFonts w:ascii="Arial" w:hAnsi="Arial" w:eastAsia="Arial" w:cs="Arial"/>
        </w:rPr>
      </w:pPr>
      <w:r>
        <w:rPr>
          <w:rFonts w:ascii="Arial" w:hAnsi="Arial" w:eastAsia="Arial" w:cs="Arial"/>
          <w:b/>
        </w:rPr>
        <w:t>5.7.</w:t>
      </w:r>
      <w:r>
        <w:rPr>
          <w:rFonts w:ascii="Arial" w:hAnsi="Arial" w:eastAsia="Arial" w:cs="Arial"/>
        </w:rPr>
        <w:t xml:space="preserve"> Em se tratando de microempresa e empresa de pequeno porte, nos termos da </w:t>
      </w:r>
      <w:r>
        <w:rPr>
          <w:rFonts w:ascii="Arial" w:hAnsi="Arial" w:eastAsia="Arial" w:cs="Arial"/>
          <w:b/>
        </w:rPr>
        <w:t>Lei Complementar nº 123, de 14.12.2006, alterada pela Lei complementar 147/2014, de 07.08.2014,</w:t>
      </w:r>
      <w:r>
        <w:rPr>
          <w:rFonts w:ascii="Arial" w:hAnsi="Arial" w:eastAsia="Arial" w:cs="Arial"/>
        </w:rPr>
        <w:t xml:space="preserve"> para que essa possa gozar dos </w:t>
      </w:r>
      <w:r>
        <w:rPr>
          <w:rFonts w:ascii="Arial" w:hAnsi="Arial" w:eastAsia="Arial" w:cs="Arial"/>
          <w:b/>
        </w:rPr>
        <w:t>benefícios previstos no capítulo V</w:t>
      </w:r>
      <w:r>
        <w:rPr>
          <w:rFonts w:ascii="Arial" w:hAnsi="Arial" w:eastAsia="Arial" w:cs="Arial"/>
        </w:rPr>
        <w:t xml:space="preserve"> da referida Lei, é necessário, à época do credenciamento acrescentar as expressões “</w:t>
      </w:r>
      <w:r>
        <w:rPr>
          <w:rFonts w:ascii="Arial" w:hAnsi="Arial" w:eastAsia="Arial" w:cs="Arial"/>
          <w:b/>
        </w:rPr>
        <w:t>Microempresa</w:t>
      </w:r>
      <w:r>
        <w:rPr>
          <w:rFonts w:ascii="Arial" w:hAnsi="Arial" w:eastAsia="Arial" w:cs="Arial"/>
        </w:rPr>
        <w:t>” ou “</w:t>
      </w:r>
      <w:r>
        <w:rPr>
          <w:rFonts w:ascii="Arial" w:hAnsi="Arial" w:eastAsia="Arial" w:cs="Arial"/>
          <w:b/>
        </w:rPr>
        <w:t>Empresa de Pequeno Porte</w:t>
      </w:r>
      <w:r>
        <w:rPr>
          <w:rFonts w:ascii="Arial" w:hAnsi="Arial" w:eastAsia="Arial" w:cs="Arial"/>
        </w:rPr>
        <w:t>” ou suas respectivas abreviações, “</w:t>
      </w:r>
      <w:r>
        <w:rPr>
          <w:rFonts w:ascii="Arial" w:hAnsi="Arial" w:eastAsia="Arial" w:cs="Arial"/>
          <w:b/>
        </w:rPr>
        <w:t>ME</w:t>
      </w:r>
      <w:r>
        <w:rPr>
          <w:rFonts w:ascii="Arial" w:hAnsi="Arial" w:eastAsia="Arial" w:cs="Arial"/>
        </w:rPr>
        <w:t>” ou “</w:t>
      </w:r>
      <w:r>
        <w:rPr>
          <w:rFonts w:ascii="Arial" w:hAnsi="Arial" w:eastAsia="Arial" w:cs="Arial"/>
          <w:b/>
        </w:rPr>
        <w:t>EPP</w:t>
      </w:r>
      <w:r>
        <w:rPr>
          <w:rFonts w:ascii="Arial" w:hAnsi="Arial" w:eastAsia="Arial" w:cs="Arial"/>
        </w:rPr>
        <w:t xml:space="preserve">”, à sua firma ou denominação conforme o caso. </w:t>
      </w:r>
    </w:p>
    <w:p w14:paraId="71EEF85D">
      <w:pPr>
        <w:jc w:val="both"/>
        <w:rPr>
          <w:rFonts w:ascii="Arial" w:hAnsi="Arial" w:eastAsia="Arial" w:cs="Arial"/>
          <w:b/>
        </w:rPr>
      </w:pPr>
    </w:p>
    <w:p w14:paraId="77BB085C">
      <w:pPr>
        <w:jc w:val="both"/>
        <w:rPr>
          <w:rFonts w:ascii="Arial" w:hAnsi="Arial" w:eastAsia="Arial" w:cs="Arial"/>
        </w:rPr>
      </w:pPr>
      <w:r>
        <w:rPr>
          <w:rFonts w:ascii="Arial" w:hAnsi="Arial" w:eastAsia="Arial" w:cs="Arial"/>
          <w:b/>
        </w:rPr>
        <w:t>5.7.1.</w:t>
      </w:r>
      <w:r>
        <w:rPr>
          <w:rFonts w:ascii="Arial" w:hAnsi="Arial" w:eastAsia="Arial" w:cs="Arial"/>
        </w:rPr>
        <w:t xml:space="preserve"> Caso o proponente já esteja cadastrado no Sistema e não constem os dados acima em sua firma ou denominação, deverá providenciar a alteração de seu cadastro no Sistema. Para tanto, deverá dirigir-se á </w:t>
      </w:r>
      <w:r>
        <w:rPr>
          <w:rFonts w:ascii="Arial" w:hAnsi="Arial" w:eastAsia="Arial" w:cs="Arial"/>
          <w:b/>
        </w:rPr>
        <w:t>BLL</w:t>
      </w:r>
      <w:r>
        <w:rPr>
          <w:rFonts w:ascii="Arial" w:hAnsi="Arial" w:eastAsia="Arial" w:cs="Arial"/>
        </w:rPr>
        <w:t xml:space="preserve">. </w:t>
      </w:r>
    </w:p>
    <w:p w14:paraId="5D3CA5EF">
      <w:pPr>
        <w:jc w:val="both"/>
        <w:rPr>
          <w:rFonts w:ascii="Arial" w:hAnsi="Arial" w:eastAsia="Arial" w:cs="Arial"/>
        </w:rPr>
      </w:pPr>
    </w:p>
    <w:p w14:paraId="7AB6AD0B">
      <w:pPr>
        <w:jc w:val="both"/>
        <w:rPr>
          <w:rFonts w:ascii="Arial" w:hAnsi="Arial" w:eastAsia="Arial" w:cs="Arial"/>
        </w:rPr>
      </w:pPr>
      <w:r>
        <w:rPr>
          <w:rFonts w:ascii="Arial" w:hAnsi="Arial" w:eastAsia="Arial" w:cs="Arial"/>
          <w:b/>
        </w:rPr>
        <w:t>5.8.</w:t>
      </w:r>
      <w:r>
        <w:rPr>
          <w:rFonts w:ascii="Arial" w:hAnsi="Arial" w:eastAsia="Arial" w:cs="Arial"/>
        </w:rPr>
        <w:t xml:space="preserve"> É vedado a qualquer credenciado representar mais de uma empresa proponente, salvo, nos casos de representação para itens/lotes distintos.</w:t>
      </w:r>
    </w:p>
    <w:p w14:paraId="4D197C6D">
      <w:pPr>
        <w:jc w:val="both"/>
        <w:rPr>
          <w:rFonts w:ascii="Arial" w:hAnsi="Arial" w:eastAsia="Arial" w:cs="Arial"/>
        </w:rPr>
      </w:pPr>
    </w:p>
    <w:p w14:paraId="65C73E22">
      <w:pPr>
        <w:pStyle w:val="2"/>
        <w:spacing w:before="0" w:after="0"/>
        <w:rPr>
          <w:sz w:val="20"/>
          <w:szCs w:val="20"/>
          <w:lang w:val="pt-BR"/>
        </w:rPr>
      </w:pPr>
      <w:bookmarkStart w:id="10" w:name="_heading=h.pxeyw4erdhfw"/>
      <w:bookmarkEnd w:id="10"/>
      <w:r>
        <w:rPr>
          <w:sz w:val="20"/>
          <w:szCs w:val="20"/>
          <w:lang w:val="pt-BR"/>
        </w:rPr>
        <w:t>6. DA PARTICIPAÇÃO NA LICITAÇÃO E CADASTRO DA PROPOSTA NO SISTEMA BLL:</w:t>
      </w:r>
    </w:p>
    <w:p w14:paraId="27A784B5">
      <w:pPr>
        <w:jc w:val="both"/>
        <w:rPr>
          <w:rFonts w:ascii="Arial" w:hAnsi="Arial" w:eastAsia="Arial" w:cs="Arial"/>
        </w:rPr>
      </w:pPr>
    </w:p>
    <w:p w14:paraId="609ACBE0">
      <w:pPr>
        <w:jc w:val="both"/>
        <w:rPr>
          <w:rFonts w:ascii="Arial" w:hAnsi="Arial" w:eastAsia="Arial" w:cs="Arial"/>
        </w:rPr>
      </w:pPr>
      <w:r>
        <w:rPr>
          <w:rFonts w:ascii="Arial" w:hAnsi="Arial" w:eastAsia="Arial" w:cs="Arial"/>
          <w:b/>
        </w:rPr>
        <w:t>6.1.</w:t>
      </w:r>
      <w:r>
        <w:rPr>
          <w:rFonts w:ascii="Arial" w:hAnsi="Arial" w:eastAsia="Arial" w:cs="Arial"/>
        </w:rPr>
        <w:t xml:space="preserve"> Não haverá a possibilidade de o licitante oferecer proposta em quantitativo inferior ao máximo previsto no edital, obrigando-se nos limites dele (art. 82, IV da Lei 14.133/2021 e art. 301, IX do Decreto 11.685/2023).</w:t>
      </w:r>
    </w:p>
    <w:p w14:paraId="2D8C2C17">
      <w:pPr>
        <w:jc w:val="both"/>
        <w:rPr>
          <w:rFonts w:ascii="Arial" w:hAnsi="Arial" w:eastAsia="Arial" w:cs="Arial"/>
        </w:rPr>
      </w:pPr>
    </w:p>
    <w:p w14:paraId="75842E6B">
      <w:pPr>
        <w:jc w:val="both"/>
        <w:rPr>
          <w:rFonts w:ascii="Arial" w:hAnsi="Arial" w:eastAsia="Arial" w:cs="Arial"/>
        </w:rPr>
      </w:pPr>
      <w:r>
        <w:rPr>
          <w:rFonts w:ascii="Arial" w:hAnsi="Arial" w:eastAsia="Arial" w:cs="Arial"/>
          <w:b/>
          <w:bCs/>
        </w:rPr>
        <w:t>6.2</w:t>
      </w:r>
      <w:r>
        <w:rPr>
          <w:rFonts w:ascii="Arial" w:hAnsi="Arial" w:eastAsia="Arial" w:cs="Arial"/>
        </w:rPr>
        <w:t>. Os documentos exigidos para habilitação deverão ser apresentados via sistema eletrônico antes da abertura da sessão pública. A análise da documentação ocorrerá em momento inicial do certame. Somente os licitantes considerados habilitados terão suas propostas abertas e participarão da fase de lances.</w:t>
      </w:r>
    </w:p>
    <w:p w14:paraId="6AF5A452">
      <w:pPr>
        <w:jc w:val="both"/>
        <w:rPr>
          <w:rFonts w:ascii="Arial" w:hAnsi="Arial" w:eastAsia="Arial" w:cs="Arial"/>
        </w:rPr>
      </w:pPr>
    </w:p>
    <w:p w14:paraId="6CADDBE4">
      <w:pPr>
        <w:jc w:val="both"/>
        <w:rPr>
          <w:rFonts w:ascii="Arial" w:hAnsi="Arial" w:eastAsia="Arial" w:cs="Arial"/>
        </w:rPr>
      </w:pPr>
      <w:r>
        <w:rPr>
          <w:rFonts w:ascii="Arial" w:hAnsi="Arial" w:eastAsia="Arial" w:cs="Arial"/>
          <w:b/>
        </w:rPr>
        <w:t>6.2.1. As propostas deverão ser cadastradas com valor unitário por lote</w:t>
      </w:r>
      <w:r>
        <w:rPr>
          <w:rFonts w:ascii="Arial" w:hAnsi="Arial" w:eastAsia="Arial" w:cs="Arial"/>
        </w:rPr>
        <w:t xml:space="preserve">, tendo em vista que o próprio sistema da BLL fará a multiplicação e emitirá os relatórios com o (s) valor (es) total (is) do (s) item (ns), nesse caso </w:t>
      </w:r>
      <w:r>
        <w:rPr>
          <w:rFonts w:ascii="Arial" w:hAnsi="Arial" w:eastAsia="Arial" w:cs="Arial"/>
          <w:b/>
        </w:rPr>
        <w:t>os lances serão sobre o valor total do lote</w:t>
      </w:r>
      <w:r>
        <w:rPr>
          <w:rFonts w:ascii="Arial" w:hAnsi="Arial" w:eastAsia="Arial" w:cs="Arial"/>
          <w:color w:val="FF0000"/>
        </w:rPr>
        <w:t>.</w:t>
      </w:r>
      <w:r>
        <w:rPr>
          <w:rFonts w:ascii="Arial" w:hAnsi="Arial" w:eastAsia="Arial" w:cs="Arial"/>
        </w:rPr>
        <w:t xml:space="preserve"> NO CASO DO (S) </w:t>
      </w:r>
      <w:r>
        <w:rPr>
          <w:rFonts w:ascii="Arial" w:hAnsi="Arial" w:eastAsia="Arial" w:cs="Arial"/>
          <w:b/>
        </w:rPr>
        <w:t>LOTE (S) FORMADO (S) COM MAIS DE 1 (UM) ITEM</w:t>
      </w:r>
      <w:r>
        <w:rPr>
          <w:rFonts w:ascii="Arial" w:hAnsi="Arial" w:eastAsia="Arial" w:cs="Arial"/>
        </w:rPr>
        <w:t xml:space="preserve">, NESSA SITUAÇÃO </w:t>
      </w:r>
      <w:r>
        <w:rPr>
          <w:rFonts w:ascii="Arial" w:hAnsi="Arial" w:eastAsia="Arial" w:cs="Arial"/>
          <w:b/>
        </w:rPr>
        <w:t>OS LANCES SERÃO PELO VALOR TOTAL DO LOTE</w:t>
      </w:r>
      <w:r>
        <w:rPr>
          <w:rFonts w:ascii="Arial" w:hAnsi="Arial" w:eastAsia="Arial" w:cs="Arial"/>
        </w:rPr>
        <w:t>, FACE A UMA FUNCIONALIDADE DO SISTEMA DA BLL – BOLSA DE LICITAÇÕES E LEILÕES).</w:t>
      </w:r>
    </w:p>
    <w:p w14:paraId="64D9AEA4">
      <w:pPr>
        <w:jc w:val="both"/>
        <w:rPr>
          <w:rFonts w:ascii="Arial" w:hAnsi="Arial" w:eastAsia="Arial" w:cs="Arial"/>
        </w:rPr>
      </w:pPr>
      <w:r>
        <w:rPr>
          <w:rFonts w:ascii="Arial" w:hAnsi="Arial" w:eastAsia="Arial" w:cs="Arial"/>
        </w:rPr>
        <w:tab/>
      </w:r>
    </w:p>
    <w:p w14:paraId="0E0DAA50">
      <w:pPr>
        <w:jc w:val="both"/>
        <w:rPr>
          <w:rFonts w:ascii="Arial" w:hAnsi="Arial" w:eastAsia="Arial" w:cs="Arial"/>
        </w:rPr>
      </w:pPr>
      <w:r>
        <w:rPr>
          <w:rFonts w:ascii="Arial" w:hAnsi="Arial" w:eastAsia="Arial" w:cs="Arial"/>
          <w:b/>
        </w:rPr>
        <w:t>6.2</w:t>
      </w:r>
      <w:r>
        <w:rPr>
          <w:rFonts w:ascii="Arial" w:hAnsi="Arial" w:eastAsia="Arial" w:cs="Arial"/>
        </w:rPr>
        <w:t xml:space="preserve">. As propostas deverão ser cadastradas com valor unitário do item, tendo em vista que o próprio sistema da BLL fará a multiplicação e emitirá os relatórios com o (s) valor (es) total (is) do (s) item (ns), nesse caso os lances serão sobre o valor unitário do item. </w:t>
      </w:r>
    </w:p>
    <w:p w14:paraId="3D4B85A5">
      <w:pPr>
        <w:jc w:val="both"/>
        <w:rPr>
          <w:rFonts w:ascii="Arial" w:hAnsi="Arial" w:eastAsia="Arial" w:cs="Arial"/>
        </w:rPr>
      </w:pPr>
    </w:p>
    <w:p w14:paraId="1552E8D4">
      <w:pPr>
        <w:jc w:val="both"/>
        <w:rPr>
          <w:rFonts w:ascii="Arial" w:hAnsi="Arial" w:eastAsia="Arial" w:cs="Arial"/>
        </w:rPr>
      </w:pPr>
      <w:r>
        <w:rPr>
          <w:rFonts w:ascii="Arial" w:hAnsi="Arial" w:eastAsia="Arial" w:cs="Arial"/>
          <w:b/>
        </w:rPr>
        <w:t>6.2.1.</w:t>
      </w:r>
      <w:r>
        <w:rPr>
          <w:rFonts w:ascii="Arial" w:hAnsi="Arial" w:eastAsia="Arial" w:cs="Arial"/>
        </w:rPr>
        <w:t xml:space="preserve"> As propostas cadastradas divergentes ao solicitado no item 6.2 poderão serem desclassificadas, uma vez que dificulta a operacionalização do sistema em razão da classificação de ME, EPP.</w:t>
      </w:r>
    </w:p>
    <w:p w14:paraId="28BAD759">
      <w:pPr>
        <w:jc w:val="both"/>
        <w:rPr>
          <w:rFonts w:ascii="Arial" w:hAnsi="Arial" w:eastAsia="Arial" w:cs="Arial"/>
        </w:rPr>
      </w:pPr>
    </w:p>
    <w:p w14:paraId="22E42C01">
      <w:pPr>
        <w:jc w:val="both"/>
        <w:rPr>
          <w:rFonts w:ascii="Arial" w:hAnsi="Arial" w:eastAsia="Arial" w:cs="Arial"/>
        </w:rPr>
      </w:pPr>
      <w:r>
        <w:rPr>
          <w:rFonts w:ascii="Arial" w:hAnsi="Arial" w:eastAsia="Arial" w:cs="Arial"/>
          <w:b/>
        </w:rPr>
        <w:t>6.3.</w:t>
      </w:r>
      <w:r>
        <w:rPr>
          <w:rFonts w:ascii="Arial" w:hAnsi="Arial" w:eastAsia="Arial" w:cs="Arial"/>
        </w:rPr>
        <w:t xml:space="preserve"> </w:t>
      </w:r>
      <w:r>
        <w:rPr>
          <w:rFonts w:ascii="Arial" w:hAnsi="Arial" w:eastAsia="Arial" w:cs="Arial"/>
          <w:u w:val="single"/>
        </w:rPr>
        <w:t>As propostas iniciais</w:t>
      </w:r>
      <w:r>
        <w:rPr>
          <w:rFonts w:ascii="Arial" w:hAnsi="Arial" w:eastAsia="Arial" w:cs="Arial"/>
        </w:rPr>
        <w:t>, bem como, todos os documentos exigidos para habilitação deverão ser cadastrados via sistema eletrônico na plataforma BLL.</w:t>
      </w:r>
    </w:p>
    <w:p w14:paraId="2678DE75">
      <w:pPr>
        <w:jc w:val="both"/>
        <w:rPr>
          <w:rFonts w:ascii="Arial" w:hAnsi="Arial" w:eastAsia="Arial" w:cs="Arial"/>
        </w:rPr>
      </w:pPr>
    </w:p>
    <w:p w14:paraId="05FAFBE9">
      <w:pPr>
        <w:jc w:val="both"/>
        <w:rPr>
          <w:rFonts w:ascii="Arial" w:hAnsi="Arial" w:eastAsia="Arial" w:cs="Arial"/>
        </w:rPr>
      </w:pPr>
      <w:r>
        <w:rPr>
          <w:rFonts w:ascii="Arial" w:hAnsi="Arial" w:eastAsia="Arial" w:cs="Arial"/>
          <w:b/>
        </w:rPr>
        <w:t>6.3.1.</w:t>
      </w:r>
      <w:r>
        <w:rPr>
          <w:rFonts w:ascii="Arial" w:hAnsi="Arial" w:eastAsia="Arial" w:cs="Arial"/>
        </w:rPr>
        <w:t xml:space="preserve"> A apresentação das propostas, bem como, os lances quando for o caso, demonstra que o licitante tem conhecimento do objeto, valor estimado e atendimento às exigências para habilitação, portanto, demostra pleno conhecimento das regras previstas no Edital e seus Anexos. </w:t>
      </w:r>
    </w:p>
    <w:p w14:paraId="089EBF1D">
      <w:pPr>
        <w:jc w:val="both"/>
        <w:rPr>
          <w:rFonts w:ascii="Arial" w:hAnsi="Arial" w:eastAsia="Arial" w:cs="Arial"/>
          <w:b/>
        </w:rPr>
      </w:pPr>
    </w:p>
    <w:p w14:paraId="4D16681E">
      <w:pPr>
        <w:jc w:val="both"/>
        <w:rPr>
          <w:rFonts w:ascii="Arial" w:hAnsi="Arial" w:eastAsia="Arial" w:cs="Arial"/>
        </w:rPr>
      </w:pPr>
      <w:r>
        <w:rPr>
          <w:rFonts w:ascii="Arial" w:hAnsi="Arial" w:eastAsia="Arial" w:cs="Arial"/>
          <w:b/>
        </w:rPr>
        <w:t>6.3.2.</w:t>
      </w:r>
      <w:r>
        <w:rPr>
          <w:rFonts w:ascii="Arial" w:hAnsi="Arial" w:eastAsia="Arial" w:cs="Arial"/>
        </w:rPr>
        <w:t xml:space="preserve"> A empresa/licitante será responsável por todas as transações que forem efetuadas em seu nome no sistema BLL, assumindo como firmes e verdadeiras suas propostas iniciais cadastradas, lances, bem como, fica obrigada a cadastrar a recomposição dentro do prazo estabelecido no edital.</w:t>
      </w:r>
    </w:p>
    <w:p w14:paraId="6FA523A8">
      <w:pPr>
        <w:jc w:val="both"/>
        <w:rPr>
          <w:rFonts w:ascii="Arial" w:hAnsi="Arial" w:eastAsia="Arial" w:cs="Arial"/>
        </w:rPr>
      </w:pPr>
    </w:p>
    <w:p w14:paraId="2D55DF4A">
      <w:pPr>
        <w:jc w:val="both"/>
        <w:rPr>
          <w:rFonts w:ascii="Arial" w:hAnsi="Arial" w:eastAsia="Arial" w:cs="Arial"/>
          <w:color w:val="000000"/>
        </w:rPr>
      </w:pPr>
      <w:r>
        <w:rPr>
          <w:rFonts w:ascii="Arial" w:hAnsi="Arial" w:eastAsia="Arial" w:cs="Arial"/>
          <w:b/>
          <w:color w:val="000000"/>
        </w:rPr>
        <w:t>6.3.3.</w:t>
      </w:r>
      <w:r>
        <w:rPr>
          <w:rFonts w:ascii="Arial" w:hAnsi="Arial" w:eastAsia="Arial" w:cs="Arial"/>
          <w:color w:val="000000"/>
        </w:rPr>
        <w:t xml:space="preserve"> Portanto,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5263EC14">
      <w:pPr>
        <w:jc w:val="both"/>
        <w:rPr>
          <w:rFonts w:ascii="Arial" w:hAnsi="Arial" w:eastAsia="Arial" w:cs="Arial"/>
          <w:b/>
        </w:rPr>
      </w:pPr>
    </w:p>
    <w:p w14:paraId="5E649F12">
      <w:pPr>
        <w:jc w:val="both"/>
        <w:rPr>
          <w:rFonts w:ascii="Arial" w:hAnsi="Arial" w:eastAsia="Arial" w:cs="Arial"/>
        </w:rPr>
      </w:pPr>
      <w:r>
        <w:rPr>
          <w:rFonts w:ascii="Arial" w:hAnsi="Arial" w:eastAsia="Arial" w:cs="Arial"/>
          <w:b/>
        </w:rPr>
        <w:t>6.4.</w:t>
      </w:r>
      <w:r>
        <w:rPr>
          <w:rFonts w:ascii="Arial" w:hAnsi="Arial" w:eastAsia="Arial" w:cs="Arial"/>
        </w:rPr>
        <w:t xml:space="preserve"> Será concedido tratamento favorecido para as microempresas e empresas de pequeno porte, </w:t>
      </w:r>
      <w:r>
        <w:rPr>
          <w:rFonts w:ascii="Arial" w:hAnsi="Arial" w:eastAsia="Arial" w:cs="Arial"/>
          <w:color w:val="000000"/>
        </w:rPr>
        <w:t xml:space="preserve">para as sociedades cooperativas mencionadas no </w:t>
      </w:r>
      <w:r>
        <w:fldChar w:fldCharType="begin"/>
      </w:r>
      <w:r>
        <w:instrText xml:space="preserve"> HYPERLINK "http://www.planalto.gov.br/ccivil_03/_ato2019-2022/2021/lei/L14133.htm" \l "art16" </w:instrText>
      </w:r>
      <w:r>
        <w:fldChar w:fldCharType="separate"/>
      </w:r>
      <w:r>
        <w:rPr>
          <w:rFonts w:ascii="Arial" w:hAnsi="Arial" w:eastAsia="Arial" w:cs="Arial"/>
          <w:color w:val="000000"/>
          <w:u w:val="single"/>
        </w:rPr>
        <w:t>artigo 16 da Lei nº 14.133, de 2021</w:t>
      </w:r>
      <w:r>
        <w:rPr>
          <w:rFonts w:ascii="Arial" w:hAnsi="Arial" w:eastAsia="Arial" w:cs="Arial"/>
          <w:color w:val="000000"/>
          <w:u w:val="single"/>
        </w:rPr>
        <w:fldChar w:fldCharType="end"/>
      </w:r>
      <w:r>
        <w:rPr>
          <w:rFonts w:ascii="Arial" w:hAnsi="Arial" w:eastAsia="Arial" w:cs="Arial"/>
        </w:rPr>
        <w:t xml:space="preserve">, para o agricultor familiar, o produtor rural pessoa física e para o microempreendedor individual - MEI, nos limites previstos da </w:t>
      </w:r>
      <w:r>
        <w:fldChar w:fldCharType="begin"/>
      </w:r>
      <w:r>
        <w:instrText xml:space="preserve"> HYPERLINK "https://www.planalto.gov.br/ccivil_03/leis/lcp/lcp123.htm" \h </w:instrText>
      </w:r>
      <w:r>
        <w:fldChar w:fldCharType="separate"/>
      </w:r>
      <w:r>
        <w:rPr>
          <w:rFonts w:ascii="Arial" w:hAnsi="Arial" w:eastAsia="Arial" w:cs="Arial"/>
          <w:color w:val="0000FF"/>
          <w:u w:val="single"/>
        </w:rPr>
        <w:t>Lei Complementar nº 123, de 2006</w:t>
      </w:r>
      <w:r>
        <w:rPr>
          <w:rFonts w:ascii="Arial" w:hAnsi="Arial" w:eastAsia="Arial" w:cs="Arial"/>
          <w:color w:val="0000FF"/>
          <w:u w:val="single"/>
        </w:rPr>
        <w:fldChar w:fldCharType="end"/>
      </w:r>
      <w:r>
        <w:rPr>
          <w:rFonts w:ascii="Arial" w:hAnsi="Arial" w:eastAsia="Arial" w:cs="Arial"/>
        </w:rPr>
        <w:t xml:space="preserve"> e do Decreto n.º 8.538, de 2015.</w:t>
      </w:r>
    </w:p>
    <w:p w14:paraId="55374D47">
      <w:pPr>
        <w:jc w:val="both"/>
        <w:rPr>
          <w:rFonts w:ascii="Arial" w:hAnsi="Arial" w:eastAsia="Arial" w:cs="Arial"/>
          <w:b/>
          <w:color w:val="000000"/>
        </w:rPr>
      </w:pPr>
    </w:p>
    <w:p w14:paraId="459C9188">
      <w:pPr>
        <w:jc w:val="both"/>
        <w:rPr>
          <w:rFonts w:ascii="Arial" w:hAnsi="Arial" w:eastAsia="Arial" w:cs="Arial"/>
          <w:b/>
          <w:color w:val="000000"/>
        </w:rPr>
      </w:pPr>
      <w:r>
        <w:rPr>
          <w:rFonts w:ascii="Arial" w:hAnsi="Arial" w:eastAsia="Arial" w:cs="Arial"/>
          <w:b/>
          <w:color w:val="000000"/>
        </w:rPr>
        <w:t xml:space="preserve">6.5. NA PROPOSTA DE PREÇOS DEVERÁ CONTER: </w:t>
      </w:r>
    </w:p>
    <w:p w14:paraId="2287E819">
      <w:pPr>
        <w:jc w:val="both"/>
        <w:rPr>
          <w:rFonts w:ascii="Arial" w:hAnsi="Arial" w:eastAsia="Arial" w:cs="Arial"/>
          <w:b/>
          <w:color w:val="000000"/>
        </w:rPr>
      </w:pPr>
    </w:p>
    <w:p w14:paraId="52DFCAD1">
      <w:pPr>
        <w:jc w:val="both"/>
        <w:rPr>
          <w:rFonts w:ascii="Arial" w:hAnsi="Arial" w:eastAsia="Arial" w:cs="Arial"/>
          <w:color w:val="000000"/>
        </w:rPr>
      </w:pPr>
      <w:r>
        <w:rPr>
          <w:rFonts w:ascii="Arial" w:hAnsi="Arial" w:eastAsia="Arial" w:cs="Arial"/>
          <w:b/>
          <w:color w:val="000000"/>
        </w:rPr>
        <w:t>6.5.1.</w:t>
      </w:r>
      <w:r>
        <w:rPr>
          <w:rFonts w:ascii="Arial" w:hAnsi="Arial" w:eastAsia="Arial" w:cs="Arial"/>
          <w:color w:val="000000"/>
        </w:rPr>
        <w:t xml:space="preserve"> O prazo de eficácia da proposta, o qual não poderá ser inferior a 120 (cento e vinte) dias corridos, a contar da data da realização da sessão pública da licitação em epígrafe; </w:t>
      </w:r>
    </w:p>
    <w:p w14:paraId="6E74958E">
      <w:pPr>
        <w:jc w:val="both"/>
        <w:rPr>
          <w:rFonts w:ascii="Arial" w:hAnsi="Arial" w:eastAsia="Arial" w:cs="Arial"/>
          <w:b/>
        </w:rPr>
      </w:pPr>
    </w:p>
    <w:p w14:paraId="099A5C6E">
      <w:pPr>
        <w:jc w:val="both"/>
        <w:rPr>
          <w:rFonts w:ascii="Arial" w:hAnsi="Arial" w:eastAsia="Arial" w:cs="Arial"/>
        </w:rPr>
      </w:pPr>
      <w:r>
        <w:rPr>
          <w:rFonts w:ascii="Arial" w:hAnsi="Arial" w:eastAsia="Arial" w:cs="Arial"/>
          <w:b/>
        </w:rPr>
        <w:t>6.5.2.</w:t>
      </w:r>
      <w:r>
        <w:rPr>
          <w:rFonts w:ascii="Arial" w:hAnsi="Arial" w:eastAsia="Arial" w:cs="Arial"/>
        </w:rPr>
        <w:t xml:space="preserve"> Os preços deverão ser cotados em moeda corrente nacional, expressos em algarismos e por extenso, sem previsão inflacionária. Em caso de divergência entre os valores unitários e totais, serão considerados os primeiros, e entre os valores expressos em algarismo e por extenso, será considerado este último, e estar inclusa, toda e qualquer despesas, tais como: fretes, encargos sociais e trabalhistas, seguros, tributos diretos e indiretos incidentes sobre o fornecimento do objeto;</w:t>
      </w:r>
    </w:p>
    <w:p w14:paraId="01D8948C">
      <w:pPr>
        <w:jc w:val="both"/>
        <w:rPr>
          <w:rFonts w:ascii="Arial" w:hAnsi="Arial" w:eastAsia="Arial" w:cs="Arial"/>
        </w:rPr>
      </w:pPr>
    </w:p>
    <w:p w14:paraId="6CC77541">
      <w:pPr>
        <w:jc w:val="both"/>
        <w:rPr>
          <w:rFonts w:ascii="Arial" w:hAnsi="Arial" w:eastAsia="Arial" w:cs="Arial"/>
        </w:rPr>
      </w:pPr>
      <w:r>
        <w:rPr>
          <w:rFonts w:ascii="Arial" w:hAnsi="Arial" w:eastAsia="Arial" w:cs="Arial"/>
          <w:b/>
        </w:rPr>
        <w:t>6.5.3.</w:t>
      </w:r>
      <w:r>
        <w:rPr>
          <w:rFonts w:ascii="Arial" w:hAnsi="Arial" w:eastAsia="Arial" w:cs="Arial"/>
        </w:rPr>
        <w:t xml:space="preserve"> O Pregoeiro considerará erros de somatórios e outros aspectos que beneficiem a Administração Pública e não impliquem nulidade do procedimento, como sendo exigências formais e consequentemente classificará a empresa;</w:t>
      </w:r>
    </w:p>
    <w:p w14:paraId="3AEA39E0">
      <w:pPr>
        <w:jc w:val="both"/>
        <w:rPr>
          <w:rFonts w:ascii="Arial" w:hAnsi="Arial" w:eastAsia="Arial" w:cs="Arial"/>
        </w:rPr>
      </w:pPr>
    </w:p>
    <w:p w14:paraId="46BB0923">
      <w:pPr>
        <w:jc w:val="both"/>
        <w:rPr>
          <w:rFonts w:ascii="Arial" w:hAnsi="Arial" w:eastAsia="Arial" w:cs="Arial"/>
        </w:rPr>
      </w:pPr>
      <w:r>
        <w:rPr>
          <w:rFonts w:ascii="Arial" w:hAnsi="Arial" w:eastAsia="Arial" w:cs="Arial"/>
          <w:b/>
        </w:rPr>
        <w:t xml:space="preserve">6.5.4. </w:t>
      </w:r>
      <w:r>
        <w:rPr>
          <w:rFonts w:ascii="Arial" w:hAnsi="Arial" w:eastAsia="Arial" w:cs="Arial"/>
        </w:rPr>
        <w:t xml:space="preserve">Deverá ser apresentada proposta que atenda todas as especificações do objeto solicitado, não poderão ser alteradas, sob pena de desclassificação; </w:t>
      </w:r>
    </w:p>
    <w:p w14:paraId="105A577D">
      <w:pPr>
        <w:jc w:val="both"/>
        <w:rPr>
          <w:rFonts w:ascii="Arial" w:hAnsi="Arial" w:eastAsia="Arial" w:cs="Arial"/>
        </w:rPr>
      </w:pPr>
    </w:p>
    <w:p w14:paraId="74DB0CBB">
      <w:pPr>
        <w:jc w:val="both"/>
        <w:rPr>
          <w:rFonts w:ascii="Arial" w:hAnsi="Arial" w:eastAsia="Arial" w:cs="Arial"/>
        </w:rPr>
      </w:pPr>
      <w:r>
        <w:rPr>
          <w:rFonts w:ascii="Arial" w:hAnsi="Arial" w:eastAsia="Arial" w:cs="Arial"/>
          <w:b/>
        </w:rPr>
        <w:t>6.5.5.</w:t>
      </w:r>
      <w:r>
        <w:rPr>
          <w:rFonts w:ascii="Arial" w:hAnsi="Arial" w:eastAsia="Arial" w:cs="Arial"/>
        </w:rPr>
        <w:t xml:space="preserve"> Tendo em vista a natureza do objeto, e considerando que todas as empresas do ramo no mercado são capazes de realizar o fornecimento dos itens nas quantidades solicitadas, não será prevista a possibilidade de o licitante oferecer proposta em quantitativo inferior ao máximo previsto no edital, obrigando-se nos limites dela. (Art. 82, Inciso IV, da Lei 14.133/2021).</w:t>
      </w:r>
    </w:p>
    <w:p w14:paraId="1284563A">
      <w:pPr>
        <w:jc w:val="both"/>
        <w:rPr>
          <w:rFonts w:ascii="Arial" w:hAnsi="Arial" w:eastAsia="Arial" w:cs="Arial"/>
        </w:rPr>
      </w:pPr>
    </w:p>
    <w:p w14:paraId="79EC9EF2">
      <w:pPr>
        <w:jc w:val="both"/>
        <w:rPr>
          <w:rFonts w:ascii="Arial" w:hAnsi="Arial" w:eastAsia="Arial" w:cs="Arial"/>
          <w:b/>
          <w:color w:val="000000"/>
        </w:rPr>
      </w:pPr>
      <w:r>
        <w:rPr>
          <w:rFonts w:ascii="Arial" w:hAnsi="Arial" w:eastAsia="Arial" w:cs="Arial"/>
          <w:b/>
          <w:color w:val="000000"/>
        </w:rPr>
        <w:t>6.6. DA POSSIBILIDADE DE PREVER PREÇOS DIFERENTES:</w:t>
      </w:r>
    </w:p>
    <w:p w14:paraId="059AACBE">
      <w:pPr>
        <w:jc w:val="both"/>
        <w:rPr>
          <w:rFonts w:ascii="Arial" w:hAnsi="Arial" w:eastAsia="Arial" w:cs="Arial"/>
          <w:b/>
          <w:color w:val="000000"/>
        </w:rPr>
      </w:pPr>
    </w:p>
    <w:p w14:paraId="19E1AE32">
      <w:pPr>
        <w:jc w:val="both"/>
        <w:rPr>
          <w:rFonts w:ascii="Arial" w:hAnsi="Arial" w:eastAsia="Arial" w:cs="Arial"/>
          <w:color w:val="000000"/>
        </w:rPr>
      </w:pPr>
      <w:r>
        <w:rPr>
          <w:rFonts w:ascii="Arial" w:hAnsi="Arial" w:eastAsia="Arial" w:cs="Arial"/>
          <w:b/>
          <w:color w:val="000000"/>
        </w:rPr>
        <w:t>6.6.1.</w:t>
      </w:r>
      <w:r>
        <w:rPr>
          <w:rFonts w:ascii="Arial" w:hAnsi="Arial" w:eastAsia="Arial" w:cs="Arial"/>
          <w:color w:val="000000"/>
        </w:rPr>
        <w:t xml:space="preserve"> Não se aplica a previsão de preços diferenciados para um mesmo item no presente processo, tendo em vista as especificações do objeto.</w:t>
      </w:r>
    </w:p>
    <w:p w14:paraId="01E47E59">
      <w:pPr>
        <w:jc w:val="both"/>
        <w:rPr>
          <w:rFonts w:ascii="Arial" w:hAnsi="Arial" w:eastAsia="Arial" w:cs="Arial"/>
          <w:b/>
          <w:color w:val="000000"/>
        </w:rPr>
      </w:pPr>
    </w:p>
    <w:p w14:paraId="35CFC911">
      <w:pPr>
        <w:jc w:val="both"/>
        <w:rPr>
          <w:rFonts w:ascii="Arial" w:hAnsi="Arial" w:eastAsia="Arial" w:cs="Arial"/>
          <w:b/>
          <w:color w:val="000000"/>
        </w:rPr>
      </w:pPr>
      <w:r>
        <w:rPr>
          <w:rFonts w:ascii="Arial" w:hAnsi="Arial" w:eastAsia="Arial" w:cs="Arial"/>
          <w:b/>
          <w:color w:val="000000"/>
        </w:rPr>
        <w:t xml:space="preserve">6.7. DA INDICAÇÃO DE MARCA PARADIGMA: </w:t>
      </w:r>
    </w:p>
    <w:p w14:paraId="7F615582">
      <w:pPr>
        <w:jc w:val="both"/>
        <w:rPr>
          <w:rFonts w:ascii="Arial" w:hAnsi="Arial" w:eastAsia="Arial" w:cs="Arial"/>
          <w:b/>
          <w:color w:val="000000"/>
        </w:rPr>
      </w:pPr>
    </w:p>
    <w:p w14:paraId="541A663E">
      <w:pPr>
        <w:jc w:val="both"/>
        <w:rPr>
          <w:rFonts w:ascii="Arial" w:hAnsi="Arial" w:eastAsia="Arial" w:cs="Arial"/>
          <w:color w:val="000000"/>
        </w:rPr>
      </w:pPr>
      <w:r>
        <w:rPr>
          <w:rFonts w:ascii="Arial" w:hAnsi="Arial" w:eastAsia="Arial" w:cs="Arial"/>
          <w:b/>
          <w:color w:val="000000"/>
        </w:rPr>
        <w:t>6.7.1.</w:t>
      </w:r>
      <w:r>
        <w:rPr>
          <w:rFonts w:ascii="Arial" w:hAnsi="Arial" w:eastAsia="Arial" w:cs="Arial"/>
          <w:color w:val="000000"/>
        </w:rPr>
        <w:t xml:space="preserve"> Não se aplica a indicação de marca paradigma tendo em vista as especificações do objeto.</w:t>
      </w:r>
    </w:p>
    <w:p w14:paraId="13D148D8">
      <w:pPr>
        <w:jc w:val="both"/>
        <w:rPr>
          <w:rFonts w:ascii="Arial" w:hAnsi="Arial" w:eastAsia="Arial" w:cs="Arial"/>
          <w:color w:val="000000"/>
        </w:rPr>
      </w:pPr>
    </w:p>
    <w:p w14:paraId="5EE444A8">
      <w:pPr>
        <w:pStyle w:val="2"/>
        <w:spacing w:before="0" w:after="0"/>
        <w:rPr>
          <w:sz w:val="20"/>
          <w:szCs w:val="20"/>
          <w:lang w:val="pt-BR"/>
        </w:rPr>
      </w:pPr>
      <w:bookmarkStart w:id="11" w:name="_heading=h.dmj8zxngohkv"/>
      <w:bookmarkEnd w:id="11"/>
      <w:r>
        <w:rPr>
          <w:sz w:val="20"/>
          <w:szCs w:val="20"/>
          <w:lang w:val="pt-BR"/>
        </w:rPr>
        <w:t xml:space="preserve">7. DA ANÁLISE INICIAL NA PROPOSTA DE PREÇOS NO MOMENTO DA SESSÃO: </w:t>
      </w:r>
    </w:p>
    <w:p w14:paraId="762AD817">
      <w:pPr>
        <w:jc w:val="both"/>
        <w:rPr>
          <w:rFonts w:ascii="Arial" w:hAnsi="Arial" w:eastAsia="Arial" w:cs="Arial"/>
          <w:b/>
        </w:rPr>
      </w:pPr>
    </w:p>
    <w:p w14:paraId="64B0DC3F">
      <w:pPr>
        <w:jc w:val="both"/>
        <w:rPr>
          <w:rFonts w:ascii="Arial" w:hAnsi="Arial" w:eastAsia="Arial" w:cs="Arial"/>
        </w:rPr>
      </w:pPr>
      <w:r>
        <w:rPr>
          <w:rFonts w:ascii="Arial" w:hAnsi="Arial" w:eastAsia="Arial" w:cs="Arial"/>
          <w:b/>
        </w:rPr>
        <w:t>7.1.</w:t>
      </w:r>
      <w:r>
        <w:rPr>
          <w:rFonts w:ascii="Arial" w:hAnsi="Arial" w:eastAsia="Arial" w:cs="Arial"/>
        </w:rPr>
        <w:t xml:space="preserve"> A sessão pública será iniciada exclusivamente para análise dos documentos de habilitação. Apenas após essa etapa, e transcorrido eventual prazo recursal, será realizada nova sessão para abertura das propostas comerciais dos licitantes habilitados.</w:t>
      </w:r>
    </w:p>
    <w:p w14:paraId="6FFE3A52">
      <w:pPr>
        <w:jc w:val="both"/>
        <w:rPr>
          <w:rFonts w:ascii="Arial" w:hAnsi="Arial" w:eastAsia="Arial" w:cs="Arial"/>
        </w:rPr>
      </w:pPr>
    </w:p>
    <w:p w14:paraId="0710490A">
      <w:pPr>
        <w:jc w:val="both"/>
        <w:rPr>
          <w:rFonts w:ascii="Arial" w:hAnsi="Arial" w:eastAsia="Arial" w:cs="Arial"/>
          <w:color w:val="000000"/>
        </w:rPr>
      </w:pPr>
      <w:r>
        <w:rPr>
          <w:rFonts w:ascii="Arial" w:hAnsi="Arial" w:eastAsia="Arial" w:cs="Arial"/>
          <w:b/>
        </w:rPr>
        <w:t>7.2.</w:t>
      </w:r>
      <w:r>
        <w:rPr>
          <w:rFonts w:ascii="Arial" w:hAnsi="Arial" w:eastAsia="Arial" w:cs="Arial"/>
        </w:rPr>
        <w:t xml:space="preserve"> O Pregoeiro após análise das propostas de preços apresentadas de forma eletrônica, </w:t>
      </w:r>
      <w:r>
        <w:rPr>
          <w:rFonts w:ascii="Arial" w:hAnsi="Arial" w:eastAsia="Arial" w:cs="Arial"/>
          <w:u w:val="single"/>
        </w:rPr>
        <w:t>desclassificará aquelas que não estiverem em consonância com as regras estabelecidas no instrumento convocatório</w:t>
      </w:r>
      <w:r>
        <w:rPr>
          <w:rFonts w:ascii="Arial" w:hAnsi="Arial" w:eastAsia="Arial" w:cs="Arial"/>
        </w:rPr>
        <w:t xml:space="preserve">, </w:t>
      </w:r>
      <w:r>
        <w:rPr>
          <w:rFonts w:ascii="Arial" w:hAnsi="Arial" w:eastAsia="Arial" w:cs="Arial"/>
          <w:color w:val="000000"/>
        </w:rPr>
        <w:t xml:space="preserve">tais como: </w:t>
      </w:r>
    </w:p>
    <w:p w14:paraId="16CEB1D1">
      <w:pPr>
        <w:jc w:val="both"/>
        <w:rPr>
          <w:rFonts w:ascii="Arial" w:hAnsi="Arial" w:eastAsia="Arial" w:cs="Arial"/>
        </w:rPr>
      </w:pPr>
    </w:p>
    <w:p w14:paraId="128866B6">
      <w:pPr>
        <w:jc w:val="both"/>
        <w:rPr>
          <w:rFonts w:ascii="Arial" w:hAnsi="Arial" w:eastAsia="Arial" w:cs="Arial"/>
        </w:rPr>
      </w:pPr>
      <w:r>
        <w:rPr>
          <w:rFonts w:ascii="Arial" w:hAnsi="Arial" w:eastAsia="Arial" w:cs="Arial"/>
          <w:b/>
        </w:rPr>
        <w:t>7.2.1</w:t>
      </w:r>
      <w:r>
        <w:rPr>
          <w:rFonts w:ascii="Arial" w:hAnsi="Arial" w:eastAsia="Arial" w:cs="Arial"/>
        </w:rPr>
        <w:t xml:space="preserve">. Valores iguais a zero, erros e desvios nos preços de forma a suscitar dúbia interpretação; </w:t>
      </w:r>
    </w:p>
    <w:p w14:paraId="15D9080C">
      <w:pPr>
        <w:jc w:val="both"/>
        <w:rPr>
          <w:rFonts w:ascii="Arial" w:hAnsi="Arial" w:eastAsia="Arial" w:cs="Arial"/>
          <w:b/>
        </w:rPr>
      </w:pPr>
    </w:p>
    <w:p w14:paraId="4216631D">
      <w:pPr>
        <w:jc w:val="both"/>
        <w:rPr>
          <w:rFonts w:ascii="Arial" w:hAnsi="Arial" w:eastAsia="Arial" w:cs="Arial"/>
        </w:rPr>
      </w:pPr>
      <w:r>
        <w:rPr>
          <w:rFonts w:ascii="Arial" w:hAnsi="Arial" w:eastAsia="Arial" w:cs="Arial"/>
          <w:b/>
        </w:rPr>
        <w:t>7.3.</w:t>
      </w:r>
      <w:r>
        <w:rPr>
          <w:rFonts w:ascii="Arial" w:hAnsi="Arial" w:eastAsia="Arial" w:cs="Arial"/>
        </w:rPr>
        <w:t xml:space="preserve"> A decisão sobre classificação ou desclassificação de propostas comerciais será disponibilizada no sistema eletrônico para acompanhamento em tempo real por todas as empresas licitantes. </w:t>
      </w:r>
    </w:p>
    <w:p w14:paraId="6FE5368F">
      <w:pPr>
        <w:jc w:val="both"/>
        <w:rPr>
          <w:rFonts w:ascii="Arial" w:hAnsi="Arial" w:eastAsia="Arial" w:cs="Arial"/>
        </w:rPr>
      </w:pPr>
    </w:p>
    <w:p w14:paraId="476B02C9">
      <w:pPr>
        <w:spacing w:after="240" w:line="276" w:lineRule="auto"/>
        <w:ind w:right="283"/>
        <w:jc w:val="both"/>
        <w:rPr>
          <w:rFonts w:ascii="Arial" w:hAnsi="Arial" w:eastAsia="Arial" w:cs="Arial"/>
          <w:b/>
          <w:color w:val="000000"/>
        </w:rPr>
      </w:pPr>
      <w:r>
        <w:rPr>
          <w:rFonts w:ascii="Arial" w:hAnsi="Arial" w:eastAsia="Arial" w:cs="Arial"/>
        </w:rPr>
        <w:t xml:space="preserve">7.4. </w:t>
      </w:r>
      <w:r>
        <w:rPr>
          <w:rFonts w:ascii="Arial" w:hAnsi="Arial" w:eastAsia="Arial" w:cs="Arial"/>
          <w:b/>
          <w:color w:val="000000"/>
        </w:rPr>
        <w:t xml:space="preserve">DA GARANTIA DA PROPOSTA: </w:t>
      </w:r>
    </w:p>
    <w:p w14:paraId="6F56B627">
      <w:pPr>
        <w:spacing w:after="240" w:line="276" w:lineRule="auto"/>
        <w:ind w:right="283"/>
        <w:jc w:val="both"/>
        <w:rPr>
          <w:rFonts w:ascii="Arial" w:hAnsi="Arial" w:eastAsia="Arial" w:cs="Arial"/>
          <w:b/>
          <w:color w:val="000000"/>
        </w:rPr>
      </w:pPr>
      <w:r>
        <w:rPr>
          <w:rFonts w:ascii="Arial" w:hAnsi="Arial" w:eastAsia="Arial" w:cs="Arial"/>
          <w:b/>
          <w:color w:val="000000"/>
        </w:rPr>
        <w:t xml:space="preserve">7.4.1. </w:t>
      </w:r>
      <w:r>
        <w:rPr>
          <w:rFonts w:ascii="Arial" w:hAnsi="Arial" w:eastAsia="Arial" w:cs="Arial"/>
          <w:color w:val="000000"/>
        </w:rPr>
        <w:t>Com a finalidade de evitar duplicidade de informações, toda a documentação relativa à garantia da proposta exigida ficará devidamente detalhada no Termo de Referência, que integra o presente edital como anexo, contemplando de forma clara e objetiva todas as informações, requisitos e exigências necessários ao atendimento das condições de habilitação.</w:t>
      </w:r>
    </w:p>
    <w:p w14:paraId="6C96EDE7">
      <w:pPr>
        <w:pStyle w:val="2"/>
        <w:spacing w:before="0" w:after="0"/>
        <w:rPr>
          <w:sz w:val="20"/>
          <w:szCs w:val="20"/>
          <w:lang w:val="pt-BR"/>
        </w:rPr>
      </w:pPr>
      <w:bookmarkStart w:id="12" w:name="_heading=h.t8mjmerthvv"/>
      <w:bookmarkEnd w:id="12"/>
      <w:r>
        <w:rPr>
          <w:sz w:val="20"/>
          <w:szCs w:val="20"/>
          <w:lang w:val="pt-BR"/>
        </w:rPr>
        <w:t>8. DA FORMA DE DISPUTA:</w:t>
      </w:r>
    </w:p>
    <w:p w14:paraId="75319AF2">
      <w:pPr>
        <w:jc w:val="both"/>
        <w:rPr>
          <w:rFonts w:ascii="Arial" w:hAnsi="Arial" w:eastAsia="Arial" w:cs="Arial"/>
          <w:b/>
        </w:rPr>
      </w:pPr>
    </w:p>
    <w:p w14:paraId="0B1222A3">
      <w:pPr>
        <w:jc w:val="both"/>
        <w:rPr>
          <w:rFonts w:ascii="Arial" w:hAnsi="Arial" w:eastAsia="Arial" w:cs="Arial"/>
        </w:rPr>
      </w:pPr>
      <w:r>
        <w:rPr>
          <w:rFonts w:ascii="Arial" w:hAnsi="Arial" w:eastAsia="Arial" w:cs="Arial"/>
        </w:rPr>
        <w:t>A fase de lances somente será iniciada após concluída a fase de habilitação e superado o prazo recursal, com participação restrita aos licitantes previamente habilitados.</w:t>
      </w:r>
    </w:p>
    <w:p w14:paraId="51C79045">
      <w:pPr>
        <w:jc w:val="both"/>
        <w:rPr>
          <w:rFonts w:ascii="Arial" w:hAnsi="Arial" w:eastAsia="Arial" w:cs="Arial"/>
          <w:b/>
        </w:rPr>
      </w:pPr>
    </w:p>
    <w:p w14:paraId="6FF684B9">
      <w:pPr>
        <w:jc w:val="both"/>
        <w:rPr>
          <w:rFonts w:ascii="Arial" w:hAnsi="Arial" w:eastAsia="Arial" w:cs="Arial"/>
          <w:color w:val="000000"/>
        </w:rPr>
      </w:pPr>
      <w:r>
        <w:rPr>
          <w:rFonts w:ascii="Arial" w:hAnsi="Arial" w:eastAsia="Arial" w:cs="Arial"/>
          <w:b/>
          <w:color w:val="000000"/>
        </w:rPr>
        <w:t>8.1.</w:t>
      </w:r>
      <w:r>
        <w:rPr>
          <w:rFonts w:ascii="Arial" w:hAnsi="Arial" w:eastAsia="Arial" w:cs="Arial"/>
          <w:color w:val="000000"/>
        </w:rPr>
        <w:t xml:space="preserve">Será adotado para o envio de lances no pregão eletrônico o </w:t>
      </w:r>
      <w:r>
        <w:rPr>
          <w:rFonts w:ascii="Arial" w:hAnsi="Arial" w:eastAsia="Arial" w:cs="Arial"/>
          <w:b/>
          <w:color w:val="000000"/>
        </w:rPr>
        <w:t>modo de disputa aberto</w:t>
      </w:r>
      <w:r>
        <w:rPr>
          <w:rFonts w:ascii="Arial" w:hAnsi="Arial" w:eastAsia="Arial" w:cs="Arial"/>
          <w:color w:val="000000"/>
        </w:rPr>
        <w:t xml:space="preserve"> onde os licitantes apresentarão lances públicos e sucessivos, com prorrogações, conforme o critério de julgamento adotado no edital.</w:t>
      </w:r>
    </w:p>
    <w:p w14:paraId="5F4EAF5B">
      <w:pPr>
        <w:jc w:val="both"/>
        <w:rPr>
          <w:rFonts w:ascii="Arial" w:hAnsi="Arial" w:eastAsia="Arial" w:cs="Arial"/>
          <w:b/>
          <w:color w:val="000000"/>
        </w:rPr>
      </w:pPr>
    </w:p>
    <w:p w14:paraId="68AA2387">
      <w:pPr>
        <w:jc w:val="both"/>
        <w:rPr>
          <w:rFonts w:ascii="Arial" w:hAnsi="Arial" w:eastAsia="Arial" w:cs="Arial"/>
          <w:color w:val="000000"/>
        </w:rPr>
      </w:pPr>
      <w:r>
        <w:rPr>
          <w:rFonts w:ascii="Arial" w:hAnsi="Arial" w:eastAsia="Arial" w:cs="Arial"/>
          <w:b/>
          <w:color w:val="000000"/>
        </w:rPr>
        <w:t xml:space="preserve">8.2. </w:t>
      </w:r>
      <w:r>
        <w:rPr>
          <w:rFonts w:ascii="Arial" w:hAnsi="Arial" w:eastAsia="Arial" w:cs="Arial"/>
          <w:color w:val="000000"/>
        </w:rPr>
        <w:t>A etapa de lances da sessão pública terá duração de dez minutos e, após isso, será prorrogada automaticamente pelo sistema quando houver lance ofertado nos últimos dois minutos do período de duração da sessão pública.</w:t>
      </w:r>
    </w:p>
    <w:p w14:paraId="6221DA57">
      <w:pPr>
        <w:jc w:val="both"/>
        <w:rPr>
          <w:rFonts w:ascii="Arial" w:hAnsi="Arial" w:eastAsia="Arial" w:cs="Arial"/>
          <w:color w:val="000000"/>
        </w:rPr>
      </w:pPr>
    </w:p>
    <w:p w14:paraId="47C235D0">
      <w:pPr>
        <w:jc w:val="both"/>
        <w:rPr>
          <w:rFonts w:ascii="Arial" w:hAnsi="Arial" w:eastAsia="Arial" w:cs="Arial"/>
          <w:color w:val="000000"/>
        </w:rPr>
      </w:pPr>
      <w:r>
        <w:rPr>
          <w:rFonts w:ascii="Arial" w:hAnsi="Arial" w:eastAsia="Arial" w:cs="Arial"/>
          <w:b/>
          <w:color w:val="000000"/>
        </w:rPr>
        <w:t>8.3.</w:t>
      </w:r>
      <w:r>
        <w:rPr>
          <w:rFonts w:ascii="Arial" w:hAnsi="Arial" w:eastAsia="Arial" w:cs="Arial"/>
          <w:color w:val="000000"/>
        </w:rPr>
        <w:t xml:space="preserve"> A prorrogação automática da etapa de envio de lances, será de dois minutos e ocorrerá sucessivamente sempre que houver lances enviados nesse período de prorrogação, inclusive quando se tratar de lances intermediários.</w:t>
      </w:r>
    </w:p>
    <w:p w14:paraId="00975039">
      <w:pPr>
        <w:jc w:val="both"/>
        <w:rPr>
          <w:rFonts w:ascii="Arial" w:hAnsi="Arial" w:eastAsia="Arial" w:cs="Arial"/>
          <w:b/>
          <w:color w:val="000000"/>
        </w:rPr>
      </w:pPr>
    </w:p>
    <w:p w14:paraId="47ED3E26">
      <w:pPr>
        <w:jc w:val="both"/>
        <w:rPr>
          <w:rFonts w:ascii="Arial" w:hAnsi="Arial" w:eastAsia="Arial" w:cs="Arial"/>
          <w:color w:val="000000"/>
        </w:rPr>
      </w:pPr>
      <w:r>
        <w:rPr>
          <w:rFonts w:ascii="Arial" w:hAnsi="Arial" w:eastAsia="Arial" w:cs="Arial"/>
          <w:b/>
          <w:color w:val="000000"/>
        </w:rPr>
        <w:t>8.4.</w:t>
      </w:r>
      <w:r>
        <w:rPr>
          <w:rFonts w:ascii="Arial" w:hAnsi="Arial" w:eastAsia="Arial" w:cs="Arial"/>
          <w:color w:val="000000"/>
        </w:rPr>
        <w:t xml:space="preserve"> Não havendo novos lances na forma estabelecida nos itens </w:t>
      </w:r>
      <w:r>
        <w:rPr>
          <w:rFonts w:ascii="Arial" w:hAnsi="Arial" w:eastAsia="Arial" w:cs="Arial"/>
          <w:b/>
          <w:color w:val="000000"/>
        </w:rPr>
        <w:t>8.2</w:t>
      </w:r>
      <w:r>
        <w:rPr>
          <w:rFonts w:ascii="Arial" w:hAnsi="Arial" w:eastAsia="Arial" w:cs="Arial"/>
          <w:color w:val="000000"/>
        </w:rPr>
        <w:t xml:space="preserve"> e </w:t>
      </w:r>
      <w:r>
        <w:rPr>
          <w:rFonts w:ascii="Arial" w:hAnsi="Arial" w:eastAsia="Arial" w:cs="Arial"/>
          <w:b/>
          <w:color w:val="000000"/>
        </w:rPr>
        <w:t>8.3</w:t>
      </w:r>
      <w:r>
        <w:rPr>
          <w:rFonts w:ascii="Arial" w:hAnsi="Arial" w:eastAsia="Arial" w:cs="Arial"/>
          <w:color w:val="000000"/>
        </w:rPr>
        <w:t>, a sessão pública encerrar-se-á automaticamente, e o sistema ordenará e divulgará os lances conforme a ordem final de classificação.</w:t>
      </w:r>
    </w:p>
    <w:p w14:paraId="73760E6C">
      <w:pPr>
        <w:jc w:val="both"/>
        <w:rPr>
          <w:rFonts w:ascii="Arial" w:hAnsi="Arial" w:eastAsia="Arial" w:cs="Arial"/>
          <w:b/>
          <w:color w:val="000000"/>
        </w:rPr>
      </w:pPr>
    </w:p>
    <w:p w14:paraId="131429A4">
      <w:pPr>
        <w:pStyle w:val="2"/>
        <w:spacing w:before="0" w:after="0"/>
        <w:rPr>
          <w:sz w:val="20"/>
          <w:szCs w:val="20"/>
          <w:lang w:val="pt-BR"/>
        </w:rPr>
      </w:pPr>
      <w:bookmarkStart w:id="13" w:name="_heading=h.u172ycft2ekg"/>
      <w:bookmarkEnd w:id="13"/>
      <w:r>
        <w:rPr>
          <w:sz w:val="20"/>
          <w:szCs w:val="20"/>
          <w:lang w:val="pt-BR"/>
        </w:rPr>
        <w:t xml:space="preserve">9. DA FASE DE LANCES: </w:t>
      </w:r>
    </w:p>
    <w:p w14:paraId="078E3B58">
      <w:pPr>
        <w:jc w:val="both"/>
        <w:rPr>
          <w:rFonts w:ascii="Arial" w:hAnsi="Arial" w:eastAsia="Arial" w:cs="Arial"/>
          <w:b/>
        </w:rPr>
      </w:pPr>
    </w:p>
    <w:p w14:paraId="76874C5F">
      <w:pPr>
        <w:jc w:val="both"/>
        <w:rPr>
          <w:rFonts w:ascii="Arial" w:hAnsi="Arial" w:eastAsia="Arial" w:cs="Arial"/>
        </w:rPr>
      </w:pPr>
      <w:r>
        <w:rPr>
          <w:rFonts w:ascii="Arial" w:hAnsi="Arial" w:eastAsia="Arial" w:cs="Arial"/>
          <w:b/>
        </w:rPr>
        <w:t>9.1.</w:t>
      </w:r>
      <w:r>
        <w:rPr>
          <w:rFonts w:ascii="Arial" w:hAnsi="Arial" w:eastAsia="Arial" w:cs="Arial"/>
        </w:rPr>
        <w:t xml:space="preserve"> Após a classificação das propostas, iniciar-se-á a fase de lances, na qual os autores das propostas classificadas pelo Pregoeiro poderão </w:t>
      </w:r>
      <w:r>
        <w:rPr>
          <w:rFonts w:ascii="Arial" w:hAnsi="Arial" w:eastAsia="Arial" w:cs="Arial"/>
          <w:b/>
        </w:rPr>
        <w:t>oferecer lances</w:t>
      </w:r>
      <w:r>
        <w:rPr>
          <w:rFonts w:ascii="Arial" w:hAnsi="Arial" w:eastAsia="Arial" w:cs="Arial"/>
        </w:rPr>
        <w:t xml:space="preserve">, obrigatoriamente por meio do sistema eletrônico, sem restrições de quantidade de lances ou de qualquer ordem classificatória ou cronológica específica, mas sempre inferior ao último lance ofertado. </w:t>
      </w:r>
    </w:p>
    <w:p w14:paraId="3F89DB90">
      <w:pPr>
        <w:jc w:val="both"/>
        <w:rPr>
          <w:rFonts w:ascii="Arial" w:hAnsi="Arial" w:eastAsia="Arial" w:cs="Arial"/>
          <w:b/>
        </w:rPr>
      </w:pPr>
    </w:p>
    <w:p w14:paraId="26B8F151">
      <w:pPr>
        <w:jc w:val="both"/>
        <w:rPr>
          <w:rFonts w:ascii="Arial" w:hAnsi="Arial" w:eastAsia="Arial" w:cs="Arial"/>
          <w:color w:val="000000"/>
        </w:rPr>
      </w:pPr>
      <w:r>
        <w:rPr>
          <w:rFonts w:ascii="Arial" w:hAnsi="Arial" w:eastAsia="Arial" w:cs="Arial"/>
          <w:b/>
        </w:rPr>
        <w:t>9.2.</w:t>
      </w:r>
      <w:r>
        <w:rPr>
          <w:rFonts w:ascii="Arial" w:hAnsi="Arial" w:eastAsia="Arial" w:cs="Arial"/>
        </w:rPr>
        <w:t xml:space="preserve"> </w:t>
      </w:r>
      <w:r>
        <w:rPr>
          <w:rFonts w:ascii="Arial" w:hAnsi="Arial" w:eastAsia="Arial" w:cs="Arial"/>
          <w:color w:val="000000"/>
        </w:rPr>
        <w:t>Caberá a licitante acompanhar as operações no sistema eletrônico durante a sessão pública deste Pregão Eletrônico, ficando responsável pelo ônus decorrente da perda de negócios diante da inobservância de quaisquer mensagens emitidas pelo sistema ou da desconexão do seu representante;</w:t>
      </w:r>
    </w:p>
    <w:p w14:paraId="200E6747">
      <w:pPr>
        <w:jc w:val="both"/>
        <w:rPr>
          <w:rFonts w:ascii="Arial" w:hAnsi="Arial" w:eastAsia="Arial" w:cs="Arial"/>
          <w:b/>
        </w:rPr>
      </w:pPr>
    </w:p>
    <w:p w14:paraId="639CC0C5">
      <w:pPr>
        <w:jc w:val="both"/>
        <w:rPr>
          <w:rFonts w:ascii="Arial" w:hAnsi="Arial" w:eastAsia="Arial" w:cs="Arial"/>
        </w:rPr>
      </w:pPr>
      <w:r>
        <w:rPr>
          <w:rFonts w:ascii="Arial" w:hAnsi="Arial" w:eastAsia="Arial" w:cs="Arial"/>
          <w:b/>
        </w:rPr>
        <w:t>9.3.</w:t>
      </w:r>
      <w:r>
        <w:rPr>
          <w:rFonts w:ascii="Arial" w:hAnsi="Arial" w:eastAsia="Arial" w:cs="Arial"/>
        </w:rPr>
        <w:t xml:space="preserve"> No caso de desconexão do sistema com o Pregoeiro no decorrer da etapa competitiva do pregão, o sistema eletrônico poderá permanecer acessível aos licitantes para a recepção dos lances, os quais continuarão sendo registrados, retornando a conexão o Pregoeiro dará continuidade ao certame, sem prejuízo dos atos realizados. </w:t>
      </w:r>
    </w:p>
    <w:p w14:paraId="0F9C2554">
      <w:pPr>
        <w:jc w:val="both"/>
        <w:rPr>
          <w:rFonts w:ascii="Arial" w:hAnsi="Arial" w:eastAsia="Arial" w:cs="Arial"/>
          <w:b/>
          <w:color w:val="000000"/>
        </w:rPr>
      </w:pPr>
    </w:p>
    <w:p w14:paraId="7450C03C">
      <w:pPr>
        <w:jc w:val="both"/>
        <w:rPr>
          <w:rFonts w:ascii="Arial" w:hAnsi="Arial" w:eastAsia="Arial" w:cs="Arial"/>
          <w:color w:val="000000"/>
        </w:rPr>
      </w:pPr>
      <w:r>
        <w:rPr>
          <w:rFonts w:ascii="Arial" w:hAnsi="Arial" w:eastAsia="Arial" w:cs="Arial"/>
          <w:b/>
          <w:color w:val="000000"/>
        </w:rPr>
        <w:t>9.4.</w:t>
      </w:r>
      <w:r>
        <w:rPr>
          <w:rFonts w:ascii="Arial" w:hAnsi="Arial" w:eastAsia="Arial" w:cs="Arial"/>
          <w:color w:val="000000"/>
        </w:rPr>
        <w:t xml:space="preserve"> Quando a desconexão persistir por tempo superior a 10 (dez) minutos, a sessão do pregão será suspensa e terá reinício somente após comunicação expressa aos participantes por meio do próprio sistema. Ficando o licitante responsável pelo acompanhamento. </w:t>
      </w:r>
    </w:p>
    <w:p w14:paraId="58EBAAE4">
      <w:pPr>
        <w:jc w:val="both"/>
        <w:rPr>
          <w:rFonts w:ascii="Arial" w:hAnsi="Arial" w:eastAsia="Arial" w:cs="Arial"/>
          <w:b/>
        </w:rPr>
      </w:pPr>
    </w:p>
    <w:p w14:paraId="6407D8A6">
      <w:pPr>
        <w:jc w:val="both"/>
        <w:rPr>
          <w:rFonts w:ascii="Arial" w:hAnsi="Arial" w:eastAsia="Arial" w:cs="Arial"/>
        </w:rPr>
      </w:pPr>
      <w:r>
        <w:rPr>
          <w:rFonts w:ascii="Arial" w:hAnsi="Arial" w:eastAsia="Arial" w:cs="Arial"/>
          <w:b/>
        </w:rPr>
        <w:t>9.5.</w:t>
      </w:r>
      <w:r>
        <w:rPr>
          <w:rFonts w:ascii="Arial" w:hAnsi="Arial" w:eastAsia="Arial" w:cs="Arial"/>
        </w:rPr>
        <w:t xml:space="preserve"> Durante o transcurso da sessão de lances, os participantes serão informados em tempo real, do valor do menor lance registrado. </w:t>
      </w:r>
    </w:p>
    <w:p w14:paraId="1C0F40C2">
      <w:pPr>
        <w:jc w:val="both"/>
        <w:rPr>
          <w:rFonts w:ascii="Arial" w:hAnsi="Arial" w:eastAsia="Arial" w:cs="Arial"/>
        </w:rPr>
      </w:pPr>
    </w:p>
    <w:p w14:paraId="10340DE6">
      <w:pPr>
        <w:jc w:val="both"/>
        <w:rPr>
          <w:rFonts w:ascii="Arial" w:hAnsi="Arial" w:eastAsia="Arial" w:cs="Arial"/>
        </w:rPr>
      </w:pPr>
      <w:r>
        <w:rPr>
          <w:rFonts w:ascii="Arial" w:hAnsi="Arial" w:eastAsia="Arial" w:cs="Arial"/>
          <w:b/>
          <w:color w:val="000000"/>
        </w:rPr>
        <w:t>9.5.1.</w:t>
      </w:r>
      <w:r>
        <w:rPr>
          <w:rFonts w:ascii="Arial" w:hAnsi="Arial" w:eastAsia="Arial" w:cs="Arial"/>
          <w:color w:val="000000"/>
        </w:rPr>
        <w:t xml:space="preserve"> N</w:t>
      </w:r>
      <w:r>
        <w:rPr>
          <w:rFonts w:ascii="Arial" w:hAnsi="Arial" w:eastAsia="Arial" w:cs="Arial"/>
        </w:rPr>
        <w:t xml:space="preserve">esse momento o sistema ainda não identifica as empresas participantes as propostas continuam aparecendo em forma de número (participante 1, 2, 3 e assim sucessivamente, no lote seguinte o sistema alterna o número dos participantes). </w:t>
      </w:r>
    </w:p>
    <w:p w14:paraId="3805E59B">
      <w:pPr>
        <w:jc w:val="both"/>
        <w:rPr>
          <w:rFonts w:ascii="Arial" w:hAnsi="Arial" w:eastAsia="Arial" w:cs="Arial"/>
        </w:rPr>
      </w:pPr>
    </w:p>
    <w:p w14:paraId="554635DC">
      <w:pPr>
        <w:jc w:val="both"/>
        <w:rPr>
          <w:rFonts w:ascii="Arial" w:hAnsi="Arial" w:eastAsia="Arial" w:cs="Arial"/>
          <w:color w:val="000000"/>
        </w:rPr>
      </w:pPr>
      <w:r>
        <w:rPr>
          <w:rFonts w:ascii="Arial" w:hAnsi="Arial" w:eastAsia="Arial" w:cs="Arial"/>
          <w:b/>
          <w:color w:val="000000"/>
        </w:rPr>
        <w:t>9.6.</w:t>
      </w:r>
      <w:r>
        <w:rPr>
          <w:rFonts w:ascii="Arial" w:hAnsi="Arial" w:eastAsia="Arial" w:cs="Arial"/>
          <w:color w:val="000000"/>
        </w:rPr>
        <w:t xml:space="preserve"> O licitante somente poderá oferecer valor inferior ao último lance por ele ofertado e registrado pelo sistema, observado, quando houver, o intervalo mínimo de diferença de valores ou de percentuais entre os lances, que incidirá tanto em relação aos lances intermediários quanto em relação ao lance que cobrir a melhor oferta.</w:t>
      </w:r>
    </w:p>
    <w:p w14:paraId="018D2EDD">
      <w:pPr>
        <w:jc w:val="both"/>
        <w:rPr>
          <w:rFonts w:ascii="Arial" w:hAnsi="Arial" w:eastAsia="Arial" w:cs="Arial"/>
          <w:b/>
        </w:rPr>
      </w:pPr>
    </w:p>
    <w:p w14:paraId="204B8404">
      <w:pPr>
        <w:jc w:val="both"/>
        <w:rPr>
          <w:rFonts w:ascii="Arial" w:hAnsi="Arial" w:eastAsia="Arial" w:cs="Arial"/>
        </w:rPr>
      </w:pPr>
      <w:r>
        <w:rPr>
          <w:rFonts w:ascii="Arial" w:hAnsi="Arial" w:eastAsia="Arial" w:cs="Arial"/>
          <w:b/>
        </w:rPr>
        <w:t>9.7.</w:t>
      </w:r>
      <w:r>
        <w:rPr>
          <w:rFonts w:ascii="Arial" w:hAnsi="Arial" w:eastAsia="Arial" w:cs="Arial"/>
        </w:rPr>
        <w:t xml:space="preserve"> Quando houver um único licitante ou uma única proposta válida, caberá ao Pregoeiro verificar a aceitabilidade do valor ofertado com base no valor de referência levantado pelas secretarias solicitantes.</w:t>
      </w:r>
    </w:p>
    <w:p w14:paraId="0C145BFC">
      <w:pPr>
        <w:jc w:val="both"/>
        <w:rPr>
          <w:rFonts w:ascii="Arial" w:hAnsi="Arial" w:eastAsia="Arial" w:cs="Arial"/>
          <w:b/>
        </w:rPr>
      </w:pPr>
    </w:p>
    <w:p w14:paraId="041978F4">
      <w:pPr>
        <w:jc w:val="both"/>
        <w:rPr>
          <w:rFonts w:ascii="Arial" w:hAnsi="Arial" w:eastAsia="Arial" w:cs="Arial"/>
        </w:rPr>
      </w:pPr>
      <w:r>
        <w:rPr>
          <w:rFonts w:ascii="Arial" w:hAnsi="Arial" w:eastAsia="Arial" w:cs="Arial"/>
          <w:b/>
        </w:rPr>
        <w:t>9.8.</w:t>
      </w:r>
      <w:r>
        <w:rPr>
          <w:rFonts w:ascii="Arial" w:hAnsi="Arial" w:eastAsia="Arial" w:cs="Arial"/>
        </w:rPr>
        <w:t xml:space="preserve"> Na hipótese de haver lances ou propostas iguais prevalecerão como de menor valor o lance que tiver sido primeiramente registrado. </w:t>
      </w:r>
    </w:p>
    <w:p w14:paraId="6041CC6B">
      <w:pPr>
        <w:jc w:val="both"/>
        <w:rPr>
          <w:rFonts w:ascii="Arial" w:hAnsi="Arial" w:eastAsia="Arial" w:cs="Arial"/>
          <w:b/>
        </w:rPr>
      </w:pPr>
    </w:p>
    <w:p w14:paraId="574C07AA">
      <w:pPr>
        <w:jc w:val="both"/>
        <w:rPr>
          <w:rFonts w:ascii="Arial" w:hAnsi="Arial" w:eastAsia="Arial" w:cs="Arial"/>
        </w:rPr>
      </w:pPr>
      <w:r>
        <w:rPr>
          <w:rFonts w:ascii="Arial" w:hAnsi="Arial" w:eastAsia="Arial" w:cs="Arial"/>
          <w:b/>
        </w:rPr>
        <w:t>9.9.</w:t>
      </w:r>
      <w:r>
        <w:rPr>
          <w:rFonts w:ascii="Arial" w:hAnsi="Arial" w:eastAsia="Arial" w:cs="Arial"/>
        </w:rPr>
        <w:t xml:space="preserve"> Nesse momento após o encerramento da etapa de lances do item ou lote conforme o caso, o sistema informará a proposta de menor valor, identificando as empresas participantes pela razão social, verificará e classificará a licitante que se enquadrar como microempresa ou empresa de pequeno porte, nos termos do art. 3º da Lei Complementar nº 123, de 14 de dezembro de 2006.</w:t>
      </w:r>
    </w:p>
    <w:p w14:paraId="1ACEDE60">
      <w:pPr>
        <w:jc w:val="both"/>
        <w:rPr>
          <w:rFonts w:ascii="Arial" w:hAnsi="Arial" w:eastAsia="Arial" w:cs="Arial"/>
          <w:b/>
        </w:rPr>
      </w:pPr>
    </w:p>
    <w:p w14:paraId="0D35C5A5">
      <w:pPr>
        <w:jc w:val="both"/>
        <w:rPr>
          <w:rFonts w:ascii="Arial" w:hAnsi="Arial" w:eastAsia="Arial" w:cs="Arial"/>
        </w:rPr>
      </w:pPr>
      <w:r>
        <w:rPr>
          <w:rFonts w:ascii="Arial" w:hAnsi="Arial" w:eastAsia="Arial" w:cs="Arial"/>
          <w:b/>
        </w:rPr>
        <w:t xml:space="preserve">9.10. </w:t>
      </w:r>
      <w:r>
        <w:rPr>
          <w:rFonts w:ascii="Arial" w:hAnsi="Arial" w:eastAsia="Arial" w:cs="Arial"/>
        </w:rPr>
        <w:t>Após a disputa final, no caso de empate entre duas ou mais propostas, hipótese em que os licitantes empatados poderão apresentar nova proposta em ato contínuo à classificação, nesse caso, os critérios de desempate são os previstos no art. 60 da Lei 14.133/21.</w:t>
      </w:r>
    </w:p>
    <w:p w14:paraId="62EC0A54">
      <w:pPr>
        <w:jc w:val="both"/>
        <w:rPr>
          <w:rFonts w:ascii="Arial" w:hAnsi="Arial" w:eastAsia="Arial" w:cs="Arial"/>
          <w:b/>
        </w:rPr>
      </w:pPr>
    </w:p>
    <w:p w14:paraId="14552BFC">
      <w:pPr>
        <w:jc w:val="both"/>
        <w:rPr>
          <w:rFonts w:ascii="Arial" w:hAnsi="Arial" w:eastAsia="Arial" w:cs="Arial"/>
        </w:rPr>
      </w:pPr>
      <w:r>
        <w:rPr>
          <w:rFonts w:ascii="Arial" w:hAnsi="Arial" w:eastAsia="Arial" w:cs="Arial"/>
          <w:b/>
        </w:rPr>
        <w:t>9.10.1.</w:t>
      </w:r>
      <w:r>
        <w:rPr>
          <w:rFonts w:ascii="Arial" w:hAnsi="Arial" w:eastAsia="Arial" w:cs="Arial"/>
        </w:rPr>
        <w:t xml:space="preserve"> Só poderá haver empate entre propostas iguais (não seguidas de lances), ou entre lances finais da fase fechada do modo de disputa aberto e fechado.</w:t>
      </w:r>
    </w:p>
    <w:p w14:paraId="22851281">
      <w:pPr>
        <w:jc w:val="both"/>
        <w:rPr>
          <w:rFonts w:ascii="Arial" w:hAnsi="Arial" w:eastAsia="Arial" w:cs="Arial"/>
          <w:b/>
        </w:rPr>
      </w:pPr>
    </w:p>
    <w:p w14:paraId="66239BEE">
      <w:pPr>
        <w:jc w:val="both"/>
        <w:rPr>
          <w:rFonts w:ascii="Arial" w:hAnsi="Arial" w:eastAsia="Arial" w:cs="Arial"/>
        </w:rPr>
      </w:pPr>
      <w:r>
        <w:rPr>
          <w:rFonts w:ascii="Arial" w:hAnsi="Arial" w:eastAsia="Arial" w:cs="Arial"/>
          <w:b/>
        </w:rPr>
        <w:t>9.10.2.</w:t>
      </w:r>
      <w:r>
        <w:rPr>
          <w:rFonts w:ascii="Arial" w:hAnsi="Arial" w:eastAsia="Arial" w:cs="Arial"/>
        </w:rPr>
        <w:t xml:space="preserve"> Havendo eventual empate entre propostas ou lances, o critério de desempate será aquele previsto no art. 60 da Lei nº 14.133, de 2021.</w:t>
      </w:r>
    </w:p>
    <w:p w14:paraId="7F21D4B8">
      <w:pPr>
        <w:jc w:val="both"/>
        <w:rPr>
          <w:rFonts w:ascii="Arial" w:hAnsi="Arial" w:eastAsia="Arial" w:cs="Arial"/>
          <w:b/>
        </w:rPr>
      </w:pPr>
    </w:p>
    <w:p w14:paraId="4FEAA030">
      <w:pPr>
        <w:jc w:val="both"/>
        <w:rPr>
          <w:rFonts w:ascii="Arial" w:hAnsi="Arial" w:eastAsia="Arial" w:cs="Arial"/>
        </w:rPr>
      </w:pPr>
      <w:r>
        <w:rPr>
          <w:rFonts w:ascii="Arial" w:hAnsi="Arial" w:eastAsia="Arial" w:cs="Arial"/>
          <w:b/>
        </w:rPr>
        <w:t xml:space="preserve">9.10.3. </w:t>
      </w:r>
      <w:r>
        <w:rPr>
          <w:rFonts w:ascii="Arial" w:hAnsi="Arial" w:eastAsia="Arial" w:cs="Arial"/>
        </w:rPr>
        <w:t>As regras previstas no (item 9.10) acima mencionado não prejudicarão a aplicação do disposto no art. 44 da Lei Complementar nº 123, de 14 de dezembro de 2006. (Conforme art. 60 da Lei 14.133/21, § 2º). </w:t>
      </w:r>
    </w:p>
    <w:p w14:paraId="77102953">
      <w:pPr>
        <w:jc w:val="both"/>
        <w:rPr>
          <w:rFonts w:ascii="Arial" w:hAnsi="Arial" w:eastAsia="Arial" w:cs="Arial"/>
        </w:rPr>
      </w:pPr>
      <w:r>
        <w:rPr>
          <w:rFonts w:ascii="Arial" w:hAnsi="Arial" w:eastAsia="Arial" w:cs="Arial"/>
          <w:b/>
        </w:rPr>
        <w:t>9.11.</w:t>
      </w:r>
      <w:r>
        <w:rPr>
          <w:rFonts w:ascii="Arial" w:hAnsi="Arial" w:eastAsia="Arial" w:cs="Arial"/>
        </w:rPr>
        <w:t xml:space="preserve">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420E57D4">
      <w:pPr>
        <w:jc w:val="both"/>
        <w:rPr>
          <w:rFonts w:ascii="Arial" w:hAnsi="Arial" w:eastAsia="Arial" w:cs="Arial"/>
          <w:b/>
        </w:rPr>
      </w:pPr>
    </w:p>
    <w:p w14:paraId="3B4C3177">
      <w:pPr>
        <w:jc w:val="both"/>
        <w:rPr>
          <w:rFonts w:ascii="Arial" w:hAnsi="Arial" w:eastAsia="Arial" w:cs="Arial"/>
        </w:rPr>
      </w:pPr>
      <w:r>
        <w:rPr>
          <w:rFonts w:ascii="Arial" w:hAnsi="Arial" w:eastAsia="Arial" w:cs="Arial"/>
          <w:b/>
        </w:rPr>
        <w:t>9.12.</w:t>
      </w:r>
      <w:r>
        <w:rPr>
          <w:rFonts w:ascii="Arial" w:hAnsi="Arial" w:eastAsia="Arial" w:cs="Arial"/>
        </w:rPr>
        <w:t xml:space="preserve">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51266B6">
      <w:pPr>
        <w:jc w:val="both"/>
        <w:rPr>
          <w:rFonts w:ascii="Arial" w:hAnsi="Arial" w:eastAsia="Arial" w:cs="Arial"/>
          <w:b/>
          <w:color w:val="000000"/>
        </w:rPr>
      </w:pPr>
    </w:p>
    <w:p w14:paraId="5DFB5511">
      <w:pPr>
        <w:jc w:val="both"/>
        <w:rPr>
          <w:rFonts w:ascii="Arial" w:hAnsi="Arial" w:eastAsia="Arial" w:cs="Arial"/>
          <w:color w:val="000000"/>
        </w:rPr>
      </w:pPr>
      <w:bookmarkStart w:id="14" w:name="_heading=h.gq4fwu531k2s"/>
      <w:bookmarkEnd w:id="14"/>
      <w:r>
        <w:rPr>
          <w:rFonts w:ascii="Arial" w:hAnsi="Arial" w:eastAsia="Arial" w:cs="Arial"/>
          <w:b/>
          <w:color w:val="000000"/>
        </w:rPr>
        <w:t>9.13.</w:t>
      </w:r>
      <w:r>
        <w:rPr>
          <w:rFonts w:ascii="Arial" w:hAnsi="Arial" w:eastAsia="Arial" w:cs="Arial"/>
          <w:color w:val="000000"/>
        </w:rPr>
        <w:t xml:space="preserve"> O pregoeiro solicitará ao licitante melhor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0DFB5E3F">
      <w:pPr>
        <w:jc w:val="both"/>
        <w:rPr>
          <w:rFonts w:ascii="Arial" w:hAnsi="Arial" w:eastAsia="Arial" w:cs="Arial"/>
          <w:b/>
          <w:color w:val="000000"/>
        </w:rPr>
      </w:pPr>
    </w:p>
    <w:p w14:paraId="7F5B4E08">
      <w:pPr>
        <w:jc w:val="both"/>
        <w:rPr>
          <w:rFonts w:ascii="Arial" w:hAnsi="Arial" w:eastAsia="Arial" w:cs="Arial"/>
          <w:color w:val="000000"/>
        </w:rPr>
      </w:pPr>
      <w:r>
        <w:rPr>
          <w:rFonts w:ascii="Arial" w:hAnsi="Arial" w:eastAsia="Arial" w:cs="Arial"/>
          <w:b/>
          <w:color w:val="000000"/>
        </w:rPr>
        <w:t>9.14.</w:t>
      </w:r>
      <w:r>
        <w:rPr>
          <w:rFonts w:ascii="Arial" w:hAnsi="Arial" w:eastAsia="Arial" w:cs="Arial"/>
          <w:color w:val="000000"/>
        </w:rPr>
        <w:t xml:space="preserve"> É facultado ao pregoeiro prorrogar o prazo estabelecido, a partir de solicitação fundamentada feita no chat pelo licitante, antes de findo o prazo.</w:t>
      </w:r>
    </w:p>
    <w:p w14:paraId="6CCD7D1E">
      <w:pPr>
        <w:jc w:val="both"/>
        <w:rPr>
          <w:rFonts w:ascii="Arial" w:hAnsi="Arial" w:eastAsia="Arial" w:cs="Arial"/>
          <w:color w:val="000000"/>
        </w:rPr>
      </w:pPr>
    </w:p>
    <w:p w14:paraId="2245DD9D">
      <w:pPr>
        <w:pStyle w:val="2"/>
        <w:spacing w:before="0" w:after="0"/>
        <w:rPr>
          <w:sz w:val="20"/>
          <w:szCs w:val="20"/>
          <w:lang w:val="pt-BR"/>
        </w:rPr>
      </w:pPr>
      <w:bookmarkStart w:id="15" w:name="_heading=h.ivovtazgbm9n"/>
      <w:bookmarkEnd w:id="15"/>
      <w:r>
        <w:rPr>
          <w:sz w:val="20"/>
          <w:szCs w:val="20"/>
          <w:lang w:val="pt-BR"/>
        </w:rPr>
        <w:t xml:space="preserve">10. DO JULGAMENTO DA(S) PROPOSTA(S) DE PREÇOS APÓS A CLASSIFICAÇÃO FINAL: </w:t>
      </w:r>
    </w:p>
    <w:p w14:paraId="6D53914C">
      <w:pPr>
        <w:jc w:val="both"/>
        <w:rPr>
          <w:rFonts w:ascii="Arial" w:hAnsi="Arial" w:eastAsia="Arial" w:cs="Arial"/>
          <w:b/>
        </w:rPr>
      </w:pPr>
      <w:bookmarkStart w:id="16" w:name="_heading=h.rqs33qol3sg3"/>
      <w:bookmarkEnd w:id="16"/>
    </w:p>
    <w:p w14:paraId="39F9F277">
      <w:pPr>
        <w:jc w:val="both"/>
        <w:rPr>
          <w:rFonts w:ascii="Arial" w:hAnsi="Arial" w:eastAsia="Arial" w:cs="Arial"/>
        </w:rPr>
      </w:pPr>
      <w:r>
        <w:rPr>
          <w:rFonts w:ascii="Arial" w:hAnsi="Arial" w:eastAsia="Arial" w:cs="Arial"/>
          <w:b/>
        </w:rPr>
        <w:t>10.1.</w:t>
      </w:r>
      <w:r>
        <w:rPr>
          <w:rFonts w:ascii="Arial" w:hAnsi="Arial" w:eastAsia="Arial" w:cs="Arial"/>
        </w:rPr>
        <w:t xml:space="preserve"> Após a fase de habilitação, análise dos documentos e deliberação sobre eventuais recursos, será aberta nova sessão pública para abertura das propostas dos licitantes habilitados, iniciando-se a etapa de julgamento conforme o critério de menor preço global.</w:t>
      </w:r>
    </w:p>
    <w:p w14:paraId="44D7A1C3">
      <w:pPr>
        <w:jc w:val="both"/>
        <w:rPr>
          <w:rFonts w:ascii="Arial" w:hAnsi="Arial" w:eastAsia="Arial" w:cs="Arial"/>
          <w:b/>
          <w:color w:val="000000"/>
        </w:rPr>
      </w:pPr>
    </w:p>
    <w:p w14:paraId="1F658A36">
      <w:pPr>
        <w:jc w:val="both"/>
        <w:rPr>
          <w:rFonts w:ascii="Arial" w:hAnsi="Arial" w:eastAsia="Arial" w:cs="Arial"/>
          <w:color w:val="000000"/>
        </w:rPr>
      </w:pPr>
      <w:r>
        <w:rPr>
          <w:rFonts w:ascii="Arial" w:hAnsi="Arial" w:eastAsia="Arial" w:cs="Arial"/>
          <w:b/>
          <w:color w:val="000000"/>
        </w:rPr>
        <w:t xml:space="preserve">10.1.1. </w:t>
      </w:r>
      <w:r>
        <w:rPr>
          <w:rFonts w:ascii="Arial" w:hAnsi="Arial" w:eastAsia="Arial" w:cs="Arial"/>
          <w:color w:val="000000"/>
        </w:rPr>
        <w:t xml:space="preserve">Casos não se realizem lances serão verificados a conformidade entre a proposta de menor valor e o valor estimado da contratação, podendo o Pregoeiro negociar com o licitante afim de conseguir menor preço. </w:t>
      </w:r>
    </w:p>
    <w:p w14:paraId="15740154">
      <w:pPr>
        <w:jc w:val="both"/>
        <w:rPr>
          <w:rFonts w:ascii="Arial" w:hAnsi="Arial" w:eastAsia="Arial" w:cs="Arial"/>
          <w:b/>
        </w:rPr>
      </w:pPr>
      <w:bookmarkStart w:id="17" w:name="bookmark=id.mxosohjh4ymb"/>
      <w:bookmarkEnd w:id="17"/>
    </w:p>
    <w:p w14:paraId="1E63A07A">
      <w:pPr>
        <w:jc w:val="both"/>
        <w:rPr>
          <w:rFonts w:ascii="Arial" w:hAnsi="Arial" w:eastAsia="Arial" w:cs="Arial"/>
          <w:b/>
        </w:rPr>
      </w:pPr>
      <w:r>
        <w:rPr>
          <w:rFonts w:ascii="Arial" w:hAnsi="Arial" w:eastAsia="Arial" w:cs="Arial"/>
          <w:b/>
        </w:rPr>
        <w:t xml:space="preserve">10.2. Da aceitabilidade da proposta melhor classificada, não será aceita a proposta ou melhor lance classificado cujo preço seja acima do valor estimado pela Secretaria solicitante ou quando este for manifestamente inexequível. </w:t>
      </w:r>
    </w:p>
    <w:p w14:paraId="6F101B32">
      <w:pPr>
        <w:jc w:val="both"/>
        <w:rPr>
          <w:rFonts w:ascii="Arial" w:hAnsi="Arial" w:eastAsia="Arial" w:cs="Arial"/>
          <w:b/>
        </w:rPr>
      </w:pPr>
    </w:p>
    <w:p w14:paraId="57F033D1">
      <w:pPr>
        <w:jc w:val="both"/>
        <w:rPr>
          <w:rFonts w:ascii="Arial" w:hAnsi="Arial" w:eastAsia="Arial" w:cs="Arial"/>
        </w:rPr>
      </w:pPr>
      <w:r>
        <w:rPr>
          <w:rFonts w:ascii="Arial" w:hAnsi="Arial" w:eastAsia="Arial" w:cs="Arial"/>
          <w:b/>
        </w:rPr>
        <w:t xml:space="preserve">10.2.1. </w:t>
      </w:r>
      <w:r>
        <w:rPr>
          <w:rFonts w:ascii="Arial" w:hAnsi="Arial" w:eastAsia="Arial" w:cs="Arial"/>
        </w:rPr>
        <w:t>Considera-se inexequível a proposta de preços ou menor lance que comprovadamente, for insuficiente para a cobertura dos custos da contratação,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serviços de instalações de propriedade do próprio licitante, para os quais ele renuncie a parcela ou à totalidade da remuneração.</w:t>
      </w:r>
    </w:p>
    <w:p w14:paraId="3500AD12">
      <w:pPr>
        <w:jc w:val="both"/>
        <w:rPr>
          <w:rFonts w:ascii="Arial" w:hAnsi="Arial" w:eastAsia="Arial" w:cs="Arial"/>
        </w:rPr>
      </w:pPr>
    </w:p>
    <w:p w14:paraId="75FC64B3">
      <w:pPr>
        <w:jc w:val="both"/>
        <w:rPr>
          <w:rFonts w:ascii="Arial" w:hAnsi="Arial" w:eastAsia="Arial" w:cs="Arial"/>
          <w:color w:val="000000"/>
        </w:rPr>
      </w:pPr>
      <w:r>
        <w:rPr>
          <w:rFonts w:ascii="Arial" w:hAnsi="Arial" w:eastAsia="Arial" w:cs="Arial"/>
          <w:b/>
          <w:color w:val="000000"/>
        </w:rPr>
        <w:t xml:space="preserve">10.3. </w:t>
      </w:r>
      <w:r>
        <w:rPr>
          <w:rFonts w:ascii="Arial" w:hAnsi="Arial" w:eastAsia="Arial" w:cs="Arial"/>
          <w:color w:val="000000"/>
        </w:rPr>
        <w:t>Se houver indícios de inexequibilidade da proposta de preço, ou em caso da necessidade de esclarecimentos complementares, poderão ser efetuadas diligências,</w:t>
      </w:r>
      <w:r>
        <w:rPr>
          <w:rFonts w:ascii="Arial" w:hAnsi="Arial" w:eastAsia="Arial" w:cs="Arial"/>
          <w:color w:val="FF0000"/>
        </w:rPr>
        <w:t xml:space="preserve"> </w:t>
      </w:r>
      <w:r>
        <w:rPr>
          <w:rFonts w:ascii="Arial" w:hAnsi="Arial" w:eastAsia="Arial" w:cs="Arial"/>
          <w:color w:val="000000"/>
        </w:rPr>
        <w:t>para aferir a exequibilidade das propostas ou exigir dos licitantes que ela seja demonstrada, conforme disposto no inciso IV do </w:t>
      </w:r>
      <w:r>
        <w:rPr>
          <w:rFonts w:ascii="Arial" w:hAnsi="Arial" w:eastAsia="Arial" w:cs="Arial"/>
          <w:b/>
          <w:color w:val="000000"/>
        </w:rPr>
        <w:t>caput</w:t>
      </w:r>
      <w:r>
        <w:rPr>
          <w:rFonts w:ascii="Arial" w:hAnsi="Arial" w:eastAsia="Arial" w:cs="Arial"/>
          <w:color w:val="000000"/>
        </w:rPr>
        <w:t> do artigo 59 da Lei 14.133/2021.</w:t>
      </w:r>
    </w:p>
    <w:p w14:paraId="6EB02D12">
      <w:pPr>
        <w:jc w:val="both"/>
        <w:rPr>
          <w:rFonts w:ascii="Arial" w:hAnsi="Arial" w:eastAsia="Arial" w:cs="Arial"/>
          <w:b/>
        </w:rPr>
      </w:pPr>
    </w:p>
    <w:p w14:paraId="77BE0A17">
      <w:pPr>
        <w:jc w:val="both"/>
        <w:rPr>
          <w:rFonts w:ascii="Arial" w:hAnsi="Arial" w:eastAsia="Arial" w:cs="Arial"/>
          <w:color w:val="000000"/>
        </w:rPr>
      </w:pPr>
      <w:r>
        <w:rPr>
          <w:rFonts w:ascii="Arial" w:hAnsi="Arial" w:eastAsia="Arial" w:cs="Arial"/>
          <w:b/>
        </w:rPr>
        <w:t xml:space="preserve">10.4. </w:t>
      </w:r>
      <w:r>
        <w:rPr>
          <w:rFonts w:ascii="Arial" w:hAnsi="Arial" w:eastAsia="Arial" w:cs="Arial"/>
        </w:rPr>
        <w:t>P</w:t>
      </w:r>
      <w:r>
        <w:rPr>
          <w:rFonts w:ascii="Arial" w:hAnsi="Arial" w:eastAsia="Arial" w:cs="Arial"/>
          <w:color w:val="000000"/>
        </w:rPr>
        <w:t>oderá convocar o licitante para enviar planilhas de custo readequadas com o valor final por ele ofertado, nesse sentido, todos os dados informados pelo licitante em sua planilha deverão refletir com fidelidade os custos especificados e a margem de lucro pretendida, sob pena de não aceitação da proposta.</w:t>
      </w:r>
    </w:p>
    <w:p w14:paraId="50960C9D">
      <w:pPr>
        <w:jc w:val="both"/>
        <w:rPr>
          <w:rFonts w:ascii="Arial" w:hAnsi="Arial" w:eastAsia="Arial" w:cs="Arial"/>
          <w:color w:val="000000"/>
        </w:rPr>
      </w:pPr>
    </w:p>
    <w:p w14:paraId="276ED168">
      <w:pPr>
        <w:jc w:val="both"/>
        <w:rPr>
          <w:rFonts w:ascii="Arial" w:hAnsi="Arial" w:eastAsia="Arial" w:cs="Arial"/>
          <w:color w:val="000000"/>
        </w:rPr>
      </w:pPr>
      <w:r>
        <w:rPr>
          <w:rFonts w:ascii="Arial" w:hAnsi="Arial" w:eastAsia="Arial" w:cs="Arial"/>
          <w:b/>
          <w:color w:val="000000"/>
        </w:rPr>
        <w:t>10.5.</w:t>
      </w:r>
      <w:r>
        <w:rPr>
          <w:rFonts w:ascii="Arial" w:hAnsi="Arial" w:eastAsia="Arial" w:cs="Arial"/>
          <w:color w:val="000000"/>
        </w:rPr>
        <w:t xml:space="preserve"> O Pregoeiro auxiliado pela equipe técnica analisará a compatibilidade dos preços unitários apresentados na Planilha de Custos e Formação de Preços com aqueles descritos no termo de referência.</w:t>
      </w:r>
    </w:p>
    <w:p w14:paraId="61644B9C">
      <w:pPr>
        <w:jc w:val="both"/>
        <w:rPr>
          <w:rFonts w:ascii="Arial" w:hAnsi="Arial" w:eastAsia="Arial" w:cs="Arial"/>
          <w:color w:val="000000"/>
        </w:rPr>
      </w:pPr>
    </w:p>
    <w:p w14:paraId="5FB58ECA">
      <w:pPr>
        <w:jc w:val="both"/>
        <w:rPr>
          <w:rFonts w:ascii="Arial" w:hAnsi="Arial" w:eastAsia="Arial" w:cs="Arial"/>
          <w:color w:val="000000"/>
        </w:rPr>
      </w:pPr>
      <w:r>
        <w:rPr>
          <w:rFonts w:ascii="Arial" w:hAnsi="Arial" w:eastAsia="Arial" w:cs="Arial"/>
          <w:b/>
          <w:color w:val="000000"/>
        </w:rPr>
        <w:t>10.6.</w:t>
      </w:r>
      <w:r>
        <w:rPr>
          <w:rFonts w:ascii="Arial" w:hAnsi="Arial" w:eastAsia="Arial" w:cs="Arial"/>
          <w:color w:val="000000"/>
        </w:rPr>
        <w:t xml:space="preserve"> </w:t>
      </w:r>
      <w:r>
        <w:rPr>
          <w:rFonts w:ascii="Arial" w:hAnsi="Arial" w:eastAsia="Arial" w:cs="Arial"/>
          <w:b/>
          <w:color w:val="000000"/>
        </w:rPr>
        <w:t>Se a oferta da primeira classificada</w:t>
      </w:r>
      <w:r>
        <w:rPr>
          <w:rFonts w:ascii="Arial" w:hAnsi="Arial" w:eastAsia="Arial" w:cs="Arial"/>
          <w:color w:val="000000"/>
        </w:rPr>
        <w:t xml:space="preserve"> não for aceitável ou se a licitante desatender às exigências habilitatórias, será examinado a oferta subsequente, verificando a sua aceitabilidade e procedendo à habilitação do licitante, na ordem de classificação, e assim sucessivamente, até a apuração de uma proposta que atenda ao edital, sendo o respectivo licitante declarado vencedor e a ele adjudicado o objeto do certame.</w:t>
      </w:r>
    </w:p>
    <w:p w14:paraId="5333C388">
      <w:pPr>
        <w:jc w:val="both"/>
        <w:rPr>
          <w:rFonts w:ascii="Arial" w:hAnsi="Arial" w:eastAsia="Arial" w:cs="Arial"/>
          <w:color w:val="000000"/>
        </w:rPr>
      </w:pPr>
    </w:p>
    <w:p w14:paraId="03E124AE">
      <w:pPr>
        <w:pStyle w:val="2"/>
        <w:spacing w:before="0" w:after="0"/>
        <w:rPr>
          <w:sz w:val="20"/>
          <w:szCs w:val="20"/>
          <w:lang w:val="pt-BR"/>
        </w:rPr>
      </w:pPr>
      <w:bookmarkStart w:id="18" w:name="_heading=h.fjs4sgwp4bwu"/>
      <w:bookmarkEnd w:id="18"/>
      <w:r>
        <w:rPr>
          <w:sz w:val="20"/>
          <w:szCs w:val="20"/>
          <w:lang w:val="pt-BR"/>
        </w:rPr>
        <w:t>11. DO ENVIO DAS PROPOSTAS REALINHADAS APÓS CONHECIDA A EMPRESA VENCEDORA:</w:t>
      </w:r>
    </w:p>
    <w:p w14:paraId="6F48ECBE"/>
    <w:p w14:paraId="5BAF2471">
      <w:pPr>
        <w:jc w:val="both"/>
        <w:rPr>
          <w:rFonts w:ascii="Arial" w:hAnsi="Arial" w:eastAsia="Arial" w:cs="Arial"/>
        </w:rPr>
      </w:pPr>
      <w:r>
        <w:rPr>
          <w:rFonts w:ascii="Arial" w:hAnsi="Arial" w:eastAsia="Arial" w:cs="Arial"/>
          <w:b/>
          <w:color w:val="000000"/>
        </w:rPr>
        <w:t>11.1.</w:t>
      </w:r>
      <w:r>
        <w:rPr>
          <w:rFonts w:ascii="Arial" w:hAnsi="Arial" w:eastAsia="Arial" w:cs="Arial"/>
          <w:color w:val="000000"/>
        </w:rPr>
        <w:t xml:space="preserve"> Após a realização da sessão pública a licitante vencedora da etapa de lances e habilitada na fase de documentos no prazo máximo de </w:t>
      </w:r>
      <w:r>
        <w:rPr>
          <w:rFonts w:ascii="Arial" w:hAnsi="Arial" w:eastAsia="Arial" w:cs="Arial"/>
          <w:color w:val="000000"/>
          <w:u w:val="single"/>
        </w:rPr>
        <w:t>02 (duas) horas</w:t>
      </w:r>
      <w:r>
        <w:rPr>
          <w:rFonts w:ascii="Arial" w:hAnsi="Arial" w:eastAsia="Arial" w:cs="Arial"/>
          <w:color w:val="000000"/>
        </w:rPr>
        <w:t xml:space="preserve">, contados do encerramento da sessão, deverá cadastrar a </w:t>
      </w:r>
      <w:r>
        <w:rPr>
          <w:rFonts w:ascii="Arial" w:hAnsi="Arial" w:eastAsia="Arial" w:cs="Arial"/>
          <w:b/>
          <w:color w:val="000000"/>
        </w:rPr>
        <w:t xml:space="preserve">Proposta de Preços Realinhada na plataforma BLL, </w:t>
      </w:r>
      <w:r>
        <w:rPr>
          <w:rFonts w:ascii="Arial" w:hAnsi="Arial" w:eastAsia="Arial" w:cs="Arial"/>
          <w:color w:val="000000"/>
        </w:rPr>
        <w:t xml:space="preserve">bem como, encaminha-la </w:t>
      </w:r>
      <w:r>
        <w:rPr>
          <w:rFonts w:ascii="Arial" w:hAnsi="Arial" w:eastAsia="Arial" w:cs="Arial"/>
        </w:rPr>
        <w:t>devidamente datadas e assinadas na última folha e rubricadas nas demais pelo representante legal da empresa. (</w:t>
      </w:r>
      <w:r>
        <w:rPr>
          <w:rFonts w:ascii="Arial" w:hAnsi="Arial" w:eastAsia="Arial" w:cs="Arial"/>
          <w:b/>
        </w:rPr>
        <w:t xml:space="preserve">Endereço eletrônico e-mail: </w:t>
      </w:r>
      <w:r>
        <w:fldChar w:fldCharType="begin"/>
      </w:r>
      <w:r>
        <w:instrText xml:space="preserve"> HYPERLINK "mailto:pmrroo@hotmail.com" \h </w:instrText>
      </w:r>
      <w:r>
        <w:fldChar w:fldCharType="separate"/>
      </w:r>
      <w:r>
        <w:rPr>
          <w:rFonts w:ascii="Arial" w:hAnsi="Arial" w:eastAsia="Arial" w:cs="Arial"/>
          <w:b/>
          <w:color w:val="0000FF"/>
          <w:u w:val="single"/>
        </w:rPr>
        <w:t>pmrroo@hotmail.com</w:t>
      </w:r>
      <w:r>
        <w:rPr>
          <w:rFonts w:ascii="Arial" w:hAnsi="Arial" w:eastAsia="Arial" w:cs="Arial"/>
          <w:b/>
          <w:color w:val="0000FF"/>
          <w:u w:val="single"/>
        </w:rPr>
        <w:fldChar w:fldCharType="end"/>
      </w:r>
      <w:r>
        <w:rPr>
          <w:rFonts w:ascii="Arial" w:hAnsi="Arial" w:eastAsia="Arial" w:cs="Arial"/>
        </w:rPr>
        <w:t>).</w:t>
      </w:r>
    </w:p>
    <w:p w14:paraId="6915E0C9">
      <w:pPr>
        <w:jc w:val="both"/>
        <w:rPr>
          <w:rFonts w:ascii="Arial" w:hAnsi="Arial" w:eastAsia="Arial" w:cs="Arial"/>
          <w:b/>
          <w:color w:val="000000"/>
        </w:rPr>
      </w:pPr>
    </w:p>
    <w:p w14:paraId="075D61C7">
      <w:pPr>
        <w:jc w:val="both"/>
        <w:rPr>
          <w:rFonts w:ascii="Arial" w:hAnsi="Arial" w:eastAsia="Arial" w:cs="Arial"/>
          <w:color w:val="000000"/>
        </w:rPr>
      </w:pPr>
      <w:r>
        <w:rPr>
          <w:rFonts w:ascii="Arial" w:hAnsi="Arial" w:eastAsia="Arial" w:cs="Arial"/>
          <w:b/>
          <w:color w:val="000000"/>
        </w:rPr>
        <w:t>11.1.1.</w:t>
      </w:r>
      <w:r>
        <w:rPr>
          <w:rFonts w:ascii="Arial" w:hAnsi="Arial" w:eastAsia="Arial" w:cs="Arial"/>
          <w:color w:val="000000"/>
        </w:rPr>
        <w:t xml:space="preserve"> Caso o licitante venha a ser classificado em razão da desclassificação do(s) primeiro(s) colocado(s), este também terá </w:t>
      </w:r>
      <w:r>
        <w:rPr>
          <w:rFonts w:ascii="Arial" w:hAnsi="Arial" w:eastAsia="Arial" w:cs="Arial"/>
          <w:color w:val="000000"/>
          <w:u w:val="single"/>
        </w:rPr>
        <w:t>02 (duas) horas</w:t>
      </w:r>
      <w:r>
        <w:rPr>
          <w:rFonts w:ascii="Arial" w:hAnsi="Arial" w:eastAsia="Arial" w:cs="Arial"/>
          <w:color w:val="000000"/>
        </w:rPr>
        <w:t xml:space="preserve"> a partir da data da comunicação de sua classificação para efetuar a recomposição de preços. </w:t>
      </w:r>
    </w:p>
    <w:p w14:paraId="247CD235">
      <w:pPr>
        <w:jc w:val="both"/>
        <w:rPr>
          <w:rFonts w:ascii="Arial" w:hAnsi="Arial" w:eastAsia="Arial" w:cs="Arial"/>
          <w:b/>
          <w:color w:val="000000"/>
        </w:rPr>
      </w:pPr>
    </w:p>
    <w:p w14:paraId="6398F698">
      <w:pPr>
        <w:jc w:val="both"/>
        <w:rPr>
          <w:rFonts w:ascii="Arial" w:hAnsi="Arial" w:eastAsia="Arial" w:cs="Arial"/>
          <w:color w:val="000000"/>
        </w:rPr>
      </w:pPr>
      <w:r>
        <w:rPr>
          <w:rFonts w:ascii="Arial" w:hAnsi="Arial" w:eastAsia="Arial" w:cs="Arial"/>
          <w:b/>
          <w:color w:val="000000"/>
        </w:rPr>
        <w:t>11.2.</w:t>
      </w:r>
      <w:r>
        <w:rPr>
          <w:rFonts w:ascii="Arial" w:hAnsi="Arial" w:eastAsia="Arial" w:cs="Arial"/>
          <w:color w:val="000000"/>
        </w:rPr>
        <w:t xml:space="preserve"> A proposta de preços realinhada deverá ser redigida com clareza em língua portuguesa, salvo quanto a expressões técnicas de uso corrente, sem alternativas, emendas, rasuras ou entrelinhas.</w:t>
      </w:r>
    </w:p>
    <w:p w14:paraId="7E392006">
      <w:pPr>
        <w:jc w:val="both"/>
        <w:rPr>
          <w:rFonts w:ascii="Arial" w:hAnsi="Arial" w:eastAsia="Arial" w:cs="Arial"/>
          <w:b/>
          <w:color w:val="000000"/>
        </w:rPr>
      </w:pPr>
      <w:r>
        <w:rPr>
          <w:rFonts w:ascii="Arial" w:hAnsi="Arial" w:eastAsia="Arial" w:cs="Arial"/>
          <w:b/>
          <w:color w:val="000000"/>
        </w:rPr>
        <w:t xml:space="preserve"> </w:t>
      </w:r>
    </w:p>
    <w:p w14:paraId="708E7B37">
      <w:pPr>
        <w:jc w:val="both"/>
        <w:rPr>
          <w:rFonts w:ascii="Arial" w:hAnsi="Arial" w:eastAsia="Arial" w:cs="Arial"/>
          <w:color w:val="000000"/>
        </w:rPr>
      </w:pPr>
      <w:r>
        <w:rPr>
          <w:rFonts w:ascii="Arial" w:hAnsi="Arial" w:eastAsia="Arial" w:cs="Arial"/>
          <w:b/>
          <w:color w:val="000000"/>
        </w:rPr>
        <w:t>11.3.</w:t>
      </w:r>
      <w:r>
        <w:rPr>
          <w:rFonts w:ascii="Arial" w:hAnsi="Arial" w:eastAsia="Arial" w:cs="Arial"/>
          <w:color w:val="000000"/>
        </w:rPr>
        <w:t xml:space="preserve"> Não serão aceitas propostas com valores unitários e totais com mais de duas casas decimais. Caso ocorra o valor deverá ser arredondado para menor.</w:t>
      </w:r>
    </w:p>
    <w:p w14:paraId="2519E2B2">
      <w:pPr>
        <w:jc w:val="both"/>
        <w:rPr>
          <w:rFonts w:ascii="Arial" w:hAnsi="Arial" w:eastAsia="Arial" w:cs="Arial"/>
          <w:color w:val="000000"/>
        </w:rPr>
      </w:pPr>
    </w:p>
    <w:p w14:paraId="6D1A87ED">
      <w:pPr>
        <w:pStyle w:val="2"/>
        <w:spacing w:before="0" w:after="0"/>
        <w:rPr>
          <w:sz w:val="20"/>
          <w:szCs w:val="20"/>
          <w:lang w:val="pt-BR"/>
        </w:rPr>
      </w:pPr>
      <w:bookmarkStart w:id="19" w:name="_heading=h.5h59il8scxof"/>
      <w:bookmarkEnd w:id="19"/>
      <w:r>
        <w:rPr>
          <w:sz w:val="20"/>
          <w:szCs w:val="20"/>
          <w:lang w:val="pt-BR"/>
        </w:rPr>
        <w:t>12. DA PARTICIPAÇÃO DE MICROEMPRESA E EMPRESA DE PEQUENO PORTE:</w:t>
      </w:r>
    </w:p>
    <w:p w14:paraId="2DDD70F5">
      <w:pPr>
        <w:jc w:val="both"/>
        <w:rPr>
          <w:rFonts w:ascii="Arial" w:hAnsi="Arial" w:eastAsia="Arial" w:cs="Arial"/>
          <w:b/>
          <w:color w:val="000000"/>
        </w:rPr>
      </w:pPr>
    </w:p>
    <w:p w14:paraId="2343232C">
      <w:pPr>
        <w:jc w:val="both"/>
        <w:rPr>
          <w:rFonts w:ascii="Arial" w:hAnsi="Arial" w:eastAsia="Arial" w:cs="Arial"/>
          <w:color w:val="000000"/>
        </w:rPr>
      </w:pPr>
      <w:r>
        <w:rPr>
          <w:rFonts w:ascii="Arial" w:hAnsi="Arial" w:eastAsia="Arial" w:cs="Arial"/>
          <w:b/>
          <w:color w:val="000000"/>
        </w:rPr>
        <w:t xml:space="preserve">12.1. </w:t>
      </w:r>
      <w:r>
        <w:rPr>
          <w:rFonts w:ascii="Arial" w:hAnsi="Arial" w:eastAsia="Arial" w:cs="Arial"/>
          <w:color w:val="000000"/>
        </w:rPr>
        <w:t>Não se aplicam os benefícios relativos ao tratamento diferenciado e favorecido em conformidade com o art. 48, inciso I e III da L.C. 123/2006. Tendo em vista a natureza do objeto a ser licitado não será aplicada o sistema de cota exclusiva.</w:t>
      </w:r>
    </w:p>
    <w:p w14:paraId="61A9235A">
      <w:pPr>
        <w:jc w:val="both"/>
        <w:rPr>
          <w:rFonts w:ascii="Arial" w:hAnsi="Arial" w:eastAsia="Arial" w:cs="Arial"/>
          <w:b/>
          <w:color w:val="000000"/>
        </w:rPr>
      </w:pPr>
    </w:p>
    <w:p w14:paraId="30BE21C4">
      <w:pPr>
        <w:jc w:val="both"/>
        <w:rPr>
          <w:rFonts w:ascii="Arial" w:hAnsi="Arial" w:eastAsia="Arial" w:cs="Arial"/>
          <w:color w:val="000000"/>
        </w:rPr>
      </w:pPr>
      <w:r>
        <w:rPr>
          <w:rFonts w:ascii="Arial" w:hAnsi="Arial" w:eastAsia="Arial" w:cs="Arial"/>
          <w:b/>
          <w:color w:val="000000"/>
        </w:rPr>
        <w:t xml:space="preserve">12.2. </w:t>
      </w:r>
      <w:r>
        <w:rPr>
          <w:rFonts w:ascii="Arial" w:hAnsi="Arial" w:eastAsia="Arial" w:cs="Arial"/>
          <w:color w:val="000000"/>
        </w:rPr>
        <w:t>Portanto, o lote será para participação ampla, será assegurado, como critério de desempate, preferência de contratação para as microempresas e empresas de pequeno porte (MPEs), obedecendo-se o procedimento de julgamento das propostas descrito neste edital.</w:t>
      </w:r>
    </w:p>
    <w:p w14:paraId="09222F87">
      <w:pPr>
        <w:jc w:val="both"/>
        <w:rPr>
          <w:rFonts w:ascii="Arial" w:hAnsi="Arial" w:eastAsia="Arial" w:cs="Arial"/>
          <w:b/>
          <w:color w:val="000000"/>
        </w:rPr>
      </w:pPr>
    </w:p>
    <w:p w14:paraId="7F8600EA">
      <w:pPr>
        <w:jc w:val="both"/>
        <w:rPr>
          <w:rFonts w:ascii="Arial" w:hAnsi="Arial" w:eastAsia="Arial" w:cs="Arial"/>
          <w:color w:val="000000"/>
        </w:rPr>
      </w:pPr>
      <w:r>
        <w:rPr>
          <w:rFonts w:ascii="Arial" w:hAnsi="Arial" w:eastAsia="Arial" w:cs="Arial"/>
          <w:b/>
          <w:color w:val="000000"/>
        </w:rPr>
        <w:t>12.3.</w:t>
      </w:r>
      <w:r>
        <w:rPr>
          <w:rFonts w:ascii="Arial" w:hAnsi="Arial" w:eastAsia="Arial" w:cs="Arial"/>
          <w:color w:val="000000"/>
        </w:rPr>
        <w:t xml:space="preserve"> </w:t>
      </w:r>
      <w:r>
        <w:rPr>
          <w:rFonts w:ascii="Arial" w:hAnsi="Arial" w:eastAsia="Arial" w:cs="Arial"/>
          <w:b/>
          <w:color w:val="000000"/>
        </w:rPr>
        <w:t>Conforme</w:t>
      </w:r>
      <w:r>
        <w:rPr>
          <w:rFonts w:ascii="Arial" w:hAnsi="Arial" w:eastAsia="Arial" w:cs="Arial"/>
          <w:color w:val="000000"/>
        </w:rPr>
        <w:t xml:space="preserve"> artigo 43, § 1º, da Lei Complementar 123/2006, lhe será assegurado o prazo legal para regularização da documentação fiscal que apresente restrições no momento da sessão pública.</w:t>
      </w:r>
    </w:p>
    <w:p w14:paraId="52DE1E06">
      <w:pPr>
        <w:jc w:val="both"/>
        <w:rPr>
          <w:rFonts w:ascii="Arial" w:hAnsi="Arial" w:eastAsia="Arial" w:cs="Arial"/>
          <w:b/>
          <w:color w:val="000000"/>
        </w:rPr>
      </w:pPr>
    </w:p>
    <w:p w14:paraId="2E32A053">
      <w:pPr>
        <w:jc w:val="both"/>
        <w:rPr>
          <w:rFonts w:ascii="Arial" w:hAnsi="Arial" w:eastAsia="Arial" w:cs="Arial"/>
          <w:color w:val="000000"/>
        </w:rPr>
      </w:pPr>
      <w:r>
        <w:rPr>
          <w:rFonts w:ascii="Arial" w:hAnsi="Arial" w:eastAsia="Arial" w:cs="Arial"/>
          <w:b/>
          <w:color w:val="000000"/>
        </w:rPr>
        <w:t>12.4. Aplica</w:t>
      </w:r>
      <w:r>
        <w:rPr>
          <w:rFonts w:ascii="Arial" w:hAnsi="Arial" w:eastAsia="Arial" w:cs="Arial"/>
          <w:color w:val="000000"/>
        </w:rPr>
        <w:t>-se às cooperativas os benefícios da LC 123/2006 com base no artigo 34 da lei 11.488/2007.</w:t>
      </w:r>
    </w:p>
    <w:p w14:paraId="673D6951">
      <w:pPr>
        <w:jc w:val="both"/>
        <w:rPr>
          <w:rFonts w:ascii="Arial" w:hAnsi="Arial" w:eastAsia="Arial" w:cs="Arial"/>
          <w:b/>
          <w:color w:val="000000"/>
        </w:rPr>
      </w:pPr>
    </w:p>
    <w:p w14:paraId="39FE281C">
      <w:pPr>
        <w:pStyle w:val="2"/>
        <w:spacing w:before="0" w:after="0"/>
        <w:rPr>
          <w:sz w:val="20"/>
          <w:szCs w:val="20"/>
          <w:lang w:val="pt-BR"/>
        </w:rPr>
      </w:pPr>
      <w:bookmarkStart w:id="20" w:name="_heading=h.6xzn9cg2j98"/>
      <w:bookmarkEnd w:id="20"/>
      <w:r>
        <w:rPr>
          <w:sz w:val="20"/>
          <w:szCs w:val="20"/>
          <w:lang w:val="pt-BR"/>
        </w:rPr>
        <w:t xml:space="preserve">13. DOS DOCUMENTOS EXIGIDOS PARA HABILITAÇÃO:  </w:t>
      </w:r>
    </w:p>
    <w:p w14:paraId="66559249">
      <w:pPr>
        <w:jc w:val="both"/>
        <w:rPr>
          <w:rFonts w:ascii="Arial" w:hAnsi="Arial" w:eastAsia="Arial" w:cs="Arial"/>
          <w:b/>
        </w:rPr>
      </w:pPr>
    </w:p>
    <w:p w14:paraId="7BD9EBBC">
      <w:pPr>
        <w:jc w:val="both"/>
        <w:rPr>
          <w:rFonts w:ascii="Arial" w:hAnsi="Arial" w:eastAsia="Arial" w:cs="Arial"/>
        </w:rPr>
      </w:pPr>
      <w:r>
        <w:rPr>
          <w:rFonts w:ascii="Arial" w:hAnsi="Arial" w:eastAsia="Arial" w:cs="Arial"/>
          <w:b/>
        </w:rPr>
        <w:t>13.1.</w:t>
      </w:r>
      <w:r>
        <w:rPr>
          <w:rFonts w:ascii="Arial" w:hAnsi="Arial" w:eastAsia="Arial" w:cs="Arial"/>
        </w:rPr>
        <w:t xml:space="preserve"> Os documentos de habilitação deverão ser apresentados junto com a proposta no momento inicial da sessão, conforme disposto neste edital, tendo em vista a adoção da inversão de fases, nos termos do §1º do art. 17 da Lei nº 14.133/2021. Os documentos deverão ser anexados na plataforma BLL até o início da sessão pública.</w:t>
      </w:r>
    </w:p>
    <w:p w14:paraId="723576BE">
      <w:pPr>
        <w:jc w:val="both"/>
        <w:rPr>
          <w:rFonts w:ascii="Arial" w:hAnsi="Arial" w:eastAsia="Arial" w:cs="Arial"/>
        </w:rPr>
      </w:pPr>
    </w:p>
    <w:p w14:paraId="08194326">
      <w:pPr>
        <w:jc w:val="both"/>
        <w:rPr>
          <w:rFonts w:ascii="Arial" w:hAnsi="Arial" w:eastAsia="Arial" w:cs="Arial"/>
          <w:b/>
          <w:color w:val="000000"/>
        </w:rPr>
      </w:pPr>
      <w:r>
        <w:rPr>
          <w:rFonts w:ascii="Arial" w:hAnsi="Arial" w:eastAsia="Arial" w:cs="Arial"/>
          <w:b/>
          <w:color w:val="000000"/>
        </w:rPr>
        <w:t xml:space="preserve">13.2 A DOCUMENTAÇÃO RELATIVA À HABILITAÇÃO JURÍDICA CONSISTE EM: </w:t>
      </w:r>
    </w:p>
    <w:p w14:paraId="4C31C07A">
      <w:pPr>
        <w:jc w:val="both"/>
        <w:rPr>
          <w:rFonts w:ascii="Arial" w:hAnsi="Arial" w:eastAsia="Arial" w:cs="Arial"/>
        </w:rPr>
      </w:pPr>
    </w:p>
    <w:p w14:paraId="2BB1E096">
      <w:pPr>
        <w:jc w:val="both"/>
      </w:pPr>
      <w:r>
        <w:rPr>
          <w:rFonts w:ascii="Arial" w:hAnsi="Arial" w:eastAsia="Arial" w:cs="Arial"/>
          <w:b/>
        </w:rPr>
        <w:t xml:space="preserve">13.2.1. </w:t>
      </w:r>
      <w:r>
        <w:rPr>
          <w:rFonts w:ascii="Arial" w:hAnsi="Arial" w:eastAsia="Arial" w:cs="Arial"/>
        </w:rPr>
        <w:t>No caso de empresário individual, inscrição no Registro Público de Empresas Mercantis, a cargo da Junta Comercial da respectiva sede; Microempreendedor Individual - MEI: Certificado da Condição de Microempreendedor Individual - CCMEI</w:t>
      </w:r>
    </w:p>
    <w:p w14:paraId="6201B348">
      <w:pPr>
        <w:jc w:val="both"/>
        <w:rPr>
          <w:rFonts w:ascii="Arial" w:hAnsi="Arial" w:eastAsia="Arial" w:cs="Arial"/>
          <w:b/>
        </w:rPr>
      </w:pPr>
    </w:p>
    <w:p w14:paraId="7647B45C">
      <w:pPr>
        <w:jc w:val="both"/>
      </w:pPr>
      <w:r>
        <w:rPr>
          <w:rFonts w:ascii="Arial" w:hAnsi="Arial" w:eastAsia="Arial" w:cs="Arial"/>
          <w:b/>
        </w:rPr>
        <w:t>13.2.2.</w:t>
      </w:r>
      <w:r>
        <w:rPr>
          <w:rFonts w:ascii="Arial" w:hAnsi="Arial" w:eastAsia="Arial" w:cs="Arial"/>
        </w:rPr>
        <w:t xml:space="preserve">  Ato constitutivo, estatuto ou contrato social e alterações em vigor, devidamente registrado, em se tratando de sociedades comerciais e, no caso de sociedades por ações, acompanhado de documentos de eleição de seus administradores; </w:t>
      </w:r>
    </w:p>
    <w:p w14:paraId="37DF1A25">
      <w:pPr>
        <w:jc w:val="both"/>
        <w:rPr>
          <w:rFonts w:ascii="Arial" w:hAnsi="Arial" w:eastAsia="Arial" w:cs="Arial"/>
        </w:rPr>
      </w:pPr>
    </w:p>
    <w:p w14:paraId="04FAC680">
      <w:pPr>
        <w:jc w:val="both"/>
      </w:pPr>
      <w:r>
        <w:rPr>
          <w:rFonts w:ascii="Arial" w:hAnsi="Arial" w:eastAsia="Arial" w:cs="Arial"/>
          <w:b/>
        </w:rPr>
        <w:t>13.2.3.</w:t>
      </w:r>
      <w:r>
        <w:rPr>
          <w:rFonts w:ascii="Arial" w:hAnsi="Arial" w:eastAsia="Arial" w:cs="Arial"/>
        </w:rPr>
        <w:t xml:space="preserve">  Inscrição do ato constitutivo, no caso de sociedades civis, acompanhada de prova de diretoria em exercício; </w:t>
      </w:r>
    </w:p>
    <w:p w14:paraId="239DD3CD">
      <w:pPr>
        <w:jc w:val="both"/>
        <w:rPr>
          <w:rFonts w:ascii="Arial" w:hAnsi="Arial" w:eastAsia="Arial" w:cs="Arial"/>
        </w:rPr>
      </w:pPr>
    </w:p>
    <w:p w14:paraId="78D314E5">
      <w:pPr>
        <w:jc w:val="both"/>
      </w:pPr>
      <w:r>
        <w:rPr>
          <w:rFonts w:ascii="Arial" w:hAnsi="Arial" w:eastAsia="Arial" w:cs="Arial"/>
          <w:b/>
        </w:rPr>
        <w:t>13.2.4.</w:t>
      </w:r>
      <w:r>
        <w:rPr>
          <w:rFonts w:ascii="Arial" w:hAnsi="Arial" w:eastAsia="Arial" w:cs="Arial"/>
        </w:rPr>
        <w:t xml:space="preserve"> Decreto de autorização, em se tratando de empresa ou sociedade estrangeira em funcionamento no País, e ato de registro ou autorização para funcionamento expedido pelo Órgão competente, quando a atividade assim o exigir; </w:t>
      </w:r>
    </w:p>
    <w:p w14:paraId="54D58296">
      <w:pPr>
        <w:jc w:val="both"/>
        <w:rPr>
          <w:rFonts w:ascii="Arial" w:hAnsi="Arial" w:eastAsia="Arial" w:cs="Arial"/>
        </w:rPr>
      </w:pPr>
    </w:p>
    <w:p w14:paraId="1DFF95D4">
      <w:pPr>
        <w:jc w:val="both"/>
        <w:rPr>
          <w:rFonts w:ascii="Arial" w:hAnsi="Arial" w:eastAsia="Arial" w:cs="Arial"/>
        </w:rPr>
      </w:pPr>
      <w:r>
        <w:rPr>
          <w:rFonts w:ascii="Arial" w:hAnsi="Arial" w:eastAsia="Arial" w:cs="Arial"/>
          <w:b/>
        </w:rPr>
        <w:t>13.2.5.</w:t>
      </w:r>
      <w:r>
        <w:rPr>
          <w:rFonts w:ascii="Arial" w:hAnsi="Arial" w:eastAsia="Arial" w:cs="Arial"/>
        </w:rPr>
        <w:t xml:space="preserve"> Cópia do documento de Identidade e CPF dos Representantes Legais da empresa; sociedade cooperativa: ata de fundação e estatuto social em vigor, com a ata da assembleia que o aprovou, devidamente arquivado na Junta Comercial da respectiva sede, bem como o registro de que trata o art. 107 da Lei nº 5.764, de 1971.</w:t>
      </w:r>
    </w:p>
    <w:p w14:paraId="7123979E">
      <w:pPr>
        <w:tabs>
          <w:tab w:val="left" w:pos="7605"/>
        </w:tabs>
        <w:jc w:val="both"/>
        <w:rPr>
          <w:rFonts w:ascii="Arial" w:hAnsi="Arial" w:eastAsia="Arial" w:cs="Arial"/>
        </w:rPr>
      </w:pPr>
      <w:r>
        <w:rPr>
          <w:rFonts w:ascii="Arial" w:hAnsi="Arial" w:eastAsia="Arial" w:cs="Arial"/>
        </w:rPr>
        <w:tab/>
      </w:r>
    </w:p>
    <w:p w14:paraId="7D7C6BAD">
      <w:pPr>
        <w:jc w:val="both"/>
        <w:rPr>
          <w:rFonts w:ascii="Arial" w:hAnsi="Arial" w:eastAsia="Arial" w:cs="Arial"/>
          <w:b/>
        </w:rPr>
      </w:pPr>
      <w:r>
        <w:rPr>
          <w:rFonts w:ascii="Arial" w:hAnsi="Arial" w:eastAsia="Arial" w:cs="Arial"/>
          <w:b/>
        </w:rPr>
        <w:t xml:space="preserve">13.3. DA COMPROVAÇÃO DE LOCALIZAÇÃO E FUNCIONAMENTO: </w:t>
      </w:r>
    </w:p>
    <w:p w14:paraId="293BBF9D">
      <w:pPr>
        <w:jc w:val="both"/>
        <w:rPr>
          <w:rFonts w:ascii="Arial" w:hAnsi="Arial" w:eastAsia="Arial" w:cs="Arial"/>
          <w:b/>
        </w:rPr>
      </w:pPr>
    </w:p>
    <w:p w14:paraId="7432B5EF">
      <w:pPr>
        <w:jc w:val="both"/>
        <w:rPr>
          <w:rFonts w:ascii="Arial" w:hAnsi="Arial" w:eastAsia="Arial" w:cs="Arial"/>
          <w:color w:val="000000"/>
        </w:rPr>
      </w:pPr>
      <w:r>
        <w:rPr>
          <w:rFonts w:ascii="Arial" w:hAnsi="Arial" w:eastAsia="Arial" w:cs="Arial"/>
          <w:b/>
          <w:color w:val="000000"/>
        </w:rPr>
        <w:t>13.3.1</w:t>
      </w:r>
      <w:r>
        <w:rPr>
          <w:rFonts w:ascii="Arial" w:hAnsi="Arial" w:eastAsia="Arial" w:cs="Arial"/>
          <w:color w:val="000000"/>
        </w:rPr>
        <w:t>. Alvará de Localização e Funcionamento.</w:t>
      </w:r>
    </w:p>
    <w:p w14:paraId="587A921A">
      <w:pPr>
        <w:numPr>
          <w:ilvl w:val="0"/>
          <w:numId w:val="2"/>
        </w:numPr>
        <w:spacing w:before="280" w:after="280"/>
        <w:jc w:val="both"/>
        <w:rPr>
          <w:rFonts w:ascii="Arial" w:hAnsi="Arial" w:eastAsia="Arial" w:cs="Arial"/>
        </w:rPr>
      </w:pPr>
      <w:r>
        <w:rPr>
          <w:rFonts w:ascii="Arial" w:hAnsi="Arial" w:eastAsia="Arial" w:cs="Arial"/>
        </w:rPr>
        <w:t xml:space="preserve">Considerando que a presente licitação tem por objeto a </w:t>
      </w:r>
      <w:r>
        <w:rPr>
          <w:rFonts w:ascii="Arial" w:hAnsi="Arial" w:eastAsia="Arial" w:cs="Arial"/>
          <w:b/>
        </w:rPr>
        <w:t>Contratação de empresa especializada na prestação de serviços de nutrição e fornecimento de alimentação escolar</w:t>
      </w:r>
      <w:r>
        <w:rPr>
          <w:rFonts w:ascii="Arial" w:hAnsi="Arial" w:eastAsia="Arial" w:cs="Arial"/>
        </w:rPr>
        <w:t xml:space="preserve">, a exigência do </w:t>
      </w:r>
      <w:r>
        <w:rPr>
          <w:rFonts w:ascii="Arial" w:hAnsi="Arial" w:eastAsia="Arial" w:cs="Arial"/>
          <w:b/>
        </w:rPr>
        <w:t>alvará de localização e funcionamento</w:t>
      </w:r>
      <w:r>
        <w:rPr>
          <w:rFonts w:ascii="Arial" w:hAnsi="Arial" w:eastAsia="Arial" w:cs="Arial"/>
        </w:rPr>
        <w:t xml:space="preserve"> se justifica pela necessidade de comprovação de que a empresa possui </w:t>
      </w:r>
      <w:r>
        <w:rPr>
          <w:rFonts w:ascii="Arial" w:hAnsi="Arial" w:eastAsia="Arial" w:cs="Arial"/>
          <w:b/>
        </w:rPr>
        <w:t>instalação física regularizada</w:t>
      </w:r>
      <w:r>
        <w:rPr>
          <w:rFonts w:ascii="Arial" w:hAnsi="Arial" w:eastAsia="Arial" w:cs="Arial"/>
        </w:rPr>
        <w:t xml:space="preserve"> e </w:t>
      </w:r>
      <w:r>
        <w:rPr>
          <w:rFonts w:ascii="Arial" w:hAnsi="Arial" w:eastAsia="Arial" w:cs="Arial"/>
          <w:b/>
        </w:rPr>
        <w:t>aptidão legal para exercer atividades conforme o objeto a ser adquirido</w:t>
      </w:r>
      <w:r>
        <w:rPr>
          <w:rFonts w:ascii="Arial" w:hAnsi="Arial" w:eastAsia="Arial" w:cs="Arial"/>
        </w:rPr>
        <w:t xml:space="preserve">, garantindo maior segurança quanto à capacidade operacional do fornecedor. </w:t>
      </w:r>
    </w:p>
    <w:p w14:paraId="7143C815">
      <w:pPr>
        <w:jc w:val="both"/>
        <w:rPr>
          <w:rFonts w:ascii="Arial" w:hAnsi="Arial" w:eastAsia="Arial" w:cs="Arial"/>
          <w:b/>
        </w:rPr>
      </w:pPr>
      <w:r>
        <w:rPr>
          <w:rFonts w:ascii="Arial" w:hAnsi="Arial" w:eastAsia="Arial" w:cs="Arial"/>
          <w:b/>
        </w:rPr>
        <w:t xml:space="preserve">13.4. A DOCUMENTAÇÃO RELATIVA À QUALIFICAÇÃO ECOCÔMICA-FINANCEIRA CONSISTE EM: </w:t>
      </w:r>
    </w:p>
    <w:p w14:paraId="505FC943">
      <w:pPr>
        <w:jc w:val="both"/>
        <w:rPr>
          <w:rFonts w:ascii="Arial" w:hAnsi="Arial" w:eastAsia="Arial" w:cs="Arial"/>
        </w:rPr>
      </w:pPr>
    </w:p>
    <w:p w14:paraId="05B8DE18">
      <w:pPr>
        <w:jc w:val="both"/>
        <w:rPr>
          <w:rFonts w:ascii="Arial" w:hAnsi="Arial" w:eastAsia="Arial" w:cs="Arial"/>
          <w:color w:val="000000"/>
        </w:rPr>
      </w:pPr>
      <w:r>
        <w:rPr>
          <w:rFonts w:ascii="Arial" w:hAnsi="Arial" w:eastAsia="Arial" w:cs="Arial"/>
          <w:b/>
          <w:color w:val="000000"/>
        </w:rPr>
        <w:t>13.4.1.</w:t>
      </w:r>
      <w:r>
        <w:rPr>
          <w:rFonts w:ascii="Arial" w:hAnsi="Arial" w:eastAsia="Arial" w:cs="Arial"/>
          <w:color w:val="000000"/>
        </w:rPr>
        <w:t xml:space="preserve"> Certidão negativa de falência, expedida pelo distribuidor da sede da pessoa jurídica, se houver determinação nesse sentido, em data não superior a 60 (sessenta) dias da data designada para apresentação do documento, exceto se outro prazo constar do referido documento; </w:t>
      </w:r>
    </w:p>
    <w:p w14:paraId="202CEE86">
      <w:pPr>
        <w:jc w:val="both"/>
        <w:rPr>
          <w:rFonts w:ascii="Arial" w:hAnsi="Arial" w:eastAsia="Arial" w:cs="Arial"/>
          <w:color w:val="000000"/>
        </w:rPr>
      </w:pPr>
    </w:p>
    <w:p w14:paraId="76C7602B">
      <w:pPr>
        <w:jc w:val="both"/>
        <w:rPr>
          <w:rFonts w:ascii="Arial" w:hAnsi="Arial" w:eastAsia="Arial" w:cs="Arial"/>
          <w:color w:val="000000"/>
        </w:rPr>
      </w:pPr>
      <w:r>
        <w:rPr>
          <w:rFonts w:ascii="Arial" w:hAnsi="Arial" w:eastAsia="Arial" w:cs="Arial"/>
          <w:color w:val="000000"/>
        </w:rPr>
        <w:t xml:space="preserve">13.4.2. Com a finalidade de evitar duplicidade de informações, toda a documentação relativa à qualificação econômico-financeira exigida ficará devidamente detalhada no </w:t>
      </w:r>
      <w:r>
        <w:rPr>
          <w:rFonts w:ascii="Arial" w:hAnsi="Arial" w:eastAsia="Arial" w:cs="Arial"/>
          <w:b/>
          <w:color w:val="000000"/>
        </w:rPr>
        <w:t>Termo de Referência, que integra o presente edital como anexo</w:t>
      </w:r>
      <w:r>
        <w:rPr>
          <w:rFonts w:ascii="Arial" w:hAnsi="Arial" w:eastAsia="Arial" w:cs="Arial"/>
          <w:color w:val="000000"/>
        </w:rPr>
        <w:t>, contemplando de forma clara e objetiva todas as informações, requisitos e exigências necessários ao atendimento das condições de habilitação.</w:t>
      </w:r>
    </w:p>
    <w:p w14:paraId="59C15B7D">
      <w:pPr>
        <w:jc w:val="both"/>
        <w:rPr>
          <w:rFonts w:ascii="Arial" w:hAnsi="Arial" w:eastAsia="Arial" w:cs="Arial"/>
          <w:color w:val="000000"/>
        </w:rPr>
      </w:pPr>
    </w:p>
    <w:p w14:paraId="69DFACA4">
      <w:pPr>
        <w:jc w:val="both"/>
        <w:rPr>
          <w:rFonts w:ascii="Arial" w:hAnsi="Arial" w:eastAsia="Arial" w:cs="Arial"/>
          <w:b/>
        </w:rPr>
      </w:pPr>
      <w:r>
        <w:rPr>
          <w:rFonts w:ascii="Arial" w:hAnsi="Arial" w:eastAsia="Arial" w:cs="Arial"/>
          <w:b/>
        </w:rPr>
        <w:t>13.5. A DOCUMENTAÇÃO RELATIVA À REGULARIDADE FISCAL E TRABALHISTA CONSISTE EM:</w:t>
      </w:r>
    </w:p>
    <w:p w14:paraId="44EEEE70">
      <w:pPr>
        <w:jc w:val="both"/>
        <w:rPr>
          <w:rFonts w:ascii="Arial" w:hAnsi="Arial" w:eastAsia="Arial" w:cs="Arial"/>
          <w:b/>
          <w:color w:val="000000"/>
        </w:rPr>
      </w:pPr>
    </w:p>
    <w:p w14:paraId="1D3E16E1">
      <w:pPr>
        <w:jc w:val="both"/>
        <w:rPr>
          <w:rFonts w:ascii="Arial" w:hAnsi="Arial" w:eastAsia="Arial" w:cs="Arial"/>
          <w:color w:val="000000"/>
        </w:rPr>
      </w:pPr>
      <w:r>
        <w:rPr>
          <w:rFonts w:ascii="Arial" w:hAnsi="Arial" w:eastAsia="Arial" w:cs="Arial"/>
          <w:b/>
          <w:color w:val="000000"/>
        </w:rPr>
        <w:t>13.5.1</w:t>
      </w:r>
      <w:r>
        <w:rPr>
          <w:rFonts w:ascii="Arial" w:hAnsi="Arial" w:eastAsia="Arial" w:cs="Arial"/>
          <w:color w:val="000000"/>
        </w:rPr>
        <w:t>. Prova de inscrição no Cadastro Nacional de Pessoas Jurídicas (CNPJ);</w:t>
      </w:r>
    </w:p>
    <w:p w14:paraId="7200878F">
      <w:pPr>
        <w:jc w:val="both"/>
        <w:rPr>
          <w:rFonts w:ascii="Arial" w:hAnsi="Arial" w:eastAsia="Arial" w:cs="Arial"/>
        </w:rPr>
      </w:pPr>
    </w:p>
    <w:p w14:paraId="195D6047">
      <w:pPr>
        <w:jc w:val="both"/>
        <w:rPr>
          <w:rFonts w:ascii="Arial" w:hAnsi="Arial" w:eastAsia="Arial" w:cs="Arial"/>
          <w:color w:val="000000"/>
        </w:rPr>
      </w:pPr>
      <w:r>
        <w:rPr>
          <w:rFonts w:ascii="Arial" w:hAnsi="Arial" w:eastAsia="Arial" w:cs="Arial"/>
          <w:b/>
          <w:color w:val="000000"/>
        </w:rPr>
        <w:t>13.5.2.</w:t>
      </w:r>
      <w:r>
        <w:rPr>
          <w:rFonts w:ascii="Arial" w:hAnsi="Arial" w:eastAsia="Arial" w:cs="Arial"/>
          <w:color w:val="000000"/>
        </w:rPr>
        <w:t xml:space="preserve"> Prova de Inscrição no Cadastro de Contribuinte Estadual, relativo à sede da licitante, pertinente ao seu ramo de atividade e compatível com o objeto do certame.</w:t>
      </w:r>
    </w:p>
    <w:p w14:paraId="2E4349DA">
      <w:pPr>
        <w:jc w:val="both"/>
        <w:rPr>
          <w:rFonts w:ascii="Arial" w:hAnsi="Arial" w:eastAsia="Arial" w:cs="Arial"/>
        </w:rPr>
      </w:pPr>
    </w:p>
    <w:p w14:paraId="667503AA">
      <w:pPr>
        <w:jc w:val="both"/>
        <w:rPr>
          <w:rFonts w:ascii="Arial" w:hAnsi="Arial" w:eastAsia="Arial" w:cs="Arial"/>
          <w:color w:val="000000"/>
        </w:rPr>
      </w:pPr>
      <w:r>
        <w:rPr>
          <w:rFonts w:ascii="Arial" w:hAnsi="Arial" w:eastAsia="Arial" w:cs="Arial"/>
          <w:b/>
          <w:color w:val="000000"/>
        </w:rPr>
        <w:t>13.5.3.</w:t>
      </w:r>
      <w:r>
        <w:rPr>
          <w:rFonts w:ascii="Arial" w:hAnsi="Arial" w:eastAsia="Arial" w:cs="Arial"/>
          <w:color w:val="000000"/>
        </w:rPr>
        <w:t xml:space="preserve"> Certidão Negativa de Débitos expedida conjuntamente pela Secretaria da Receita Federal do Brasil (RFB) e pela Procuradoria-Geral da Fazenda Nacional (PGFN), referente a todos os créditos tributários federais e à Dívida Ativa da União (DAU) por elas administrados, inclusive os créditos tributários relativos às Contribuições Sociais previstas nas alíneas “a”, “b”, e “c” do parágrafo único do art. 11 da Lei nº 8.212, de 24 de julho de 1991, às contribuições instituídas a título de substituição, e às contribuições devidas, por lei, a terceiros;</w:t>
      </w:r>
    </w:p>
    <w:p w14:paraId="321A77EF">
      <w:pPr>
        <w:jc w:val="both"/>
        <w:rPr>
          <w:rFonts w:ascii="Arial" w:hAnsi="Arial" w:eastAsia="Arial" w:cs="Arial"/>
        </w:rPr>
      </w:pPr>
    </w:p>
    <w:p w14:paraId="3C77EA3C">
      <w:pPr>
        <w:jc w:val="both"/>
        <w:rPr>
          <w:rFonts w:ascii="Arial" w:hAnsi="Arial" w:eastAsia="Arial" w:cs="Arial"/>
          <w:color w:val="000000"/>
        </w:rPr>
      </w:pPr>
      <w:r>
        <w:rPr>
          <w:rFonts w:ascii="Arial" w:hAnsi="Arial" w:eastAsia="Arial" w:cs="Arial"/>
          <w:b/>
          <w:color w:val="000000"/>
        </w:rPr>
        <w:t>13.5.4.</w:t>
      </w:r>
      <w:r>
        <w:rPr>
          <w:rFonts w:ascii="Arial" w:hAnsi="Arial" w:eastAsia="Arial" w:cs="Arial"/>
          <w:color w:val="000000"/>
        </w:rPr>
        <w:t xml:space="preserve"> Certidão Negativa de Débitos Fiscal com a Fazenda Estadual, emitida pela Agência Fazendária da Secretaria de estado de fazenda do respectivo domicílio tributário;</w:t>
      </w:r>
    </w:p>
    <w:p w14:paraId="5F61D48A">
      <w:pPr>
        <w:jc w:val="both"/>
        <w:rPr>
          <w:rFonts w:ascii="Arial" w:hAnsi="Arial" w:eastAsia="Arial" w:cs="Arial"/>
        </w:rPr>
      </w:pPr>
    </w:p>
    <w:p w14:paraId="47239CAE">
      <w:pPr>
        <w:jc w:val="both"/>
        <w:rPr>
          <w:rFonts w:ascii="Arial" w:hAnsi="Arial" w:eastAsia="Arial" w:cs="Arial"/>
          <w:color w:val="000000"/>
        </w:rPr>
      </w:pPr>
      <w:r>
        <w:rPr>
          <w:rFonts w:ascii="Arial" w:hAnsi="Arial" w:eastAsia="Arial" w:cs="Arial"/>
          <w:b/>
          <w:color w:val="000000"/>
        </w:rPr>
        <w:t>13.5.5.</w:t>
      </w:r>
      <w:r>
        <w:rPr>
          <w:rFonts w:ascii="Arial" w:hAnsi="Arial" w:eastAsia="Arial" w:cs="Arial"/>
          <w:color w:val="000000"/>
        </w:rPr>
        <w:t xml:space="preserve"> Certidão Negativa de Débitos referentes aos tributos municipais, expedida pela Secretaria Municipal da Fazenda ou Finanças do respectivo domicílio tributário;</w:t>
      </w:r>
    </w:p>
    <w:p w14:paraId="3C3EA44A">
      <w:pPr>
        <w:jc w:val="both"/>
        <w:rPr>
          <w:rFonts w:ascii="Arial" w:hAnsi="Arial" w:eastAsia="Arial" w:cs="Arial"/>
        </w:rPr>
      </w:pPr>
    </w:p>
    <w:p w14:paraId="4A3185FF">
      <w:pPr>
        <w:jc w:val="both"/>
        <w:rPr>
          <w:rFonts w:ascii="Arial" w:hAnsi="Arial" w:eastAsia="Arial" w:cs="Arial"/>
          <w:color w:val="000000"/>
        </w:rPr>
      </w:pPr>
      <w:r>
        <w:rPr>
          <w:rFonts w:ascii="Arial" w:hAnsi="Arial" w:eastAsia="Arial" w:cs="Arial"/>
          <w:b/>
          <w:color w:val="000000"/>
        </w:rPr>
        <w:t>13.5.6.</w:t>
      </w:r>
      <w:r>
        <w:rPr>
          <w:rFonts w:ascii="Arial" w:hAnsi="Arial" w:eastAsia="Arial" w:cs="Arial"/>
          <w:color w:val="000000"/>
        </w:rPr>
        <w:t xml:space="preserve"> Certificado de Regularidade de Situação para com o Fundo de Garantia de Tempo de Serviço (CRF/FGTS), emitida pela Caixa Econômica Federal;</w:t>
      </w:r>
    </w:p>
    <w:p w14:paraId="68EE5CAE">
      <w:pPr>
        <w:jc w:val="both"/>
        <w:rPr>
          <w:rFonts w:ascii="Arial" w:hAnsi="Arial" w:eastAsia="Arial" w:cs="Arial"/>
          <w:b/>
        </w:rPr>
      </w:pPr>
    </w:p>
    <w:p w14:paraId="1B665F46">
      <w:pPr>
        <w:jc w:val="both"/>
        <w:rPr>
          <w:rFonts w:ascii="Arial" w:hAnsi="Arial" w:eastAsia="Arial" w:cs="Arial"/>
          <w:color w:val="000000"/>
        </w:rPr>
      </w:pPr>
      <w:r>
        <w:rPr>
          <w:rFonts w:ascii="Arial" w:hAnsi="Arial" w:eastAsia="Arial" w:cs="Arial"/>
          <w:b/>
          <w:color w:val="000000"/>
        </w:rPr>
        <w:t>13.5.7.</w:t>
      </w:r>
      <w:r>
        <w:rPr>
          <w:rFonts w:ascii="Arial" w:hAnsi="Arial" w:eastAsia="Arial" w:cs="Arial"/>
          <w:color w:val="000000"/>
        </w:rPr>
        <w:t xml:space="preserve"> Certidão Negativa de Debito Trabalhista (CNDT), perante a Justiça do Trabalho, redação dada pela Lei nº 12.440/2011. (Obtida através do site: </w:t>
      </w:r>
      <w:r>
        <w:fldChar w:fldCharType="begin"/>
      </w:r>
      <w:r>
        <w:instrText xml:space="preserve"> HYPERLINK "http://www.tst.jus.br/" \h </w:instrText>
      </w:r>
      <w:r>
        <w:fldChar w:fldCharType="separate"/>
      </w:r>
      <w:r>
        <w:rPr>
          <w:rFonts w:ascii="Arial" w:hAnsi="Arial" w:eastAsia="Arial" w:cs="Arial"/>
          <w:color w:val="000000"/>
        </w:rPr>
        <w:t>www.tst.jus.br</w:t>
      </w:r>
      <w:r>
        <w:rPr>
          <w:rFonts w:ascii="Arial" w:hAnsi="Arial" w:eastAsia="Arial" w:cs="Arial"/>
          <w:color w:val="000000"/>
        </w:rPr>
        <w:fldChar w:fldCharType="end"/>
      </w:r>
      <w:r>
        <w:rPr>
          <w:rFonts w:ascii="Arial" w:hAnsi="Arial" w:eastAsia="Arial" w:cs="Arial"/>
          <w:color w:val="000000"/>
        </w:rPr>
        <w:t>).</w:t>
      </w:r>
    </w:p>
    <w:p w14:paraId="4161AEA9">
      <w:pPr>
        <w:jc w:val="both"/>
        <w:rPr>
          <w:rFonts w:ascii="Arial" w:hAnsi="Arial" w:eastAsia="Arial" w:cs="Arial"/>
          <w:color w:val="000000"/>
        </w:rPr>
      </w:pPr>
    </w:p>
    <w:p w14:paraId="5B766601">
      <w:pPr>
        <w:jc w:val="both"/>
        <w:rPr>
          <w:rFonts w:ascii="Arial" w:hAnsi="Arial" w:eastAsia="Arial" w:cs="Arial"/>
          <w:color w:val="000000"/>
        </w:rPr>
      </w:pPr>
      <w:r>
        <w:rPr>
          <w:rFonts w:ascii="Arial" w:hAnsi="Arial" w:eastAsia="Arial" w:cs="Arial"/>
          <w:color w:val="000000"/>
        </w:rPr>
        <w:t>13.5.8. Prova de Regularidade na Contratação de Pessoas com Deficiência e Reabilitados da Previdência Social;</w:t>
      </w:r>
    </w:p>
    <w:p w14:paraId="683421AE">
      <w:pPr>
        <w:jc w:val="both"/>
        <w:rPr>
          <w:rFonts w:ascii="Arial" w:hAnsi="Arial" w:eastAsia="Arial" w:cs="Arial"/>
          <w:b/>
        </w:rPr>
      </w:pPr>
    </w:p>
    <w:p w14:paraId="32FD10F0">
      <w:pPr>
        <w:jc w:val="both"/>
        <w:rPr>
          <w:rFonts w:ascii="Arial" w:hAnsi="Arial" w:eastAsia="Arial" w:cs="Arial"/>
        </w:rPr>
      </w:pPr>
      <w:r>
        <w:rPr>
          <w:rFonts w:ascii="Arial" w:hAnsi="Arial" w:eastAsia="Arial" w:cs="Arial"/>
          <w:b/>
        </w:rPr>
        <w:t>Observação:</w:t>
      </w:r>
      <w:r>
        <w:rPr>
          <w:rFonts w:ascii="Arial" w:hAnsi="Arial" w:eastAsia="Arial" w:cs="Arial"/>
        </w:rPr>
        <w:t xml:space="preserve"> As microempresas, empresas de pequeno porte, </w:t>
      </w:r>
      <w:r>
        <w:rPr>
          <w:rFonts w:ascii="Arial" w:hAnsi="Arial" w:eastAsia="Arial" w:cs="Arial"/>
          <w:color w:val="000000"/>
        </w:rPr>
        <w:t>e as sociedades cooperativas,</w:t>
      </w:r>
      <w:r>
        <w:rPr>
          <w:rFonts w:ascii="Arial" w:hAnsi="Arial" w:eastAsia="Arial" w:cs="Arial"/>
        </w:rPr>
        <w:t xml:space="preserve"> deverão apresentar toda a documentação exigida para efeito de comprovação de regularidade fiscal</w:t>
      </w:r>
      <w:r>
        <w:rPr>
          <w:rFonts w:ascii="Arial" w:hAnsi="Arial" w:eastAsia="Arial" w:cs="Arial"/>
          <w:color w:val="FF0000"/>
        </w:rPr>
        <w:t xml:space="preserve"> </w:t>
      </w:r>
      <w:r>
        <w:rPr>
          <w:rFonts w:ascii="Arial" w:hAnsi="Arial" w:eastAsia="Arial" w:cs="Arial"/>
        </w:rPr>
        <w:t xml:space="preserve">e trabalhista, mesmo que está apresente alguma restrição. </w:t>
      </w:r>
    </w:p>
    <w:p w14:paraId="317FA347">
      <w:pPr>
        <w:jc w:val="both"/>
        <w:rPr>
          <w:rFonts w:ascii="Arial" w:hAnsi="Arial" w:eastAsia="Arial" w:cs="Arial"/>
        </w:rPr>
      </w:pPr>
    </w:p>
    <w:p w14:paraId="08A79757">
      <w:pPr>
        <w:jc w:val="both"/>
        <w:rPr>
          <w:rFonts w:ascii="Arial" w:hAnsi="Arial" w:eastAsia="Arial" w:cs="Arial"/>
        </w:rPr>
      </w:pPr>
      <w:r>
        <w:rPr>
          <w:rFonts w:ascii="Arial" w:hAnsi="Arial" w:eastAsia="Arial" w:cs="Arial"/>
          <w:b/>
        </w:rPr>
        <w:t xml:space="preserve">a) </w:t>
      </w:r>
      <w:r>
        <w:rPr>
          <w:rFonts w:ascii="Arial" w:hAnsi="Arial" w:eastAsia="Arial" w:cs="Arial"/>
        </w:rPr>
        <w:t>Havendo alguma restrição na comprovação da regularidade fiscal e trabalhista, será assegurado o prazo de 5 (cinco) dias úteis, cujo termo inicial corresponderá ao momento em que o proponente for declarado o vencedor do certame, prorrogável por igual período, a critério da administração pública, para a regularização da documentação, pagamento ou parcelamento do débito e emissão de eventuais certidões negativas ou positivas com efeito de certidão negativa. (Art. 43, §1º LC 123/2006).</w:t>
      </w:r>
    </w:p>
    <w:p w14:paraId="20658F18">
      <w:pPr>
        <w:jc w:val="both"/>
        <w:rPr>
          <w:rFonts w:ascii="Arial" w:hAnsi="Arial" w:eastAsia="Arial" w:cs="Arial"/>
        </w:rPr>
      </w:pPr>
    </w:p>
    <w:p w14:paraId="732F3ED1">
      <w:pPr>
        <w:jc w:val="both"/>
        <w:rPr>
          <w:rFonts w:ascii="Arial" w:hAnsi="Arial" w:eastAsia="Arial" w:cs="Arial"/>
          <w:color w:val="000000"/>
        </w:rPr>
      </w:pPr>
      <w:r>
        <w:rPr>
          <w:rFonts w:ascii="Arial" w:hAnsi="Arial" w:eastAsia="Arial" w:cs="Arial"/>
          <w:b/>
          <w:color w:val="000000"/>
        </w:rPr>
        <w:t>b)</w:t>
      </w:r>
      <w:r>
        <w:rPr>
          <w:rFonts w:ascii="Arial" w:hAnsi="Arial" w:eastAsia="Arial" w:cs="Arial"/>
          <w:color w:val="000000"/>
        </w:rPr>
        <w:t xml:space="preserve"> A prorrogação do prazo prevista na alínea “a”, poderá ser concedida, a critério da administração pública, quando requerida pelo licitante, mediante apresentação de justificativa.</w:t>
      </w:r>
    </w:p>
    <w:p w14:paraId="7689D37B">
      <w:pPr>
        <w:jc w:val="both"/>
        <w:rPr>
          <w:rFonts w:ascii="Arial" w:hAnsi="Arial" w:eastAsia="Arial" w:cs="Arial"/>
          <w:color w:val="000000"/>
        </w:rPr>
      </w:pPr>
    </w:p>
    <w:p w14:paraId="208303C1">
      <w:pPr>
        <w:jc w:val="both"/>
        <w:rPr>
          <w:rFonts w:ascii="Arial" w:hAnsi="Arial" w:eastAsia="Arial" w:cs="Arial"/>
          <w:color w:val="000000"/>
        </w:rPr>
      </w:pPr>
      <w:r>
        <w:rPr>
          <w:rFonts w:ascii="Arial" w:hAnsi="Arial" w:eastAsia="Arial" w:cs="Arial"/>
          <w:b/>
          <w:color w:val="000000"/>
        </w:rPr>
        <w:t>c)</w:t>
      </w:r>
      <w:r>
        <w:rPr>
          <w:rFonts w:ascii="Arial" w:hAnsi="Arial" w:eastAsia="Arial" w:cs="Arial"/>
          <w:color w:val="000000"/>
        </w:rPr>
        <w:t xml:space="preserve"> A não regularização da documentação no prazo previsto na alínea “a”, implicará na decadência do direito à contratação, sem prejuízo das sanções previstas em Lei, sendo facultado à Administração convocar para nova sessão pública os licitantes remanescentes, na ordem de classificação, para contratação, ou revogar a licitação. </w:t>
      </w:r>
    </w:p>
    <w:p w14:paraId="5D33D682">
      <w:pPr>
        <w:jc w:val="both"/>
        <w:rPr>
          <w:rFonts w:ascii="Arial" w:hAnsi="Arial" w:eastAsia="Arial" w:cs="Arial"/>
          <w:color w:val="000000"/>
        </w:rPr>
      </w:pPr>
    </w:p>
    <w:p w14:paraId="28B91970">
      <w:pPr>
        <w:jc w:val="both"/>
        <w:rPr>
          <w:rFonts w:ascii="Arial" w:hAnsi="Arial" w:eastAsia="Arial" w:cs="Arial"/>
          <w:b/>
          <w:color w:val="000000"/>
        </w:rPr>
      </w:pPr>
      <w:r>
        <w:rPr>
          <w:rFonts w:ascii="Arial" w:hAnsi="Arial" w:eastAsia="Arial" w:cs="Arial"/>
          <w:b/>
          <w:color w:val="000000"/>
        </w:rPr>
        <w:t>13.6. QUALIFICAÇÃO TÉCNICA:</w:t>
      </w:r>
    </w:p>
    <w:p w14:paraId="601199DA">
      <w:pPr>
        <w:jc w:val="both"/>
        <w:rPr>
          <w:rFonts w:ascii="Arial" w:hAnsi="Arial" w:eastAsia="Arial" w:cs="Arial"/>
          <w:b/>
          <w:color w:val="000000"/>
        </w:rPr>
      </w:pPr>
    </w:p>
    <w:p w14:paraId="1E483AEE">
      <w:pPr>
        <w:jc w:val="both"/>
        <w:rPr>
          <w:rFonts w:ascii="Arial" w:hAnsi="Arial" w:eastAsia="Arial" w:cs="Arial"/>
          <w:b/>
          <w:color w:val="000000"/>
        </w:rPr>
      </w:pPr>
      <w:r>
        <w:rPr>
          <w:b/>
        </w:rPr>
        <w:t>13.6.1</w:t>
      </w:r>
      <w:r>
        <w:t xml:space="preserve">. </w:t>
      </w:r>
      <w:r>
        <w:rPr>
          <w:rFonts w:ascii="Arial" w:hAnsi="Arial" w:eastAsia="Arial" w:cs="Arial"/>
        </w:rPr>
        <w:t xml:space="preserve">Com a finalidade de evitar duplicidade de informações, toda a documentação relativa à qualificação técnica exigida ficará devidamente detalhada no </w:t>
      </w:r>
      <w:r>
        <w:rPr>
          <w:rFonts w:ascii="Arial" w:hAnsi="Arial" w:eastAsia="Arial" w:cs="Arial"/>
          <w:b/>
        </w:rPr>
        <w:t>Termo de Referência, que integra o presente edital como anexo</w:t>
      </w:r>
      <w:r>
        <w:rPr>
          <w:rFonts w:ascii="Arial" w:hAnsi="Arial" w:eastAsia="Arial" w:cs="Arial"/>
        </w:rPr>
        <w:t>, contemplando de forma clara e objetiva todas as informações, requisitos e exigências necessários ao atendimento das condições de habilitação.</w:t>
      </w:r>
    </w:p>
    <w:p w14:paraId="5409842B">
      <w:pPr>
        <w:jc w:val="both"/>
        <w:rPr>
          <w:rFonts w:ascii="Arial" w:hAnsi="Arial" w:eastAsia="Arial" w:cs="Arial"/>
          <w:b/>
          <w:color w:val="000000"/>
        </w:rPr>
      </w:pPr>
    </w:p>
    <w:p w14:paraId="0C2038F2">
      <w:pPr>
        <w:jc w:val="both"/>
        <w:rPr>
          <w:rFonts w:ascii="Arial" w:hAnsi="Arial" w:eastAsia="Arial" w:cs="Arial"/>
          <w:b/>
          <w:color w:val="000000"/>
        </w:rPr>
      </w:pPr>
      <w:r>
        <w:rPr>
          <w:rFonts w:ascii="Arial" w:hAnsi="Arial" w:eastAsia="Arial" w:cs="Arial"/>
          <w:b/>
          <w:color w:val="000000"/>
        </w:rPr>
        <w:t>DAS COMPROVAÇÕES COMPLEMENTARES ESPECIAIS:</w:t>
      </w:r>
    </w:p>
    <w:p w14:paraId="4B354ECA">
      <w:pPr>
        <w:jc w:val="both"/>
        <w:rPr>
          <w:rFonts w:ascii="Arial" w:hAnsi="Arial" w:eastAsia="Arial" w:cs="Arial"/>
          <w:b/>
          <w:color w:val="000000"/>
          <w:u w:val="single"/>
        </w:rPr>
      </w:pPr>
      <w:r>
        <w:rPr>
          <w:rFonts w:ascii="Arial" w:hAnsi="Arial" w:eastAsia="Arial" w:cs="Arial"/>
          <w:b/>
          <w:color w:val="000000"/>
        </w:rPr>
        <w:br w:type="textWrapping"/>
      </w:r>
      <w:r>
        <w:rPr>
          <w:rFonts w:ascii="Arial" w:hAnsi="Arial" w:eastAsia="Arial" w:cs="Arial"/>
          <w:b/>
          <w:color w:val="000000"/>
        </w:rPr>
        <w:t>13.6.2. O LICITANTE DEVERÁ DECLARAR, QUE:</w:t>
      </w:r>
    </w:p>
    <w:p w14:paraId="571C8209">
      <w:pPr>
        <w:jc w:val="both"/>
        <w:rPr>
          <w:rFonts w:ascii="Arial" w:hAnsi="Arial" w:eastAsia="Arial" w:cs="Arial"/>
          <w:color w:val="000000"/>
        </w:rPr>
      </w:pPr>
    </w:p>
    <w:p w14:paraId="7BB56743">
      <w:pPr>
        <w:jc w:val="both"/>
        <w:rPr>
          <w:rFonts w:ascii="Arial" w:hAnsi="Arial" w:eastAsia="Arial" w:cs="Arial"/>
          <w:color w:val="000000"/>
        </w:rPr>
      </w:pPr>
      <w:r>
        <w:rPr>
          <w:rFonts w:ascii="Arial" w:hAnsi="Arial" w:eastAsia="Arial" w:cs="Arial"/>
          <w:b/>
          <w:color w:val="000000"/>
        </w:rPr>
        <w:t>13.6.2.1.</w:t>
      </w:r>
      <w:r>
        <w:rPr>
          <w:rFonts w:ascii="Arial" w:hAnsi="Arial" w:eastAsia="Arial" w:cs="Arial"/>
          <w:color w:val="000000"/>
        </w:rPr>
        <w:t xml:space="preserve"> Está ciente e concorda com as condições contidas no edital e seus anexos, bem como de que a proposta apresentada compreende a integralidade dos custos para atendimento dos direitos trabalhistas assegurados na Constituição Federal, nas leis trabalhistas, nas normas infra legais, nas convenções coletivas de trabalho e nos termos de ajustamento de conduta vigentes na data de sua entrega em definitivo e que cumpre plenamente os requisitos de habilitação definidos no instrumento convocatório;</w:t>
      </w:r>
    </w:p>
    <w:p w14:paraId="794766EE">
      <w:pPr>
        <w:jc w:val="both"/>
        <w:rPr>
          <w:rFonts w:ascii="Arial" w:hAnsi="Arial" w:eastAsia="Arial" w:cs="Arial"/>
          <w:b/>
          <w:color w:val="000000"/>
        </w:rPr>
      </w:pPr>
    </w:p>
    <w:p w14:paraId="4344A063">
      <w:pPr>
        <w:jc w:val="both"/>
        <w:rPr>
          <w:rFonts w:ascii="Arial" w:hAnsi="Arial" w:eastAsia="Arial" w:cs="Arial"/>
          <w:color w:val="000000"/>
        </w:rPr>
      </w:pPr>
      <w:r>
        <w:rPr>
          <w:rFonts w:ascii="Arial" w:hAnsi="Arial" w:eastAsia="Arial" w:cs="Arial"/>
          <w:b/>
          <w:color w:val="000000"/>
        </w:rPr>
        <w:t>13.6.2.2.</w:t>
      </w:r>
      <w:r>
        <w:rPr>
          <w:rFonts w:ascii="Arial" w:hAnsi="Arial" w:eastAsia="Arial" w:cs="Arial"/>
          <w:color w:val="000000"/>
        </w:rPr>
        <w:t xml:space="preserve"> Não emprega menor de 18 anos em trabalho noturno, perigoso ou insalubre e não emprega menor de 16 anos, em qualquer trabalho, salvo menor, a partir de 14 anos, na condição de aprendiz, nos termos do </w:t>
      </w:r>
      <w:r>
        <w:fldChar w:fldCharType="begin"/>
      </w:r>
      <w:r>
        <w:instrText xml:space="preserve"> HYPERLINK "https://www.planalto.gov.br/ccivil_03/constituicao/constituicaocompilado.htm" \l "art7" </w:instrText>
      </w:r>
      <w:r>
        <w:fldChar w:fldCharType="separate"/>
      </w:r>
      <w:r>
        <w:rPr>
          <w:rFonts w:ascii="Arial" w:hAnsi="Arial" w:eastAsia="Arial" w:cs="Arial"/>
          <w:color w:val="000000"/>
        </w:rPr>
        <w:t>artigo 7°, XXXIII da Constituição</w:t>
      </w:r>
      <w:r>
        <w:rPr>
          <w:rFonts w:ascii="Arial" w:hAnsi="Arial" w:eastAsia="Arial" w:cs="Arial"/>
          <w:color w:val="000000"/>
        </w:rPr>
        <w:fldChar w:fldCharType="end"/>
      </w:r>
      <w:r>
        <w:rPr>
          <w:rFonts w:ascii="Arial" w:hAnsi="Arial" w:eastAsia="Arial" w:cs="Arial"/>
          <w:color w:val="000000"/>
        </w:rPr>
        <w:t xml:space="preserve"> Federal, </w:t>
      </w:r>
      <w:r>
        <w:rPr>
          <w:rFonts w:ascii="Arial" w:hAnsi="Arial" w:eastAsia="Arial" w:cs="Arial"/>
        </w:rPr>
        <w:t xml:space="preserve">bem como, no </w:t>
      </w:r>
      <w:r>
        <w:rPr>
          <w:rFonts w:ascii="Arial" w:hAnsi="Arial" w:eastAsia="Arial" w:cs="Arial"/>
          <w:color w:val="000000"/>
        </w:rPr>
        <w:t>artigo 68, inciso VI, da Lei nº 14.133/2021;</w:t>
      </w:r>
    </w:p>
    <w:p w14:paraId="3AC9CD68">
      <w:pPr>
        <w:jc w:val="both"/>
        <w:rPr>
          <w:rFonts w:ascii="Arial" w:hAnsi="Arial" w:eastAsia="Arial" w:cs="Arial"/>
          <w:color w:val="000000"/>
        </w:rPr>
      </w:pPr>
    </w:p>
    <w:p w14:paraId="6AD9E7A5">
      <w:pPr>
        <w:jc w:val="both"/>
        <w:rPr>
          <w:rFonts w:ascii="Arial" w:hAnsi="Arial" w:eastAsia="Arial" w:cs="Arial"/>
          <w:color w:val="000000"/>
        </w:rPr>
      </w:pPr>
      <w:r>
        <w:rPr>
          <w:rFonts w:ascii="Arial" w:hAnsi="Arial" w:eastAsia="Arial" w:cs="Arial"/>
          <w:b/>
          <w:color w:val="000000"/>
        </w:rPr>
        <w:t>13.6.2.3.</w:t>
      </w:r>
      <w:r>
        <w:rPr>
          <w:rFonts w:ascii="Arial" w:hAnsi="Arial" w:eastAsia="Arial" w:cs="Arial"/>
          <w:color w:val="000000"/>
        </w:rPr>
        <w:t xml:space="preserve"> Não possui empregados executando trabalho degradante ou forçado, observando o disposto nos </w:t>
      </w:r>
      <w:r>
        <w:fldChar w:fldCharType="begin"/>
      </w:r>
      <w:r>
        <w:instrText xml:space="preserve"> HYPERLINK "https://www.planalto.gov.br/ccivil_03/constituicao/constituicaocompilado.htm" \h </w:instrText>
      </w:r>
      <w:r>
        <w:fldChar w:fldCharType="separate"/>
      </w:r>
      <w:r>
        <w:rPr>
          <w:rFonts w:ascii="Arial" w:hAnsi="Arial" w:eastAsia="Arial" w:cs="Arial"/>
          <w:color w:val="000000"/>
        </w:rPr>
        <w:t>incisos III e IV do art. 1º e no inciso III do art. 5º da Constituição Federal</w:t>
      </w:r>
      <w:r>
        <w:rPr>
          <w:rFonts w:ascii="Arial" w:hAnsi="Arial" w:eastAsia="Arial" w:cs="Arial"/>
          <w:color w:val="000000"/>
        </w:rPr>
        <w:fldChar w:fldCharType="end"/>
      </w:r>
      <w:r>
        <w:rPr>
          <w:rFonts w:ascii="Arial" w:hAnsi="Arial" w:eastAsia="Arial" w:cs="Arial"/>
          <w:color w:val="000000"/>
        </w:rPr>
        <w:t xml:space="preserve">, </w:t>
      </w:r>
      <w:r>
        <w:rPr>
          <w:rFonts w:ascii="Arial" w:hAnsi="Arial" w:eastAsia="Arial" w:cs="Arial"/>
        </w:rPr>
        <w:t>bem como no art. 14, inciso VI da Lei nº 14.133/2021.</w:t>
      </w:r>
    </w:p>
    <w:p w14:paraId="44988F1D">
      <w:pPr>
        <w:jc w:val="both"/>
        <w:rPr>
          <w:color w:val="000000"/>
        </w:rPr>
      </w:pPr>
    </w:p>
    <w:p w14:paraId="2BB73436">
      <w:pPr>
        <w:jc w:val="both"/>
        <w:rPr>
          <w:rFonts w:ascii="Arial" w:hAnsi="Arial" w:eastAsia="Arial" w:cs="Arial"/>
          <w:color w:val="000000"/>
        </w:rPr>
      </w:pPr>
      <w:r>
        <w:rPr>
          <w:rFonts w:ascii="Arial" w:hAnsi="Arial" w:eastAsia="Arial" w:cs="Arial"/>
          <w:b/>
          <w:color w:val="000000"/>
        </w:rPr>
        <w:t>13.6.2.4.</w:t>
      </w:r>
      <w:r>
        <w:rPr>
          <w:rFonts w:ascii="Arial" w:hAnsi="Arial" w:eastAsia="Arial" w:cs="Arial"/>
          <w:color w:val="000000"/>
        </w:rPr>
        <w:t xml:space="preserve"> Cumpre as exigências de reserva de cargos para pessoa com deficiência e para reabilitado da Previdência Social, previstas em lei e em outras normas específicas;</w:t>
      </w:r>
    </w:p>
    <w:p w14:paraId="2E5ACBF1">
      <w:pPr>
        <w:jc w:val="both"/>
        <w:rPr>
          <w:rFonts w:ascii="Arial" w:hAnsi="Arial" w:eastAsia="Arial" w:cs="Arial"/>
          <w:color w:val="000000"/>
        </w:rPr>
      </w:pPr>
    </w:p>
    <w:p w14:paraId="6C4EAB99">
      <w:pPr>
        <w:jc w:val="both"/>
        <w:rPr>
          <w:rFonts w:ascii="Arial" w:hAnsi="Arial" w:eastAsia="Arial" w:cs="Arial"/>
        </w:rPr>
      </w:pPr>
      <w:r>
        <w:rPr>
          <w:rFonts w:ascii="Arial" w:hAnsi="Arial" w:eastAsia="Arial" w:cs="Arial"/>
          <w:b/>
          <w:color w:val="000000"/>
        </w:rPr>
        <w:t>13.6.2.5.</w:t>
      </w:r>
      <w:r>
        <w:rPr>
          <w:rFonts w:ascii="Arial" w:hAnsi="Arial" w:eastAsia="Arial" w:cs="Arial"/>
          <w:color w:val="000000"/>
        </w:rPr>
        <w:t xml:space="preserve"> N</w:t>
      </w:r>
      <w:r>
        <w:rPr>
          <w:rFonts w:ascii="Arial" w:hAnsi="Arial" w:eastAsia="Arial" w:cs="Arial"/>
        </w:rPr>
        <w:t xml:space="preserve">ão possui em seu quadro de pessoal e societário, servidor público do Poder Executivo Estadual exercendo funções de gerência ou administração, conforme art. 1, inciso X da Lei Complementar Estadual nº 04/1990, ou servidor do Órgão/Entidade contratante em qualquer função, nos termos do art. 9º, §1º da Lei Federal nº 14.133/2021; </w:t>
      </w:r>
    </w:p>
    <w:p w14:paraId="2119FEA0">
      <w:pPr>
        <w:jc w:val="both"/>
        <w:rPr>
          <w:rFonts w:ascii="Arial" w:hAnsi="Arial" w:eastAsia="Arial" w:cs="Arial"/>
          <w:color w:val="000000"/>
        </w:rPr>
      </w:pPr>
    </w:p>
    <w:p w14:paraId="7D4A0548">
      <w:pPr>
        <w:jc w:val="both"/>
        <w:rPr>
          <w:rFonts w:ascii="Arial" w:hAnsi="Arial" w:eastAsia="Arial" w:cs="Arial"/>
          <w:color w:val="000000"/>
        </w:rPr>
      </w:pPr>
      <w:r>
        <w:rPr>
          <w:rFonts w:ascii="Arial" w:hAnsi="Arial" w:eastAsia="Arial" w:cs="Arial"/>
          <w:b/>
        </w:rPr>
        <w:t>13.6.2.6.</w:t>
      </w:r>
      <w:r>
        <w:rPr>
          <w:rFonts w:ascii="Arial" w:hAnsi="Arial" w:eastAsia="Arial" w:cs="Arial"/>
        </w:rPr>
        <w:t xml:space="preserve"> O licitante enquadrado como microempresa, empresa de pequeno porte ou sociedade cooperativa deverá</w:t>
      </w:r>
      <w:r>
        <w:rPr>
          <w:rFonts w:ascii="Arial" w:hAnsi="Arial" w:eastAsia="Arial" w:cs="Arial"/>
          <w:color w:val="000000"/>
        </w:rPr>
        <w:t xml:space="preserve"> declarar, que cumpre os requisitos estabelecidos no </w:t>
      </w:r>
      <w:r>
        <w:fldChar w:fldCharType="begin"/>
      </w:r>
      <w:r>
        <w:instrText xml:space="preserve"> HYPERLINK "https://www.planalto.gov.br/ccivil_03/leis/lcp/lcp123.htm" \l "art3" </w:instrText>
      </w:r>
      <w:r>
        <w:fldChar w:fldCharType="separate"/>
      </w:r>
      <w:r>
        <w:rPr>
          <w:rFonts w:ascii="Arial" w:hAnsi="Arial" w:eastAsia="Arial" w:cs="Arial"/>
          <w:color w:val="000000"/>
        </w:rPr>
        <w:t>artigo 3° da Lei Complementar nº 123, de 2006</w:t>
      </w:r>
      <w:r>
        <w:rPr>
          <w:rFonts w:ascii="Arial" w:hAnsi="Arial" w:eastAsia="Arial" w:cs="Arial"/>
          <w:color w:val="000000"/>
        </w:rPr>
        <w:fldChar w:fldCharType="end"/>
      </w:r>
      <w:r>
        <w:rPr>
          <w:rFonts w:ascii="Arial" w:hAnsi="Arial" w:eastAsia="Arial" w:cs="Arial"/>
          <w:color w:val="000000"/>
        </w:rPr>
        <w:t xml:space="preserve">, estando apto a usufruir do tratamento favorecido estabelecido em seus </w:t>
      </w:r>
      <w:r>
        <w:fldChar w:fldCharType="begin"/>
      </w:r>
      <w:r>
        <w:instrText xml:space="preserve"> HYPERLINK "https://www.planalto.gov.br/ccivil_03/leis/lcp/lcp123.htm" \l "art42" </w:instrText>
      </w:r>
      <w:r>
        <w:fldChar w:fldCharType="separate"/>
      </w:r>
      <w:r>
        <w:rPr>
          <w:rFonts w:ascii="Arial" w:hAnsi="Arial" w:eastAsia="Arial" w:cs="Arial"/>
          <w:color w:val="000000"/>
        </w:rPr>
        <w:t>arts. 42 a 49</w:t>
      </w:r>
      <w:r>
        <w:rPr>
          <w:rFonts w:ascii="Arial" w:hAnsi="Arial" w:eastAsia="Arial" w:cs="Arial"/>
          <w:color w:val="000000"/>
        </w:rPr>
        <w:fldChar w:fldCharType="end"/>
      </w:r>
      <w:r>
        <w:rPr>
          <w:rFonts w:ascii="Arial" w:hAnsi="Arial" w:eastAsia="Arial" w:cs="Arial"/>
          <w:color w:val="000000"/>
        </w:rPr>
        <w:t xml:space="preserve">, observado o disposto nos </w:t>
      </w:r>
      <w:r>
        <w:fldChar w:fldCharType="begin"/>
      </w:r>
      <w:r>
        <w:instrText xml:space="preserve"> HYPERLINK "http://www.planalto.gov.br/ccivil_03/_ato2019-2022/2021/lei/L14133.htm" \l "art4§1" </w:instrText>
      </w:r>
      <w:r>
        <w:fldChar w:fldCharType="separate"/>
      </w:r>
      <w:r>
        <w:rPr>
          <w:rFonts w:ascii="Arial" w:hAnsi="Arial" w:eastAsia="Arial" w:cs="Arial"/>
          <w:color w:val="000000"/>
        </w:rPr>
        <w:t>§§ 1º ao 3º do art. 4º, da Lei n.º 14.133, de 2021;</w:t>
      </w:r>
      <w:r>
        <w:rPr>
          <w:rFonts w:ascii="Arial" w:hAnsi="Arial" w:eastAsia="Arial" w:cs="Arial"/>
          <w:color w:val="000000"/>
        </w:rPr>
        <w:fldChar w:fldCharType="end"/>
      </w:r>
    </w:p>
    <w:p w14:paraId="1BB98E19">
      <w:pPr>
        <w:jc w:val="both"/>
        <w:rPr>
          <w:rFonts w:ascii="Arial" w:hAnsi="Arial" w:eastAsia="Arial" w:cs="Arial"/>
          <w:b/>
          <w:color w:val="000000"/>
        </w:rPr>
      </w:pPr>
    </w:p>
    <w:p w14:paraId="388D2123">
      <w:pPr>
        <w:jc w:val="both"/>
        <w:rPr>
          <w:rFonts w:ascii="Arial" w:hAnsi="Arial" w:eastAsia="Arial" w:cs="Arial"/>
          <w:color w:val="000000"/>
        </w:rPr>
      </w:pPr>
      <w:r>
        <w:rPr>
          <w:rFonts w:ascii="Arial" w:hAnsi="Arial" w:eastAsia="Arial" w:cs="Arial"/>
          <w:b/>
          <w:color w:val="000000"/>
        </w:rPr>
        <w:t>13.6.2.7.</w:t>
      </w:r>
      <w:r>
        <w:rPr>
          <w:rFonts w:ascii="Arial" w:hAnsi="Arial" w:eastAsia="Arial" w:cs="Arial"/>
          <w:color w:val="000000"/>
        </w:rPr>
        <w:t xml:space="preserve"> O licitante organizado em cooperativa deverá declarar, ainda que, cumpre os requisitos estabelecidos no </w:t>
      </w:r>
      <w:r>
        <w:fldChar w:fldCharType="begin"/>
      </w:r>
      <w:r>
        <w:instrText xml:space="preserve"> HYPERLINK "http://www.planalto.gov.br/ccivil_03/_ato2019-2022/2021/lei/L14133.htm" \l "art16" </w:instrText>
      </w:r>
      <w:r>
        <w:fldChar w:fldCharType="separate"/>
      </w:r>
      <w:r>
        <w:rPr>
          <w:rFonts w:ascii="Arial" w:hAnsi="Arial" w:eastAsia="Arial" w:cs="Arial"/>
          <w:color w:val="000000"/>
        </w:rPr>
        <w:t>artigo 16 da Lei nº 14.133, de 2021</w:t>
      </w:r>
      <w:r>
        <w:rPr>
          <w:rFonts w:ascii="Arial" w:hAnsi="Arial" w:eastAsia="Arial" w:cs="Arial"/>
          <w:color w:val="000000"/>
        </w:rPr>
        <w:fldChar w:fldCharType="end"/>
      </w:r>
      <w:r>
        <w:rPr>
          <w:rFonts w:ascii="Arial" w:hAnsi="Arial" w:eastAsia="Arial" w:cs="Arial"/>
          <w:color w:val="000000"/>
        </w:rPr>
        <w:t>;</w:t>
      </w:r>
    </w:p>
    <w:p w14:paraId="193CFD34">
      <w:pPr>
        <w:jc w:val="both"/>
        <w:rPr>
          <w:rFonts w:ascii="Arial" w:hAnsi="Arial" w:eastAsia="Arial" w:cs="Arial"/>
          <w:color w:val="000000"/>
        </w:rPr>
      </w:pPr>
    </w:p>
    <w:p w14:paraId="53CA844A">
      <w:pPr>
        <w:jc w:val="both"/>
        <w:rPr>
          <w:rFonts w:ascii="Arial" w:hAnsi="Arial" w:eastAsia="Arial" w:cs="Arial"/>
          <w:color w:val="000000"/>
        </w:rPr>
      </w:pPr>
      <w:r>
        <w:rPr>
          <w:rFonts w:ascii="Arial" w:hAnsi="Arial" w:eastAsia="Arial" w:cs="Arial"/>
          <w:b/>
          <w:color w:val="000000"/>
        </w:rPr>
        <w:t xml:space="preserve">13.6.2.8. </w:t>
      </w:r>
      <w:r>
        <w:rPr>
          <w:rFonts w:ascii="Arial" w:hAnsi="Arial" w:eastAsia="Arial" w:cs="Arial"/>
          <w:color w:val="000000"/>
        </w:rPr>
        <w:t>Que não há sanções vigentes que legalmente proíbam a participante de licitar e/ou contratar com o Órgão/Entidade contratante;</w:t>
      </w:r>
    </w:p>
    <w:p w14:paraId="1B41E0E7">
      <w:pPr>
        <w:jc w:val="both"/>
        <w:rPr>
          <w:rFonts w:ascii="Arial" w:hAnsi="Arial" w:eastAsia="Arial" w:cs="Arial"/>
          <w:color w:val="000000"/>
        </w:rPr>
      </w:pPr>
    </w:p>
    <w:p w14:paraId="495DC579">
      <w:pPr>
        <w:jc w:val="both"/>
        <w:rPr>
          <w:rFonts w:ascii="Arial" w:hAnsi="Arial" w:eastAsia="Arial" w:cs="Arial"/>
          <w:color w:val="000000"/>
        </w:rPr>
      </w:pPr>
      <w:r>
        <w:rPr>
          <w:rFonts w:ascii="Arial" w:hAnsi="Arial" w:eastAsia="Arial" w:cs="Arial"/>
          <w:b/>
          <w:color w:val="000000"/>
        </w:rPr>
        <w:t>13.6.2.9.</w:t>
      </w:r>
      <w:r>
        <w:rPr>
          <w:rFonts w:ascii="Arial" w:hAnsi="Arial" w:eastAsia="Arial" w:cs="Arial"/>
          <w:color w:val="000000"/>
        </w:rPr>
        <w:t xml:space="preserve"> O declarante </w:t>
      </w:r>
      <w:r>
        <w:rPr>
          <w:rFonts w:ascii="Arial" w:hAnsi="Arial" w:eastAsia="Arial" w:cs="Arial"/>
        </w:rPr>
        <w:t>responderá</w:t>
      </w:r>
      <w:r>
        <w:rPr>
          <w:rFonts w:ascii="Arial" w:hAnsi="Arial" w:eastAsia="Arial" w:cs="Arial"/>
          <w:color w:val="000000"/>
        </w:rPr>
        <w:t xml:space="preserve"> pela </w:t>
      </w:r>
      <w:r>
        <w:rPr>
          <w:rFonts w:ascii="Arial" w:hAnsi="Arial" w:eastAsia="Arial" w:cs="Arial"/>
        </w:rPr>
        <w:t>veracidade</w:t>
      </w:r>
      <w:r>
        <w:rPr>
          <w:rFonts w:ascii="Arial" w:hAnsi="Arial" w:eastAsia="Arial" w:cs="Arial"/>
          <w:color w:val="000000"/>
        </w:rPr>
        <w:t xml:space="preserve"> das informações prestadas, sujeitando-se às sanções previstas na forma da lei, e neste Edital.</w:t>
      </w:r>
    </w:p>
    <w:p w14:paraId="2D6D9EB5">
      <w:pPr>
        <w:jc w:val="both"/>
        <w:rPr>
          <w:rFonts w:ascii="Arial" w:hAnsi="Arial" w:eastAsia="Arial" w:cs="Arial"/>
          <w:color w:val="000000"/>
        </w:rPr>
      </w:pPr>
    </w:p>
    <w:p w14:paraId="616E40DF">
      <w:pPr>
        <w:jc w:val="both"/>
      </w:pPr>
      <w:r>
        <w:rPr>
          <w:rFonts w:ascii="Arial" w:hAnsi="Arial" w:eastAsia="Arial" w:cs="Arial"/>
          <w:b/>
          <w:color w:val="000000"/>
        </w:rPr>
        <w:t xml:space="preserve">NOTA: </w:t>
      </w:r>
      <w:r>
        <w:rPr>
          <w:rFonts w:ascii="Arial" w:hAnsi="Arial" w:eastAsia="Arial" w:cs="Arial"/>
        </w:rPr>
        <w:t>AS COMPROVAÇÕES</w:t>
      </w:r>
      <w:r>
        <w:rPr>
          <w:rFonts w:ascii="Arial" w:hAnsi="Arial" w:eastAsia="Arial" w:cs="Arial"/>
          <w:b/>
          <w:color w:val="000000"/>
          <w:u w:val="single"/>
        </w:rPr>
        <w:t xml:space="preserve"> CONTIDAS NO ITEM 13.6. A CRITÉRIO DO LICITANTE PODERÃO SEREM APRESENTADAS EM UMA ÚNICA FOLHA, CONFORME MODELO SUGERIDO NO ANEXO V</w:t>
      </w:r>
      <w:r>
        <w:rPr>
          <w:rFonts w:ascii="Arial" w:hAnsi="Arial" w:eastAsia="Arial" w:cs="Arial"/>
          <w:b/>
          <w:color w:val="000000"/>
        </w:rPr>
        <w:t>.</w:t>
      </w:r>
    </w:p>
    <w:p w14:paraId="5DBB90EA">
      <w:pPr>
        <w:jc w:val="both"/>
        <w:rPr>
          <w:rFonts w:ascii="Arial" w:hAnsi="Arial" w:eastAsia="Arial" w:cs="Arial"/>
          <w:color w:val="000000"/>
        </w:rPr>
      </w:pPr>
    </w:p>
    <w:p w14:paraId="7FB33C0B">
      <w:pPr>
        <w:jc w:val="both"/>
        <w:rPr>
          <w:rFonts w:ascii="Arial" w:hAnsi="Arial" w:eastAsia="Arial" w:cs="Arial"/>
          <w:b/>
        </w:rPr>
      </w:pPr>
      <w:r>
        <w:rPr>
          <w:rFonts w:ascii="Arial" w:hAnsi="Arial" w:eastAsia="Arial" w:cs="Arial"/>
          <w:b/>
        </w:rPr>
        <w:t>13.7. DA REALIZAÇÃO DE CONSULTA EM NOME DA LICITANTE E TAMBÉM DE EVENTUAL MATRIZ OU FILIAL E DE SEUS SÓCIOS JUNTO AO:</w:t>
      </w:r>
    </w:p>
    <w:p w14:paraId="1A136670">
      <w:pPr>
        <w:jc w:val="both"/>
        <w:rPr>
          <w:rFonts w:ascii="Arial" w:hAnsi="Arial" w:eastAsia="Arial" w:cs="Arial"/>
          <w:b/>
        </w:rPr>
      </w:pPr>
    </w:p>
    <w:p w14:paraId="754D94A6">
      <w:pPr>
        <w:jc w:val="both"/>
        <w:rPr>
          <w:rFonts w:ascii="Arial" w:hAnsi="Arial" w:eastAsia="Arial" w:cs="Arial"/>
          <w:color w:val="000000"/>
        </w:rPr>
      </w:pPr>
      <w:r>
        <w:rPr>
          <w:rFonts w:ascii="Arial" w:hAnsi="Arial" w:eastAsia="Arial" w:cs="Arial"/>
          <w:b/>
        </w:rPr>
        <w:t>13.7.1.</w:t>
      </w:r>
      <w:r>
        <w:rPr>
          <w:rFonts w:ascii="Arial" w:hAnsi="Arial" w:eastAsia="Arial" w:cs="Arial"/>
        </w:rPr>
        <w:t xml:space="preserve"> </w:t>
      </w:r>
      <w:r>
        <w:rPr>
          <w:rFonts w:ascii="Arial" w:hAnsi="Arial" w:eastAsia="Arial" w:cs="Arial"/>
          <w:color w:val="000000"/>
        </w:rPr>
        <w:t xml:space="preserve">Cadastro Nacional de Condenações Cíveis por Atos de Improbidade Administrativa, mantido pelo Conselho Nacional de Justiça – CNJ, no endereço eletrônico </w:t>
      </w:r>
      <w:r>
        <w:fldChar w:fldCharType="begin"/>
      </w:r>
      <w:r>
        <w:instrText xml:space="preserve"> HYPERLINK "http://www.cnj.jus.br/improbidade_adm/consultar_requerido.php" \h </w:instrText>
      </w:r>
      <w:r>
        <w:fldChar w:fldCharType="separate"/>
      </w:r>
      <w:r>
        <w:rPr>
          <w:rFonts w:ascii="Arial" w:hAnsi="Arial" w:eastAsia="Arial" w:cs="Arial"/>
          <w:color w:val="2E74B5"/>
          <w:u w:val="single"/>
        </w:rPr>
        <w:t>www.cnj.jus.br/improbidade_adm/consultar_requerido.php</w:t>
      </w:r>
      <w:r>
        <w:rPr>
          <w:rFonts w:ascii="Arial" w:hAnsi="Arial" w:eastAsia="Arial" w:cs="Arial"/>
          <w:color w:val="2E74B5"/>
          <w:u w:val="single"/>
        </w:rPr>
        <w:fldChar w:fldCharType="end"/>
      </w:r>
      <w:r>
        <w:rPr>
          <w:rFonts w:ascii="Arial" w:hAnsi="Arial" w:eastAsia="Arial" w:cs="Arial"/>
          <w:color w:val="000000"/>
        </w:rPr>
        <w:t>;</w:t>
      </w:r>
    </w:p>
    <w:p w14:paraId="3C4CACD3">
      <w:pPr>
        <w:jc w:val="both"/>
        <w:rPr>
          <w:rFonts w:ascii="Arial" w:hAnsi="Arial" w:eastAsia="Arial" w:cs="Arial"/>
          <w:color w:val="000000"/>
        </w:rPr>
      </w:pPr>
    </w:p>
    <w:p w14:paraId="648EF2B1">
      <w:pPr>
        <w:jc w:val="both"/>
      </w:pPr>
      <w:r>
        <w:rPr>
          <w:rFonts w:ascii="Arial" w:hAnsi="Arial" w:eastAsia="Arial" w:cs="Arial"/>
          <w:b/>
        </w:rPr>
        <w:t>13.7.2.</w:t>
      </w:r>
      <w:r>
        <w:rPr>
          <w:rFonts w:ascii="Arial" w:hAnsi="Arial" w:eastAsia="Arial" w:cs="Arial"/>
        </w:rPr>
        <w:t xml:space="preserve"> Cadastro Nacional das Empresas Inidôneas e Suspensas – CEIS, no endereço eletrônico </w:t>
      </w:r>
      <w:r>
        <w:fldChar w:fldCharType="begin"/>
      </w:r>
      <w:r>
        <w:instrText xml:space="preserve"> HYPERLINK "http://www.portaldatransparencia.gov.br/ceis" \h </w:instrText>
      </w:r>
      <w:r>
        <w:fldChar w:fldCharType="separate"/>
      </w:r>
      <w:r>
        <w:rPr>
          <w:rFonts w:ascii="Arial" w:hAnsi="Arial" w:eastAsia="Arial" w:cs="Arial"/>
          <w:color w:val="2E74B5"/>
          <w:u w:val="single"/>
        </w:rPr>
        <w:t>www.portaldatransparencia.gov.br/ceis</w:t>
      </w:r>
      <w:r>
        <w:rPr>
          <w:rFonts w:ascii="Arial" w:hAnsi="Arial" w:eastAsia="Arial" w:cs="Arial"/>
          <w:color w:val="2E74B5"/>
          <w:u w:val="single"/>
        </w:rPr>
        <w:fldChar w:fldCharType="end"/>
      </w:r>
      <w:r>
        <w:rPr>
          <w:rFonts w:ascii="Arial" w:hAnsi="Arial" w:eastAsia="Arial" w:cs="Arial"/>
        </w:rPr>
        <w:t>.</w:t>
      </w:r>
    </w:p>
    <w:p w14:paraId="5B015A8C">
      <w:pPr>
        <w:jc w:val="both"/>
        <w:rPr>
          <w:rFonts w:ascii="Arial" w:hAnsi="Arial" w:eastAsia="Arial" w:cs="Arial"/>
        </w:rPr>
      </w:pPr>
    </w:p>
    <w:p w14:paraId="5DFB9C6D">
      <w:pPr>
        <w:jc w:val="both"/>
      </w:pPr>
      <w:r>
        <w:rPr>
          <w:rFonts w:ascii="Arial" w:hAnsi="Arial" w:eastAsia="Arial" w:cs="Arial"/>
          <w:b/>
        </w:rPr>
        <w:t xml:space="preserve">13.7.3. </w:t>
      </w:r>
      <w:r>
        <w:rPr>
          <w:rFonts w:ascii="Arial" w:hAnsi="Arial" w:eastAsia="Arial" w:cs="Arial"/>
        </w:rPr>
        <w:t xml:space="preserve">No caso dos licitantes Pessoa Jurídica as consultas acima poderão ser substituídas pela Consulta Consolidada de Pessoa Jurídica do TCU, no endereço eletrônico </w:t>
      </w:r>
      <w:r>
        <w:fldChar w:fldCharType="begin"/>
      </w:r>
      <w:r>
        <w:instrText xml:space="preserve"> HYPERLINK "https://certidoes-apf.apps.tcu.gov.br/" \h </w:instrText>
      </w:r>
      <w:r>
        <w:fldChar w:fldCharType="separate"/>
      </w:r>
      <w:r>
        <w:rPr>
          <w:rFonts w:ascii="Arial" w:hAnsi="Arial" w:eastAsia="Arial" w:cs="Arial"/>
          <w:color w:val="000000"/>
          <w:u w:val="single"/>
        </w:rPr>
        <w:t>https://certidoes-apf.apps.tcu.gov.br</w:t>
      </w:r>
      <w:r>
        <w:rPr>
          <w:rFonts w:ascii="Arial" w:hAnsi="Arial" w:eastAsia="Arial" w:cs="Arial"/>
          <w:color w:val="000000"/>
          <w:u w:val="single"/>
        </w:rPr>
        <w:fldChar w:fldCharType="end"/>
      </w:r>
      <w:r>
        <w:rPr>
          <w:rFonts w:ascii="Arial" w:hAnsi="Arial" w:eastAsia="Arial" w:cs="Arial"/>
        </w:rPr>
        <w:t>.</w:t>
      </w:r>
    </w:p>
    <w:p w14:paraId="18ACED33">
      <w:pPr>
        <w:jc w:val="both"/>
        <w:rPr>
          <w:rFonts w:ascii="Arial" w:hAnsi="Arial" w:eastAsia="Arial" w:cs="Arial"/>
        </w:rPr>
      </w:pPr>
    </w:p>
    <w:p w14:paraId="3D146AB6">
      <w:pPr>
        <w:jc w:val="both"/>
      </w:pPr>
      <w:r>
        <w:rPr>
          <w:rFonts w:ascii="Arial" w:hAnsi="Arial" w:eastAsia="Arial" w:cs="Arial"/>
          <w:b/>
        </w:rPr>
        <w:t xml:space="preserve">13.7.4. </w:t>
      </w:r>
      <w:r>
        <w:rPr>
          <w:rFonts w:ascii="Arial" w:hAnsi="Arial" w:eastAsia="Arial" w:cs="Arial"/>
        </w:rPr>
        <w:t xml:space="preserve">Cadastro de Empresas Inidôneas e de Pessoas Suspensas de contratar com a Administração Pública do TCE/MT, no endereço eletrônico </w:t>
      </w:r>
      <w:r>
        <w:fldChar w:fldCharType="begin"/>
      </w:r>
      <w:r>
        <w:instrText xml:space="preserve"> HYPERLINK "https://jurisdicionado.tce.mt.gov.br/conteudo/index/sid/477" \h </w:instrText>
      </w:r>
      <w:r>
        <w:fldChar w:fldCharType="separate"/>
      </w:r>
      <w:r>
        <w:rPr>
          <w:rFonts w:ascii="Arial" w:hAnsi="Arial" w:eastAsia="Arial" w:cs="Arial"/>
          <w:color w:val="000000"/>
          <w:u w:val="single"/>
        </w:rPr>
        <w:t>https://jurisdicionado.tce.mt.gov.br/conteudo/index/sid/477</w:t>
      </w:r>
      <w:r>
        <w:rPr>
          <w:rFonts w:ascii="Arial" w:hAnsi="Arial" w:eastAsia="Arial" w:cs="Arial"/>
          <w:color w:val="000000"/>
          <w:u w:val="single"/>
        </w:rPr>
        <w:fldChar w:fldCharType="end"/>
      </w:r>
      <w:r>
        <w:rPr>
          <w:rFonts w:ascii="Arial" w:hAnsi="Arial" w:eastAsia="Arial" w:cs="Arial"/>
        </w:rPr>
        <w:t>.</w:t>
      </w:r>
    </w:p>
    <w:p w14:paraId="534E8FE6">
      <w:pPr>
        <w:jc w:val="both"/>
        <w:rPr>
          <w:rFonts w:ascii="Arial" w:hAnsi="Arial" w:eastAsia="Arial" w:cs="Arial"/>
          <w:b/>
        </w:rPr>
      </w:pPr>
    </w:p>
    <w:p w14:paraId="07F344D9">
      <w:pPr>
        <w:jc w:val="both"/>
        <w:rPr>
          <w:rFonts w:ascii="Arial" w:hAnsi="Arial" w:eastAsia="Arial" w:cs="Arial"/>
        </w:rPr>
      </w:pPr>
      <w:r>
        <w:rPr>
          <w:rFonts w:ascii="Arial" w:hAnsi="Arial" w:eastAsia="Arial" w:cs="Arial"/>
          <w:b/>
        </w:rPr>
        <w:t>13.8. Sob pena de inabilitação, todos os documentos apresentados para habilitação deverão estar em nome da licitante, e, preferencialmente</w:t>
      </w:r>
      <w:r>
        <w:rPr>
          <w:rFonts w:ascii="Arial" w:hAnsi="Arial" w:eastAsia="Arial" w:cs="Arial"/>
        </w:rPr>
        <w:t xml:space="preserve">, com número do CNPJ e com o endereço respectivo: </w:t>
      </w:r>
    </w:p>
    <w:p w14:paraId="1AA4E797">
      <w:pPr>
        <w:jc w:val="both"/>
        <w:rPr>
          <w:rFonts w:ascii="Arial" w:hAnsi="Arial" w:eastAsia="Arial" w:cs="Arial"/>
        </w:rPr>
      </w:pPr>
      <w:r>
        <w:rPr>
          <w:rFonts w:ascii="Arial" w:hAnsi="Arial" w:eastAsia="Arial" w:cs="Arial"/>
          <w:b/>
        </w:rPr>
        <w:t>13.8.1.</w:t>
      </w:r>
      <w:r>
        <w:rPr>
          <w:rFonts w:ascii="Arial" w:hAnsi="Arial" w:eastAsia="Arial" w:cs="Arial"/>
        </w:rPr>
        <w:t xml:space="preserve"> Se a licitante for a matriz, todos os documentos deverão estar em nome da matriz; </w:t>
      </w:r>
    </w:p>
    <w:p w14:paraId="43554C85">
      <w:pPr>
        <w:jc w:val="both"/>
        <w:rPr>
          <w:rFonts w:ascii="Arial" w:hAnsi="Arial" w:eastAsia="Arial" w:cs="Arial"/>
        </w:rPr>
      </w:pPr>
    </w:p>
    <w:p w14:paraId="3A655ACA">
      <w:pPr>
        <w:jc w:val="both"/>
        <w:rPr>
          <w:rFonts w:ascii="Arial" w:hAnsi="Arial" w:eastAsia="Arial" w:cs="Arial"/>
        </w:rPr>
      </w:pPr>
      <w:r>
        <w:rPr>
          <w:rFonts w:ascii="Arial" w:hAnsi="Arial" w:eastAsia="Arial" w:cs="Arial"/>
          <w:b/>
        </w:rPr>
        <w:t>13.8.2.</w:t>
      </w:r>
      <w:r>
        <w:rPr>
          <w:rFonts w:ascii="Arial" w:hAnsi="Arial" w:eastAsia="Arial" w:cs="Arial"/>
        </w:rPr>
        <w:t xml:space="preserve"> Se a licitante for a filial, todos os documentos deverão estar em nome da filial, exceto aqueles </w:t>
      </w:r>
      <w:r>
        <w:rPr>
          <w:rFonts w:ascii="Arial" w:hAnsi="Arial" w:eastAsia="Arial" w:cs="Arial"/>
          <w:b/>
        </w:rPr>
        <w:t>documentos</w:t>
      </w:r>
      <w:r>
        <w:rPr>
          <w:rFonts w:ascii="Arial" w:hAnsi="Arial" w:eastAsia="Arial" w:cs="Arial"/>
        </w:rPr>
        <w:t xml:space="preserve"> que, pela própria natureza, comprovadamente, forem emitidos somente em nome da matriz; </w:t>
      </w:r>
    </w:p>
    <w:p w14:paraId="5D58D45E">
      <w:pPr>
        <w:jc w:val="both"/>
        <w:rPr>
          <w:rFonts w:ascii="Arial" w:hAnsi="Arial" w:eastAsia="Arial" w:cs="Arial"/>
          <w:b/>
        </w:rPr>
      </w:pPr>
    </w:p>
    <w:p w14:paraId="33D803F3">
      <w:pPr>
        <w:jc w:val="both"/>
        <w:rPr>
          <w:rFonts w:ascii="Arial" w:hAnsi="Arial" w:eastAsia="Arial" w:cs="Arial"/>
        </w:rPr>
      </w:pPr>
      <w:r>
        <w:rPr>
          <w:rFonts w:ascii="Arial" w:hAnsi="Arial" w:eastAsia="Arial" w:cs="Arial"/>
          <w:b/>
        </w:rPr>
        <w:t>13.9.</w:t>
      </w:r>
      <w:r>
        <w:rPr>
          <w:rFonts w:ascii="Arial" w:hAnsi="Arial" w:eastAsia="Arial" w:cs="Arial"/>
        </w:rPr>
        <w:t xml:space="preserve"> Os documentos apresentados para habilitação sem disposição expressa do órgão expedidor quanto a sua validade, terão o </w:t>
      </w:r>
      <w:r>
        <w:rPr>
          <w:rFonts w:ascii="Arial" w:hAnsi="Arial" w:eastAsia="Arial" w:cs="Arial"/>
          <w:b/>
        </w:rPr>
        <w:t>prazo de vencimento de 60 (sessenta) dias</w:t>
      </w:r>
      <w:r>
        <w:rPr>
          <w:rFonts w:ascii="Arial" w:hAnsi="Arial" w:eastAsia="Arial" w:cs="Arial"/>
        </w:rPr>
        <w:t xml:space="preserve"> contados a partir de sua data de emissão a data da sessão pública;</w:t>
      </w:r>
    </w:p>
    <w:p w14:paraId="011C470A">
      <w:pPr>
        <w:jc w:val="both"/>
        <w:rPr>
          <w:rFonts w:ascii="Arial" w:hAnsi="Arial" w:eastAsia="Arial" w:cs="Arial"/>
          <w:b/>
        </w:rPr>
      </w:pPr>
    </w:p>
    <w:p w14:paraId="34DE023B">
      <w:pPr>
        <w:jc w:val="both"/>
        <w:rPr>
          <w:rFonts w:ascii="Arial" w:hAnsi="Arial" w:eastAsia="Arial" w:cs="Arial"/>
        </w:rPr>
      </w:pPr>
      <w:r>
        <w:rPr>
          <w:rFonts w:ascii="Arial" w:hAnsi="Arial" w:eastAsia="Arial" w:cs="Arial"/>
          <w:b/>
        </w:rPr>
        <w:t>13.10.</w:t>
      </w:r>
      <w:r>
        <w:rPr>
          <w:rFonts w:ascii="Arial" w:hAnsi="Arial" w:eastAsia="Arial" w:cs="Arial"/>
        </w:rPr>
        <w:t xml:space="preserve"> Poderá ser declarado qualquer fato formal, desde que não implique desobediência à legislação e for evidente a vantagem para a Administração, devendo também, se necessário, promover diligência para dirimir a dúvida, cabendo, inclusive, estabelecer um prazo máximo de 02 (dois) dias úteis para a solução;</w:t>
      </w:r>
    </w:p>
    <w:p w14:paraId="440862BB">
      <w:pPr>
        <w:jc w:val="both"/>
        <w:rPr>
          <w:rFonts w:ascii="Arial" w:hAnsi="Arial" w:eastAsia="Arial" w:cs="Arial"/>
          <w:b/>
        </w:rPr>
      </w:pPr>
    </w:p>
    <w:p w14:paraId="10C08859">
      <w:pPr>
        <w:jc w:val="both"/>
        <w:rPr>
          <w:rFonts w:ascii="Arial" w:hAnsi="Arial" w:eastAsia="Arial" w:cs="Arial"/>
          <w:i/>
        </w:rPr>
      </w:pPr>
      <w:r>
        <w:rPr>
          <w:rFonts w:ascii="Arial" w:hAnsi="Arial" w:eastAsia="Arial" w:cs="Arial"/>
          <w:b/>
        </w:rPr>
        <w:t>13.11.</w:t>
      </w:r>
      <w:r>
        <w:rPr>
          <w:rFonts w:ascii="Arial" w:hAnsi="Arial" w:eastAsia="Arial" w:cs="Arial"/>
        </w:rPr>
        <w:t xml:space="preserve"> A verificação pelo pregoeiro, em sítios eletrônicos oficiais de órgãos e entidades emissores de certidões constitui meio legal de prova, para fins de habilitação;</w:t>
      </w:r>
    </w:p>
    <w:p w14:paraId="453B8969">
      <w:pPr>
        <w:jc w:val="both"/>
        <w:rPr>
          <w:rFonts w:ascii="Arial" w:hAnsi="Arial" w:eastAsia="Arial" w:cs="Arial"/>
          <w:b/>
        </w:rPr>
      </w:pPr>
    </w:p>
    <w:p w14:paraId="18135B23">
      <w:pPr>
        <w:jc w:val="both"/>
        <w:rPr>
          <w:rFonts w:ascii="Arial" w:hAnsi="Arial" w:eastAsia="Arial" w:cs="Arial"/>
        </w:rPr>
      </w:pPr>
      <w:r>
        <w:rPr>
          <w:rFonts w:ascii="Arial" w:hAnsi="Arial" w:eastAsia="Arial" w:cs="Arial"/>
          <w:b/>
        </w:rPr>
        <w:t>13.12.</w:t>
      </w:r>
      <w:r>
        <w:rPr>
          <w:rFonts w:ascii="Arial" w:hAnsi="Arial" w:eastAsia="Arial" w:cs="Arial"/>
        </w:rPr>
        <w:t xml:space="preserve"> Constatando, por meio de diligência, o não atendimento ao estabelecido, o Pregoeiro considerará a proponente inabilitada e prosseguirá a sessão; </w:t>
      </w:r>
    </w:p>
    <w:p w14:paraId="399C06F6">
      <w:pPr>
        <w:jc w:val="both"/>
        <w:rPr>
          <w:rFonts w:ascii="Arial" w:hAnsi="Arial" w:eastAsia="Arial" w:cs="Arial"/>
        </w:rPr>
      </w:pPr>
      <w:r>
        <w:rPr>
          <w:rFonts w:ascii="Arial" w:hAnsi="Arial" w:eastAsia="Arial" w:cs="Arial"/>
          <w:b/>
        </w:rPr>
        <w:t>13.13.</w:t>
      </w:r>
      <w:r>
        <w:rPr>
          <w:rFonts w:ascii="Arial" w:hAnsi="Arial" w:eastAsia="Arial" w:cs="Arial"/>
        </w:rPr>
        <w:t xml:space="preserve"> Os atos e os documentos para habilitação, constantes dos arquivos e registros digitais, serão válidos para todos os efeitos legais, inclusive para comprovação e prestação de contas. (Conf. Decreto 10.024 /2019, Art. 8º, § 1º);</w:t>
      </w:r>
    </w:p>
    <w:p w14:paraId="31C3DC84">
      <w:pPr>
        <w:jc w:val="both"/>
        <w:rPr>
          <w:rFonts w:ascii="Arial" w:hAnsi="Arial" w:eastAsia="Arial" w:cs="Arial"/>
          <w:b/>
        </w:rPr>
      </w:pPr>
    </w:p>
    <w:p w14:paraId="41EF82EE">
      <w:pPr>
        <w:jc w:val="both"/>
        <w:rPr>
          <w:rFonts w:ascii="Arial" w:hAnsi="Arial" w:eastAsia="Arial" w:cs="Arial"/>
        </w:rPr>
      </w:pPr>
      <w:r>
        <w:rPr>
          <w:rFonts w:ascii="Arial" w:hAnsi="Arial" w:eastAsia="Arial" w:cs="Arial"/>
          <w:b/>
        </w:rPr>
        <w:t>13.14.</w:t>
      </w:r>
      <w:r>
        <w:rPr>
          <w:rFonts w:ascii="Arial" w:hAnsi="Arial" w:eastAsia="Arial" w:cs="Arial"/>
        </w:rPr>
        <w:t xml:space="preserve"> Somente haverá a necessidade de comprovação do preenchimento de requisitos mediante apresentação dos documentos originais não-digitais quando houver dúvida em relação à integridade do documento digital ou quando a lei expressamente o exigir. (</w:t>
      </w:r>
      <w:r>
        <w:fldChar w:fldCharType="begin"/>
      </w:r>
      <w:r>
        <w:instrText xml:space="preserve"> HYPERLINK "https://www.gov.br/compras/pt-br/acesso-a-informacao/legislacao/instrucoes-normativas/instrucao-normativa-no-3-de-26-de-abril-de-2018" \l "art4" </w:instrText>
      </w:r>
      <w:r>
        <w:fldChar w:fldCharType="separate"/>
      </w:r>
      <w:r>
        <w:rPr>
          <w:rFonts w:ascii="Arial" w:hAnsi="Arial" w:eastAsia="Arial" w:cs="Arial"/>
          <w:color w:val="0000FF"/>
          <w:u w:val="single"/>
        </w:rPr>
        <w:t>IN nº 3/2018, art. 4º, §1º, e art. 6º, §4º</w:t>
      </w:r>
      <w:r>
        <w:rPr>
          <w:rFonts w:ascii="Arial" w:hAnsi="Arial" w:eastAsia="Arial" w:cs="Arial"/>
          <w:color w:val="0000FF"/>
          <w:u w:val="single"/>
        </w:rPr>
        <w:fldChar w:fldCharType="end"/>
      </w:r>
      <w:r>
        <w:rPr>
          <w:rFonts w:ascii="Arial" w:hAnsi="Arial" w:eastAsia="Arial" w:cs="Arial"/>
        </w:rPr>
        <w:t>);</w:t>
      </w:r>
    </w:p>
    <w:p w14:paraId="1C7EA92C">
      <w:pPr>
        <w:jc w:val="both"/>
        <w:rPr>
          <w:rFonts w:ascii="Arial" w:hAnsi="Arial" w:eastAsia="Arial" w:cs="Arial"/>
        </w:rPr>
      </w:pPr>
    </w:p>
    <w:p w14:paraId="422CC61D">
      <w:pPr>
        <w:jc w:val="both"/>
        <w:rPr>
          <w:rFonts w:ascii="Arial" w:hAnsi="Arial" w:eastAsia="Arial" w:cs="Arial"/>
        </w:rPr>
      </w:pPr>
      <w:r>
        <w:rPr>
          <w:rFonts w:ascii="Arial" w:hAnsi="Arial" w:eastAsia="Arial" w:cs="Arial"/>
          <w:b/>
        </w:rPr>
        <w:t>13.15.</w:t>
      </w:r>
      <w:r>
        <w:rPr>
          <w:rFonts w:ascii="Arial" w:hAnsi="Arial" w:eastAsia="Arial" w:cs="Arial"/>
        </w:rPr>
        <w:t xml:space="preserve"> O Pregoeiro reserva-se o direito de solicitar o original de qualquer documento, sempre que tiver dúvida e julgar necessário.</w:t>
      </w:r>
    </w:p>
    <w:p w14:paraId="4AB92B2A">
      <w:pPr>
        <w:jc w:val="both"/>
        <w:rPr>
          <w:rFonts w:ascii="Arial" w:hAnsi="Arial" w:eastAsia="Arial" w:cs="Arial"/>
        </w:rPr>
      </w:pPr>
    </w:p>
    <w:p w14:paraId="3CB9C1ED">
      <w:pPr>
        <w:pStyle w:val="2"/>
        <w:spacing w:before="0" w:after="0"/>
        <w:rPr>
          <w:sz w:val="20"/>
          <w:szCs w:val="20"/>
          <w:lang w:val="pt-BR"/>
        </w:rPr>
      </w:pPr>
      <w:bookmarkStart w:id="21" w:name="_heading=h.944szp270no9"/>
      <w:bookmarkEnd w:id="21"/>
      <w:r>
        <w:rPr>
          <w:sz w:val="20"/>
          <w:szCs w:val="20"/>
          <w:lang w:val="pt-BR"/>
        </w:rPr>
        <w:t>14. DO ENVIO DE DOCUMENTOS COMPLENTARES QUANDO FOR O CASO:</w:t>
      </w:r>
    </w:p>
    <w:p w14:paraId="3D516881">
      <w:pPr>
        <w:jc w:val="both"/>
        <w:rPr>
          <w:rFonts w:ascii="Arial" w:hAnsi="Arial" w:eastAsia="Arial" w:cs="Arial"/>
          <w:b/>
          <w:color w:val="000000"/>
        </w:rPr>
      </w:pPr>
    </w:p>
    <w:p w14:paraId="7722FAAC">
      <w:pPr>
        <w:jc w:val="both"/>
        <w:rPr>
          <w:rFonts w:ascii="Arial" w:hAnsi="Arial" w:eastAsia="Arial" w:cs="Arial"/>
        </w:rPr>
      </w:pPr>
      <w:r>
        <w:rPr>
          <w:rFonts w:ascii="Arial" w:hAnsi="Arial" w:eastAsia="Arial" w:cs="Arial"/>
          <w:b/>
        </w:rPr>
        <w:t xml:space="preserve">14.1. </w:t>
      </w:r>
      <w:r>
        <w:rPr>
          <w:rFonts w:ascii="Arial" w:hAnsi="Arial" w:eastAsia="Arial" w:cs="Arial"/>
        </w:rPr>
        <w:t xml:space="preserve">Na hipótese de necessidade de envio de documentos complementares após o julgamento da proposta, os documentos deverão ser apresentados em formato digital, </w:t>
      </w:r>
      <w:r>
        <w:rPr>
          <w:rFonts w:ascii="Arial" w:hAnsi="Arial" w:eastAsia="Arial" w:cs="Arial"/>
          <w:color w:val="000000"/>
        </w:rPr>
        <w:t>via sistema BLL</w:t>
      </w:r>
      <w:r>
        <w:rPr>
          <w:rFonts w:ascii="Arial" w:hAnsi="Arial" w:eastAsia="Arial" w:cs="Arial"/>
        </w:rPr>
        <w:t>, no prazo máximo de até 02 (dois) dias úteis, após solicitação do Pregoeiro;</w:t>
      </w:r>
    </w:p>
    <w:p w14:paraId="13F78236">
      <w:pPr>
        <w:jc w:val="both"/>
        <w:rPr>
          <w:rFonts w:ascii="Arial" w:hAnsi="Arial" w:eastAsia="Arial" w:cs="Arial"/>
          <w:b/>
        </w:rPr>
      </w:pPr>
    </w:p>
    <w:p w14:paraId="194B107C">
      <w:pPr>
        <w:jc w:val="both"/>
        <w:rPr>
          <w:rFonts w:ascii="Arial" w:hAnsi="Arial" w:eastAsia="Arial" w:cs="Arial"/>
        </w:rPr>
      </w:pPr>
      <w:r>
        <w:rPr>
          <w:rFonts w:ascii="Arial" w:hAnsi="Arial" w:eastAsia="Arial" w:cs="Arial"/>
          <w:b/>
        </w:rPr>
        <w:t xml:space="preserve">14.1.1. </w:t>
      </w:r>
      <w:r>
        <w:rPr>
          <w:rFonts w:ascii="Arial" w:hAnsi="Arial" w:eastAsia="Arial" w:cs="Arial"/>
        </w:rPr>
        <w:t>Os documentos complementares a serem apresentados não poderão ser os já exigidos no edital para fins de habilitação, não se trata de uma segunda oportunidade para envio de documentos de habilitação. A diligência em questão permite, apenas, a solicitação de documentos outros para confirmação dos já apresentados (quando houver dúvida sobre integridade de documentos, cópia de contrato de prestação de serviços que tenha embasado a emissão de atestado de capacidade técnica, já apresentados).</w:t>
      </w:r>
    </w:p>
    <w:p w14:paraId="6FC427BB">
      <w:pPr>
        <w:jc w:val="both"/>
        <w:rPr>
          <w:rFonts w:ascii="Arial" w:hAnsi="Arial" w:eastAsia="Arial" w:cs="Arial"/>
          <w:color w:val="000000"/>
        </w:rPr>
      </w:pPr>
    </w:p>
    <w:p w14:paraId="53352419">
      <w:pPr>
        <w:pStyle w:val="2"/>
        <w:spacing w:before="0" w:after="0"/>
        <w:rPr>
          <w:sz w:val="20"/>
          <w:szCs w:val="20"/>
          <w:lang w:val="pt-BR"/>
        </w:rPr>
      </w:pPr>
      <w:bookmarkStart w:id="22" w:name="_heading=h.bqhv2hf44v1o"/>
      <w:bookmarkEnd w:id="22"/>
      <w:r>
        <w:rPr>
          <w:sz w:val="20"/>
          <w:szCs w:val="20"/>
          <w:lang w:val="pt-BR"/>
        </w:rPr>
        <w:t>15. DA ADJUDICAÇÃO E HOMOLOGAÇÃO:</w:t>
      </w:r>
    </w:p>
    <w:p w14:paraId="38B6B3F7">
      <w:pPr>
        <w:jc w:val="both"/>
        <w:rPr>
          <w:rFonts w:ascii="Arial" w:hAnsi="Arial" w:eastAsia="Arial" w:cs="Arial"/>
        </w:rPr>
      </w:pPr>
    </w:p>
    <w:p w14:paraId="5422DF40">
      <w:pPr>
        <w:jc w:val="both"/>
        <w:rPr>
          <w:rFonts w:ascii="Arial" w:hAnsi="Arial" w:eastAsia="Arial" w:cs="Arial"/>
        </w:rPr>
      </w:pPr>
      <w:r>
        <w:rPr>
          <w:rFonts w:ascii="Arial" w:hAnsi="Arial" w:eastAsia="Arial" w:cs="Arial"/>
          <w:b/>
        </w:rPr>
        <w:t>15.1.</w:t>
      </w:r>
      <w:r>
        <w:rPr>
          <w:rFonts w:ascii="Arial" w:hAnsi="Arial" w:eastAsia="Arial" w:cs="Arial"/>
        </w:rPr>
        <w:t xml:space="preserve"> Não havendo recurso e constatado o atendimento das exigências fixadas neste Edital, a licitante será declarada vencedora do certame, sendo-lhe adjudicado o objeto pela autoridade competente.</w:t>
      </w:r>
    </w:p>
    <w:p w14:paraId="58DB6FE4">
      <w:pPr>
        <w:jc w:val="both"/>
        <w:rPr>
          <w:rFonts w:ascii="Arial" w:hAnsi="Arial" w:eastAsia="Arial" w:cs="Arial"/>
        </w:rPr>
      </w:pPr>
    </w:p>
    <w:p w14:paraId="75606F44">
      <w:pPr>
        <w:jc w:val="both"/>
        <w:rPr>
          <w:rFonts w:ascii="Arial" w:hAnsi="Arial" w:eastAsia="Arial" w:cs="Arial"/>
        </w:rPr>
      </w:pPr>
      <w:r>
        <w:rPr>
          <w:rFonts w:ascii="Arial" w:hAnsi="Arial" w:eastAsia="Arial" w:cs="Arial"/>
          <w:b/>
        </w:rPr>
        <w:t>15.2.</w:t>
      </w:r>
      <w:r>
        <w:rPr>
          <w:rFonts w:ascii="Arial" w:hAnsi="Arial" w:eastAsia="Arial" w:cs="Arial"/>
        </w:rPr>
        <w:t xml:space="preserve"> Havendo recurso, e mantida a decisão do(a) pregoeiro(a), a autoridade competente, após deliberar sobre o mesmo e constatada a regularidade dos atos procedimentais, poderá adjudicar o objeto à licitante vencedora e homologar o processo licitatório.</w:t>
      </w:r>
    </w:p>
    <w:p w14:paraId="0F99840F">
      <w:pPr>
        <w:jc w:val="both"/>
        <w:rPr>
          <w:rFonts w:ascii="Arial" w:hAnsi="Arial" w:eastAsia="Arial" w:cs="Arial"/>
        </w:rPr>
      </w:pPr>
    </w:p>
    <w:p w14:paraId="0F6BECC6">
      <w:pPr>
        <w:jc w:val="both"/>
        <w:rPr>
          <w:rFonts w:ascii="Arial" w:hAnsi="Arial" w:eastAsia="Arial" w:cs="Arial"/>
        </w:rPr>
      </w:pPr>
      <w:r>
        <w:rPr>
          <w:rFonts w:ascii="Arial" w:hAnsi="Arial" w:eastAsia="Arial" w:cs="Arial"/>
          <w:b/>
        </w:rPr>
        <w:t>15.3.</w:t>
      </w:r>
      <w:r>
        <w:rPr>
          <w:rFonts w:ascii="Arial" w:hAnsi="Arial" w:eastAsia="Arial" w:cs="Arial"/>
        </w:rPr>
        <w:t xml:space="preserve"> Encerrada a etapa de recurso o(a) pregoeiro(a) encaminhará os autos do processo para a autoridade competente, para adjudicação e homologação do procedimento licitatório, observadas, no que couber, as disposições do </w:t>
      </w:r>
      <w:r>
        <w:rPr>
          <w:rFonts w:ascii="Arial" w:hAnsi="Arial" w:eastAsia="Arial" w:cs="Arial"/>
          <w:color w:val="000000"/>
          <w:u w:val="single"/>
        </w:rPr>
        <w:t>art. 71 da Lei Federal nº 14.133/2021</w:t>
      </w:r>
      <w:r>
        <w:rPr>
          <w:rFonts w:ascii="Arial" w:hAnsi="Arial" w:eastAsia="Arial" w:cs="Arial"/>
        </w:rPr>
        <w:t>.</w:t>
      </w:r>
    </w:p>
    <w:p w14:paraId="3A6719AF">
      <w:pPr>
        <w:jc w:val="both"/>
        <w:rPr>
          <w:rFonts w:ascii="Arial" w:hAnsi="Arial" w:eastAsia="Arial" w:cs="Arial"/>
        </w:rPr>
      </w:pPr>
    </w:p>
    <w:p w14:paraId="2051196E">
      <w:pPr>
        <w:pStyle w:val="2"/>
        <w:spacing w:before="0" w:after="0"/>
        <w:rPr>
          <w:sz w:val="20"/>
          <w:szCs w:val="20"/>
          <w:lang w:val="pt-BR"/>
        </w:rPr>
      </w:pPr>
      <w:bookmarkStart w:id="23" w:name="_heading=h.rrjbw7q3ny3"/>
      <w:bookmarkEnd w:id="23"/>
      <w:r>
        <w:rPr>
          <w:sz w:val="20"/>
          <w:szCs w:val="20"/>
          <w:lang w:val="pt-BR"/>
        </w:rPr>
        <w:t xml:space="preserve">16. DA ATA DE REGISTRO DE PREÇOS: </w:t>
      </w:r>
    </w:p>
    <w:p w14:paraId="6249560B"/>
    <w:p w14:paraId="3276CFF8">
      <w:pPr>
        <w:jc w:val="both"/>
        <w:rPr>
          <w:rFonts w:ascii="Arial" w:hAnsi="Arial" w:eastAsia="Arial" w:cs="Arial"/>
        </w:rPr>
      </w:pPr>
      <w:r>
        <w:rPr>
          <w:rFonts w:ascii="Arial" w:hAnsi="Arial" w:eastAsia="Arial" w:cs="Arial"/>
          <w:b/>
        </w:rPr>
        <w:t>16.1.</w:t>
      </w:r>
      <w:r>
        <w:rPr>
          <w:rFonts w:ascii="Arial" w:hAnsi="Arial" w:eastAsia="Arial" w:cs="Arial"/>
        </w:rPr>
        <w:t xml:space="preserve"> Homologado o resultado da licitação, o licitante melhor classificado terá o prazo de 05 (cinco) dias, contados a partir da data de sua convocação, para assinar a Ata de Registro de Preços, cujo prazo de validade encontra-se nela fixado, sob pena de decadência do direito à contratação, sem prejuízo das sanções previstas na Lei nº 14.133, de 2021; </w:t>
      </w:r>
    </w:p>
    <w:p w14:paraId="13152D1F">
      <w:pPr>
        <w:jc w:val="both"/>
        <w:rPr>
          <w:rFonts w:ascii="Arial" w:hAnsi="Arial" w:eastAsia="Arial" w:cs="Arial"/>
        </w:rPr>
      </w:pPr>
    </w:p>
    <w:p w14:paraId="2E70B170">
      <w:pPr>
        <w:jc w:val="both"/>
        <w:rPr>
          <w:rFonts w:ascii="Arial" w:hAnsi="Arial" w:eastAsia="Arial" w:cs="Arial"/>
        </w:rPr>
      </w:pPr>
      <w:r>
        <w:rPr>
          <w:rFonts w:ascii="Arial" w:hAnsi="Arial" w:eastAsia="Arial" w:cs="Arial"/>
          <w:b/>
        </w:rPr>
        <w:t>16.2.</w:t>
      </w:r>
      <w:r>
        <w:rPr>
          <w:rFonts w:ascii="Arial" w:hAnsi="Arial" w:eastAsia="Arial" w:cs="Arial"/>
        </w:rPr>
        <w:t xml:space="preserve"> Alternativamente à convocação para comparecer perante o órgão ou entidade para a assinatura da Ata de Registro de Preços, a Administração poderá encaminhá-la para assinatura, mediante correspondência postal com aviso de recebimento (AR) ou meio eletrônico, para que seja assinada no prazo de 5 (cinco) dias, a contar da data de seu recebimento;</w:t>
      </w:r>
    </w:p>
    <w:p w14:paraId="3453F1DA">
      <w:pPr>
        <w:jc w:val="both"/>
        <w:rPr>
          <w:rFonts w:ascii="Arial" w:hAnsi="Arial" w:eastAsia="Arial" w:cs="Arial"/>
          <w:b/>
        </w:rPr>
      </w:pPr>
    </w:p>
    <w:p w14:paraId="1371FBB5">
      <w:pPr>
        <w:jc w:val="both"/>
        <w:rPr>
          <w:rFonts w:ascii="Arial" w:hAnsi="Arial" w:eastAsia="Arial" w:cs="Arial"/>
        </w:rPr>
      </w:pPr>
      <w:r>
        <w:rPr>
          <w:rFonts w:ascii="Arial" w:hAnsi="Arial" w:eastAsia="Arial" w:cs="Arial"/>
          <w:b/>
        </w:rPr>
        <w:t>16.3.</w:t>
      </w:r>
      <w:r>
        <w:rPr>
          <w:rFonts w:ascii="Arial" w:hAnsi="Arial" w:eastAsia="Arial" w:cs="Arial"/>
        </w:rPr>
        <w:t xml:space="preserve"> O prazo de convocação poderá ser prorrogado uma vez, por igual período, mediante solicitação do licitante melhor classificado ou do fornecedor convocado, desde que:</w:t>
      </w:r>
    </w:p>
    <w:p w14:paraId="16D21B7C">
      <w:pPr>
        <w:jc w:val="both"/>
        <w:rPr>
          <w:rFonts w:ascii="Arial" w:hAnsi="Arial" w:eastAsia="Arial" w:cs="Arial"/>
        </w:rPr>
      </w:pPr>
    </w:p>
    <w:p w14:paraId="15751787">
      <w:pPr>
        <w:jc w:val="both"/>
        <w:rPr>
          <w:rFonts w:ascii="Arial" w:hAnsi="Arial" w:eastAsia="Arial" w:cs="Arial"/>
        </w:rPr>
      </w:pPr>
      <w:r>
        <w:rPr>
          <w:rFonts w:ascii="Arial" w:hAnsi="Arial" w:eastAsia="Arial" w:cs="Arial"/>
          <w:b/>
        </w:rPr>
        <w:t xml:space="preserve">16.3.1. </w:t>
      </w:r>
      <w:r>
        <w:rPr>
          <w:rFonts w:ascii="Arial" w:hAnsi="Arial" w:eastAsia="Arial" w:cs="Arial"/>
        </w:rPr>
        <w:t>A solicitação seja devidamente justificada e apresentada dentro do prazo; e</w:t>
      </w:r>
    </w:p>
    <w:p w14:paraId="4814415A">
      <w:pPr>
        <w:jc w:val="both"/>
        <w:rPr>
          <w:rFonts w:ascii="Arial" w:hAnsi="Arial" w:eastAsia="Arial" w:cs="Arial"/>
        </w:rPr>
      </w:pPr>
    </w:p>
    <w:p w14:paraId="4C1BF316">
      <w:pPr>
        <w:jc w:val="both"/>
        <w:rPr>
          <w:rFonts w:ascii="Arial" w:hAnsi="Arial" w:eastAsia="Arial" w:cs="Arial"/>
        </w:rPr>
      </w:pPr>
      <w:r>
        <w:rPr>
          <w:rFonts w:ascii="Arial" w:hAnsi="Arial" w:eastAsia="Arial" w:cs="Arial"/>
          <w:b/>
        </w:rPr>
        <w:t xml:space="preserve">16.3.1. </w:t>
      </w:r>
      <w:r>
        <w:rPr>
          <w:rFonts w:ascii="Arial" w:hAnsi="Arial" w:eastAsia="Arial" w:cs="Arial"/>
        </w:rPr>
        <w:t>A justificativa apresentada seja aceita pela Administração;</w:t>
      </w:r>
    </w:p>
    <w:p w14:paraId="67496137">
      <w:pPr>
        <w:jc w:val="both"/>
        <w:rPr>
          <w:rFonts w:ascii="Arial" w:hAnsi="Arial" w:eastAsia="Arial" w:cs="Arial"/>
        </w:rPr>
      </w:pPr>
    </w:p>
    <w:p w14:paraId="05236D1A">
      <w:pPr>
        <w:jc w:val="both"/>
        <w:rPr>
          <w:rFonts w:ascii="Arial" w:hAnsi="Arial" w:eastAsia="Arial" w:cs="Arial"/>
        </w:rPr>
      </w:pPr>
      <w:r>
        <w:rPr>
          <w:rFonts w:ascii="Arial" w:hAnsi="Arial" w:eastAsia="Arial" w:cs="Arial"/>
          <w:b/>
        </w:rPr>
        <w:t>16.4.</w:t>
      </w:r>
      <w:r>
        <w:rPr>
          <w:rFonts w:ascii="Arial" w:hAnsi="Arial" w:eastAsia="Arial" w:cs="Arial"/>
        </w:rPr>
        <w:t xml:space="preserve"> A ata de registro de preços será assinada por meio de assinatura digital e disponibilizada no sistema de registro de preços;</w:t>
      </w:r>
    </w:p>
    <w:p w14:paraId="3B1D240F">
      <w:pPr>
        <w:jc w:val="both"/>
      </w:pPr>
    </w:p>
    <w:p w14:paraId="67FD3454">
      <w:pPr>
        <w:jc w:val="both"/>
        <w:rPr>
          <w:rFonts w:ascii="Arial" w:hAnsi="Arial" w:eastAsia="Arial" w:cs="Arial"/>
        </w:rPr>
      </w:pPr>
      <w:r>
        <w:rPr>
          <w:rFonts w:ascii="Arial" w:hAnsi="Arial" w:eastAsia="Arial" w:cs="Arial"/>
          <w:b/>
        </w:rPr>
        <w:t>16.5.</w:t>
      </w:r>
      <w:r>
        <w:rPr>
          <w:rFonts w:ascii="Arial" w:hAnsi="Arial" w:eastAsia="Arial" w:cs="Arial"/>
        </w:rPr>
        <w:t xml:space="preserve"> Serão formalizadas tantas Atas de Registro de Preços quantas forem necessárias para o registro de todos os itens constantes no Termo de Referência, com a indicação do licitante vencedor, a descrição do(s) item(ns), as respectivas quantidades, preços registrados e demais condições;</w:t>
      </w:r>
    </w:p>
    <w:p w14:paraId="77CD7565">
      <w:pPr>
        <w:jc w:val="both"/>
      </w:pPr>
    </w:p>
    <w:p w14:paraId="201D9FB3">
      <w:pPr>
        <w:jc w:val="both"/>
        <w:rPr>
          <w:rFonts w:ascii="Arial" w:hAnsi="Arial" w:eastAsia="Arial" w:cs="Arial"/>
        </w:rPr>
      </w:pPr>
      <w:r>
        <w:rPr>
          <w:rFonts w:ascii="Arial" w:hAnsi="Arial" w:eastAsia="Arial" w:cs="Arial"/>
          <w:b/>
        </w:rPr>
        <w:t>16.6.</w:t>
      </w:r>
      <w:r>
        <w:rPr>
          <w:rFonts w:ascii="Arial" w:hAnsi="Arial" w:eastAsia="Arial" w:cs="Arial"/>
        </w:rPr>
        <w:t xml:space="preserve"> O preço registrado, com a indicação dos fornecedores, será divulgado no DIORONDON e disponibilizado durante a vigência da ata de registro de preços;</w:t>
      </w:r>
    </w:p>
    <w:p w14:paraId="2B84612F">
      <w:pPr>
        <w:jc w:val="both"/>
        <w:rPr>
          <w:rFonts w:ascii="Arial" w:hAnsi="Arial" w:eastAsia="Arial" w:cs="Arial"/>
        </w:rPr>
      </w:pPr>
    </w:p>
    <w:p w14:paraId="109102AC">
      <w:pPr>
        <w:jc w:val="both"/>
        <w:rPr>
          <w:rFonts w:ascii="Arial" w:hAnsi="Arial" w:eastAsia="Arial" w:cs="Arial"/>
        </w:rPr>
      </w:pPr>
      <w:r>
        <w:rPr>
          <w:rFonts w:ascii="Arial" w:hAnsi="Arial" w:eastAsia="Arial" w:cs="Arial"/>
          <w:b/>
        </w:rPr>
        <w:t>16.7.</w:t>
      </w:r>
      <w:r>
        <w:rPr>
          <w:rFonts w:ascii="Arial" w:hAnsi="Arial" w:eastAsia="Arial" w:cs="Arial"/>
        </w:rPr>
        <w:t xml:space="preserve"> 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2620359C">
      <w:pPr>
        <w:jc w:val="both"/>
        <w:rPr>
          <w:rFonts w:ascii="Arial" w:hAnsi="Arial" w:eastAsia="Arial" w:cs="Arial"/>
        </w:rPr>
      </w:pPr>
    </w:p>
    <w:p w14:paraId="3CB57332">
      <w:pPr>
        <w:jc w:val="both"/>
        <w:rPr>
          <w:rFonts w:ascii="Arial" w:hAnsi="Arial" w:eastAsia="Arial" w:cs="Arial"/>
        </w:rPr>
      </w:pPr>
      <w:r>
        <w:rPr>
          <w:rFonts w:ascii="Arial" w:hAnsi="Arial" w:eastAsia="Arial" w:cs="Arial"/>
          <w:b/>
        </w:rPr>
        <w:t>16.8.</w:t>
      </w:r>
      <w:r>
        <w:rPr>
          <w:rFonts w:ascii="Arial" w:hAnsi="Arial" w:eastAsia="Arial" w:cs="Arial"/>
        </w:rPr>
        <w:t xml:space="preserve"> 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14:paraId="1811109F">
      <w:pPr>
        <w:jc w:val="both"/>
        <w:rPr>
          <w:rFonts w:ascii="Arial" w:hAnsi="Arial" w:eastAsia="Arial" w:cs="Arial"/>
        </w:rPr>
      </w:pPr>
    </w:p>
    <w:p w14:paraId="61B753DD">
      <w:pPr>
        <w:jc w:val="both"/>
        <w:rPr>
          <w:rFonts w:ascii="Arial" w:hAnsi="Arial" w:eastAsia="Arial" w:cs="Arial"/>
        </w:rPr>
      </w:pPr>
      <w:r>
        <w:rPr>
          <w:rFonts w:ascii="Arial" w:hAnsi="Arial" w:eastAsia="Arial" w:cs="Arial"/>
          <w:b/>
        </w:rPr>
        <w:t xml:space="preserve">16.9. </w:t>
      </w:r>
      <w:r>
        <w:rPr>
          <w:rFonts w:ascii="Arial" w:hAnsi="Arial" w:eastAsia="Arial" w:cs="Arial"/>
        </w:rPr>
        <w:t>Serão formalizadas tantas Atas de Registro de Preços quanto necessárias para o registro de todos os itens constantes no Termo de Referência, com a indicação do licitante vencedor, a descrição do (s) do lote com seus respectivos item (ns), as respectivas quantidades, preços registrados e demais condições.</w:t>
      </w:r>
    </w:p>
    <w:p w14:paraId="511936A7">
      <w:pPr>
        <w:rPr>
          <w:rFonts w:ascii="Arial" w:hAnsi="Arial" w:eastAsia="Arial" w:cs="Arial"/>
          <w:b/>
        </w:rPr>
      </w:pPr>
      <w:bookmarkStart w:id="24" w:name="_heading=h.15hkj7y9idnj"/>
      <w:bookmarkEnd w:id="24"/>
    </w:p>
    <w:p w14:paraId="4F5277B0">
      <w:pPr>
        <w:rPr>
          <w:rFonts w:ascii="Arial" w:hAnsi="Arial" w:eastAsia="Arial" w:cs="Arial"/>
          <w:b/>
        </w:rPr>
      </w:pPr>
      <w:r>
        <w:rPr>
          <w:rFonts w:ascii="Arial" w:hAnsi="Arial" w:eastAsia="Arial" w:cs="Arial"/>
          <w:b/>
        </w:rPr>
        <w:t>16.10. DA FORMAÇÃO DO CADASTRO DE RESERVA:</w:t>
      </w:r>
    </w:p>
    <w:p w14:paraId="29C67EAB">
      <w:pPr>
        <w:rPr>
          <w:rFonts w:ascii="Arial" w:hAnsi="Arial" w:eastAsia="Arial" w:cs="Arial"/>
          <w:b/>
        </w:rPr>
      </w:pPr>
    </w:p>
    <w:p w14:paraId="3EF636E5">
      <w:pPr>
        <w:jc w:val="both"/>
        <w:rPr>
          <w:rFonts w:ascii="Arial" w:hAnsi="Arial" w:eastAsia="Arial" w:cs="Arial"/>
        </w:rPr>
      </w:pPr>
      <w:r>
        <w:rPr>
          <w:rFonts w:ascii="Arial" w:hAnsi="Arial" w:eastAsia="Arial" w:cs="Arial"/>
          <w:b/>
        </w:rPr>
        <w:t>16.10.1.</w:t>
      </w:r>
      <w:r>
        <w:rPr>
          <w:rFonts w:ascii="Arial" w:hAnsi="Arial" w:eastAsia="Arial" w:cs="Arial"/>
        </w:rPr>
        <w:t xml:space="preserve"> Após a homologação da licitação, será incluído na ata, na forma de anexo, o registro:</w:t>
      </w:r>
    </w:p>
    <w:p w14:paraId="06A4C1B1">
      <w:pPr>
        <w:jc w:val="both"/>
      </w:pPr>
    </w:p>
    <w:p w14:paraId="79A75640">
      <w:pPr>
        <w:jc w:val="both"/>
        <w:rPr>
          <w:rFonts w:ascii="Arial" w:hAnsi="Arial" w:eastAsia="Arial" w:cs="Arial"/>
        </w:rPr>
      </w:pPr>
      <w:bookmarkStart w:id="25" w:name="_heading=h.cny8dmezvmbn"/>
      <w:bookmarkEnd w:id="25"/>
      <w:r>
        <w:rPr>
          <w:rFonts w:ascii="Arial" w:hAnsi="Arial" w:eastAsia="Arial" w:cs="Arial"/>
          <w:b/>
        </w:rPr>
        <w:t>16.10.1.1.</w:t>
      </w:r>
      <w:r>
        <w:rPr>
          <w:rFonts w:ascii="Arial" w:hAnsi="Arial" w:eastAsia="Arial" w:cs="Arial"/>
        </w:rPr>
        <w:t xml:space="preserve"> Dos licitantes que aceitarem cotar o objeto com preço igual ao do adjudicatário, observada a classificação na licitação; e </w:t>
      </w:r>
    </w:p>
    <w:p w14:paraId="23A4C2DF">
      <w:pPr>
        <w:jc w:val="both"/>
        <w:rPr>
          <w:rFonts w:ascii="Arial" w:hAnsi="Arial" w:eastAsia="Arial" w:cs="Arial"/>
          <w:b/>
        </w:rPr>
      </w:pPr>
    </w:p>
    <w:p w14:paraId="02D4B4F7">
      <w:pPr>
        <w:jc w:val="both"/>
        <w:rPr>
          <w:rFonts w:ascii="Arial" w:hAnsi="Arial" w:eastAsia="Arial" w:cs="Arial"/>
        </w:rPr>
      </w:pPr>
      <w:r>
        <w:rPr>
          <w:rFonts w:ascii="Arial" w:hAnsi="Arial" w:eastAsia="Arial" w:cs="Arial"/>
          <w:b/>
        </w:rPr>
        <w:t>16.10.1.2.</w:t>
      </w:r>
      <w:r>
        <w:rPr>
          <w:rFonts w:ascii="Arial" w:hAnsi="Arial" w:eastAsia="Arial" w:cs="Arial"/>
        </w:rPr>
        <w:t xml:space="preserve"> Dos licitantes que mantiverem sua proposta original;</w:t>
      </w:r>
    </w:p>
    <w:p w14:paraId="352F13F0">
      <w:pPr>
        <w:jc w:val="both"/>
      </w:pPr>
      <w:r>
        <w:t xml:space="preserve">          </w:t>
      </w:r>
    </w:p>
    <w:p w14:paraId="6A1CBE78">
      <w:pPr>
        <w:jc w:val="both"/>
        <w:rPr>
          <w:rFonts w:ascii="Arial" w:hAnsi="Arial" w:eastAsia="Arial" w:cs="Arial"/>
        </w:rPr>
      </w:pPr>
      <w:r>
        <w:rPr>
          <w:rFonts w:ascii="Arial" w:hAnsi="Arial" w:eastAsia="Arial" w:cs="Arial"/>
          <w:b/>
        </w:rPr>
        <w:t>16.10.2.</w:t>
      </w:r>
      <w:r>
        <w:rPr>
          <w:rFonts w:ascii="Arial" w:hAnsi="Arial" w:eastAsia="Arial" w:cs="Arial"/>
        </w:rPr>
        <w:t xml:space="preserve"> Será respeitada, nas contratações, a ordem de classificação dos licitantes ou fornecedores registrados na ata;</w:t>
      </w:r>
    </w:p>
    <w:p w14:paraId="6BC40218">
      <w:pPr>
        <w:jc w:val="both"/>
        <w:rPr>
          <w:rFonts w:ascii="Arial" w:hAnsi="Arial" w:eastAsia="Arial" w:cs="Arial"/>
        </w:rPr>
      </w:pPr>
    </w:p>
    <w:p w14:paraId="59914043">
      <w:pPr>
        <w:jc w:val="both"/>
        <w:rPr>
          <w:rFonts w:ascii="Arial" w:hAnsi="Arial" w:eastAsia="Arial" w:cs="Arial"/>
        </w:rPr>
      </w:pPr>
      <w:r>
        <w:rPr>
          <w:rFonts w:ascii="Arial" w:hAnsi="Arial" w:eastAsia="Arial" w:cs="Arial"/>
          <w:b/>
        </w:rPr>
        <w:t>16.10.2.1.</w:t>
      </w:r>
      <w:r>
        <w:rPr>
          <w:rFonts w:ascii="Arial" w:hAnsi="Arial" w:eastAsia="Arial" w:cs="Arial"/>
        </w:rPr>
        <w:t xml:space="preserve"> A apresentação de novas propostas na forma deste lote/item não prejudicará o resultado do certame em relação ao licitante melhor classificado;</w:t>
      </w:r>
    </w:p>
    <w:p w14:paraId="345B39C2">
      <w:pPr>
        <w:jc w:val="both"/>
        <w:rPr>
          <w:rFonts w:ascii="Arial" w:hAnsi="Arial" w:eastAsia="Arial" w:cs="Arial"/>
        </w:rPr>
      </w:pPr>
    </w:p>
    <w:p w14:paraId="2AC3A523">
      <w:pPr>
        <w:jc w:val="both"/>
        <w:rPr>
          <w:rFonts w:ascii="Arial" w:hAnsi="Arial" w:eastAsia="Arial" w:cs="Arial"/>
        </w:rPr>
      </w:pPr>
      <w:r>
        <w:rPr>
          <w:rFonts w:ascii="Arial" w:hAnsi="Arial" w:eastAsia="Arial" w:cs="Arial"/>
          <w:b/>
        </w:rPr>
        <w:t>16.10.2.2.</w:t>
      </w:r>
      <w:r>
        <w:rPr>
          <w:rFonts w:ascii="Arial" w:hAnsi="Arial" w:eastAsia="Arial" w:cs="Arial"/>
        </w:rPr>
        <w:t xml:space="preserve"> Para fins da ordem de classificação, os licitantes ou fornecedores que aceitarem cotar o objeto com preço igual ao do adjudicatário antecederão aqueles que mantiverem sua proposta original;</w:t>
      </w:r>
    </w:p>
    <w:p w14:paraId="2EA30B81">
      <w:pPr>
        <w:jc w:val="both"/>
        <w:rPr>
          <w:rFonts w:ascii="Arial" w:hAnsi="Arial" w:eastAsia="Arial" w:cs="Arial"/>
        </w:rPr>
      </w:pPr>
    </w:p>
    <w:p w14:paraId="3FFD1AE5">
      <w:pPr>
        <w:jc w:val="both"/>
        <w:rPr>
          <w:rFonts w:ascii="Arial" w:hAnsi="Arial" w:eastAsia="Arial" w:cs="Arial"/>
        </w:rPr>
      </w:pPr>
      <w:r>
        <w:rPr>
          <w:rFonts w:ascii="Arial" w:hAnsi="Arial" w:eastAsia="Arial" w:cs="Arial"/>
          <w:b/>
        </w:rPr>
        <w:t>16.10.3.</w:t>
      </w:r>
      <w:r>
        <w:rPr>
          <w:rFonts w:ascii="Arial" w:hAnsi="Arial" w:eastAsia="Arial" w:cs="Arial"/>
        </w:rPr>
        <w:t xml:space="preserve"> A habilitação dos licitantes que comporão o cadastro de reserva será efetuada quando houver necessidade de contratação dos licitantes remanescentes, nas seguintes hipóteses:</w:t>
      </w:r>
    </w:p>
    <w:p w14:paraId="6BFDA485">
      <w:pPr>
        <w:jc w:val="both"/>
      </w:pPr>
    </w:p>
    <w:p w14:paraId="7C9D80A4">
      <w:pPr>
        <w:jc w:val="both"/>
        <w:rPr>
          <w:rFonts w:ascii="Arial" w:hAnsi="Arial" w:eastAsia="Arial" w:cs="Arial"/>
        </w:rPr>
      </w:pPr>
      <w:r>
        <w:rPr>
          <w:rFonts w:ascii="Arial" w:hAnsi="Arial" w:eastAsia="Arial" w:cs="Arial"/>
          <w:b/>
        </w:rPr>
        <w:t>16.10.3.1.</w:t>
      </w:r>
      <w:r>
        <w:rPr>
          <w:rFonts w:ascii="Arial" w:hAnsi="Arial" w:eastAsia="Arial" w:cs="Arial"/>
        </w:rPr>
        <w:t xml:space="preserve"> Quando o licitante vencedor não assinar a ata de registro de preços no prazo e nas condições estabelecidos no edital; ou</w:t>
      </w:r>
    </w:p>
    <w:p w14:paraId="415D1D5F">
      <w:pPr>
        <w:jc w:val="both"/>
        <w:rPr>
          <w:rFonts w:ascii="Arial" w:hAnsi="Arial" w:eastAsia="Arial" w:cs="Arial"/>
        </w:rPr>
      </w:pPr>
    </w:p>
    <w:p w14:paraId="2C3CA0DA">
      <w:pPr>
        <w:jc w:val="both"/>
        <w:rPr>
          <w:rFonts w:ascii="Arial" w:hAnsi="Arial" w:eastAsia="Arial" w:cs="Arial"/>
        </w:rPr>
      </w:pPr>
      <w:r>
        <w:rPr>
          <w:rFonts w:ascii="Arial" w:hAnsi="Arial" w:eastAsia="Arial" w:cs="Arial"/>
          <w:b/>
        </w:rPr>
        <w:t>16.10.3.2.</w:t>
      </w:r>
      <w:r>
        <w:rPr>
          <w:rFonts w:ascii="Arial" w:hAnsi="Arial" w:eastAsia="Arial" w:cs="Arial"/>
        </w:rPr>
        <w:t xml:space="preserve"> Quando houver o cancelamento do registro do fornecedor ou do registro de preços;</w:t>
      </w:r>
    </w:p>
    <w:p w14:paraId="2CF38EC8">
      <w:pPr>
        <w:jc w:val="both"/>
        <w:rPr>
          <w:rFonts w:ascii="Arial" w:hAnsi="Arial" w:eastAsia="Arial" w:cs="Arial"/>
        </w:rPr>
      </w:pPr>
    </w:p>
    <w:p w14:paraId="16B9625B">
      <w:pPr>
        <w:jc w:val="both"/>
        <w:rPr>
          <w:rFonts w:ascii="Arial" w:hAnsi="Arial" w:eastAsia="Arial" w:cs="Arial"/>
        </w:rPr>
      </w:pPr>
      <w:r>
        <w:rPr>
          <w:rFonts w:ascii="Arial" w:hAnsi="Arial" w:eastAsia="Arial" w:cs="Arial"/>
          <w:b/>
        </w:rPr>
        <w:t>16.10.4.</w:t>
      </w:r>
      <w:r>
        <w:rPr>
          <w:rFonts w:ascii="Arial" w:hAnsi="Arial" w:eastAsia="Arial" w:cs="Arial"/>
        </w:rPr>
        <w:t xml:space="preserve"> 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14:paraId="60FEEC69">
      <w:pPr>
        <w:jc w:val="both"/>
        <w:rPr>
          <w:rFonts w:ascii="Arial" w:hAnsi="Arial" w:eastAsia="Arial" w:cs="Arial"/>
          <w:b/>
        </w:rPr>
      </w:pPr>
    </w:p>
    <w:p w14:paraId="2EC0708E">
      <w:pPr>
        <w:jc w:val="both"/>
        <w:rPr>
          <w:rFonts w:ascii="Arial" w:hAnsi="Arial" w:eastAsia="Arial" w:cs="Arial"/>
        </w:rPr>
      </w:pPr>
      <w:r>
        <w:rPr>
          <w:rFonts w:ascii="Arial" w:hAnsi="Arial" w:eastAsia="Arial" w:cs="Arial"/>
          <w:b/>
        </w:rPr>
        <w:t xml:space="preserve">16.10.4.1. </w:t>
      </w:r>
      <w:r>
        <w:rPr>
          <w:rFonts w:ascii="Arial" w:hAnsi="Arial" w:eastAsia="Arial" w:cs="Arial"/>
        </w:rPr>
        <w:t>Convocar os licitantes que mantiveram sua proposta original para negociação, na ordem de classificação, com vistas à obtenção de preço melhor, mesmo que acima do preço do adjudicatário; ou</w:t>
      </w:r>
    </w:p>
    <w:p w14:paraId="27AACD75">
      <w:pPr>
        <w:jc w:val="both"/>
        <w:rPr>
          <w:rFonts w:ascii="Arial" w:hAnsi="Arial" w:eastAsia="Arial" w:cs="Arial"/>
          <w:b/>
        </w:rPr>
      </w:pPr>
    </w:p>
    <w:p w14:paraId="5E98BB1F">
      <w:pPr>
        <w:jc w:val="both"/>
        <w:rPr>
          <w:rFonts w:ascii="Arial" w:hAnsi="Arial" w:eastAsia="Arial" w:cs="Arial"/>
        </w:rPr>
      </w:pPr>
      <w:r>
        <w:rPr>
          <w:rFonts w:ascii="Arial" w:hAnsi="Arial" w:eastAsia="Arial" w:cs="Arial"/>
          <w:b/>
        </w:rPr>
        <w:t xml:space="preserve">16.10.4.2. </w:t>
      </w:r>
      <w:r>
        <w:rPr>
          <w:rFonts w:ascii="Arial" w:hAnsi="Arial" w:eastAsia="Arial" w:cs="Arial"/>
        </w:rPr>
        <w:t>Adjudicar e firmar o contrato nas condições ofertadas pelos licitantes remanescentes, observada a ordem de classificação, quando frustrada a negociação de melhor condição.</w:t>
      </w:r>
    </w:p>
    <w:p w14:paraId="244F8841">
      <w:pPr>
        <w:jc w:val="both"/>
        <w:rPr>
          <w:rFonts w:ascii="Arial" w:hAnsi="Arial" w:eastAsia="Arial" w:cs="Arial"/>
          <w:b/>
        </w:rPr>
      </w:pPr>
    </w:p>
    <w:p w14:paraId="1A2ADFFC">
      <w:pPr>
        <w:jc w:val="both"/>
        <w:rPr>
          <w:rFonts w:ascii="Arial" w:hAnsi="Arial" w:eastAsia="Arial" w:cs="Arial"/>
          <w:b/>
        </w:rPr>
      </w:pPr>
      <w:r>
        <w:rPr>
          <w:rFonts w:ascii="Arial" w:hAnsi="Arial" w:eastAsia="Arial" w:cs="Arial"/>
          <w:b/>
        </w:rPr>
        <w:t>16.11.</w:t>
      </w:r>
      <w:r>
        <w:rPr>
          <w:rFonts w:ascii="Arial" w:hAnsi="Arial" w:eastAsia="Arial" w:cs="Arial"/>
          <w:b/>
          <w:sz w:val="26"/>
          <w:szCs w:val="26"/>
        </w:rPr>
        <w:t xml:space="preserve"> </w:t>
      </w:r>
      <w:r>
        <w:rPr>
          <w:rFonts w:ascii="Arial" w:hAnsi="Arial" w:eastAsia="Arial" w:cs="Arial"/>
          <w:b/>
        </w:rPr>
        <w:t>DA POSSIBILIDADE DE ADESÃO POR ÓRGÃOS OU ENTIDADES NÃO PARTICIPANTES (“CARONA”)</w:t>
      </w:r>
    </w:p>
    <w:p w14:paraId="79DF8D20">
      <w:pPr>
        <w:jc w:val="both"/>
        <w:rPr>
          <w:rFonts w:ascii="Arial" w:hAnsi="Arial" w:eastAsia="Arial" w:cs="Arial"/>
          <w:b/>
        </w:rPr>
      </w:pPr>
    </w:p>
    <w:p w14:paraId="103608E0">
      <w:pPr>
        <w:jc w:val="both"/>
        <w:rPr>
          <w:rFonts w:ascii="Arial" w:hAnsi="Arial" w:eastAsia="Arial" w:cs="Arial"/>
        </w:rPr>
      </w:pPr>
      <w:r>
        <w:rPr>
          <w:rFonts w:ascii="Arial" w:hAnsi="Arial" w:eastAsia="Arial" w:cs="Arial"/>
        </w:rPr>
        <w:t>Nos termos do artigo 86, inciso III, da Lei nº 14.133/2021, fica autorizada a adesão à Ata de Registro de Preços por órgãos ou entidades da Administração Pública que não tenham participado do respectivo processo licitatório, mediante prévia justificativa da vantajosidade da contratação, observados os seguintes critérios:</w:t>
      </w:r>
    </w:p>
    <w:p w14:paraId="03FF43C8">
      <w:pPr>
        <w:jc w:val="both"/>
        <w:rPr>
          <w:rFonts w:ascii="Arial" w:hAnsi="Arial" w:eastAsia="Arial" w:cs="Arial"/>
        </w:rPr>
      </w:pPr>
    </w:p>
    <w:p w14:paraId="72D8114A">
      <w:pPr>
        <w:jc w:val="both"/>
        <w:rPr>
          <w:rFonts w:ascii="Arial" w:hAnsi="Arial" w:eastAsia="Arial" w:cs="Arial"/>
        </w:rPr>
      </w:pPr>
      <w:r>
        <w:rPr>
          <w:rFonts w:ascii="Arial" w:hAnsi="Arial" w:eastAsia="Arial" w:cs="Arial"/>
          <w:b/>
        </w:rPr>
        <w:t>16.11.1.</w:t>
      </w:r>
      <w:r>
        <w:rPr>
          <w:rFonts w:ascii="Arial" w:hAnsi="Arial" w:eastAsia="Arial" w:cs="Arial"/>
        </w:rPr>
        <w:t xml:space="preserve"> A adesão (“carona”) somente poderá ocorrer durante a vigência da Ata de Registro de Preços, respeitados os quantitativos máximos registrados, incluídas eventuais contratações decorrentes de adesões.</w:t>
      </w:r>
    </w:p>
    <w:p w14:paraId="661C4894">
      <w:pPr>
        <w:jc w:val="both"/>
        <w:rPr>
          <w:rFonts w:ascii="Arial" w:hAnsi="Arial" w:eastAsia="Arial" w:cs="Arial"/>
          <w:b/>
        </w:rPr>
      </w:pPr>
    </w:p>
    <w:p w14:paraId="661949FA">
      <w:pPr>
        <w:jc w:val="both"/>
        <w:rPr>
          <w:rFonts w:ascii="Arial" w:hAnsi="Arial" w:eastAsia="Arial" w:cs="Arial"/>
        </w:rPr>
      </w:pPr>
      <w:r>
        <w:rPr>
          <w:rFonts w:ascii="Arial" w:hAnsi="Arial" w:eastAsia="Arial" w:cs="Arial"/>
          <w:b/>
        </w:rPr>
        <w:t xml:space="preserve">16.11.2. </w:t>
      </w:r>
      <w:r>
        <w:rPr>
          <w:rFonts w:ascii="Arial" w:hAnsi="Arial" w:eastAsia="Arial" w:cs="Arial"/>
        </w:rPr>
        <w:t>O órgão ou entidade não participante deverá consultar previamente a Administração Gerenciadora, que avaliará a viabilidade e a conveniência da adesão, com base em manifestação técnica e jurídica.</w:t>
      </w:r>
    </w:p>
    <w:p w14:paraId="7337F174">
      <w:pPr>
        <w:jc w:val="both"/>
        <w:rPr>
          <w:rFonts w:ascii="Arial" w:hAnsi="Arial" w:eastAsia="Arial" w:cs="Arial"/>
          <w:b/>
        </w:rPr>
      </w:pPr>
    </w:p>
    <w:p w14:paraId="4436F616">
      <w:pPr>
        <w:jc w:val="both"/>
        <w:rPr>
          <w:rFonts w:ascii="Arial" w:hAnsi="Arial" w:eastAsia="Arial" w:cs="Arial"/>
        </w:rPr>
      </w:pPr>
      <w:r>
        <w:rPr>
          <w:rFonts w:ascii="Arial" w:hAnsi="Arial" w:eastAsia="Arial" w:cs="Arial"/>
          <w:b/>
        </w:rPr>
        <w:t xml:space="preserve">16.11.3. </w:t>
      </w:r>
      <w:r>
        <w:rPr>
          <w:rFonts w:ascii="Arial" w:hAnsi="Arial" w:eastAsia="Arial" w:cs="Arial"/>
        </w:rPr>
        <w:t>A adjudicatária deverá manifestar aceite formal quanto à adesão, observando os preços e as condições constantes na Ata de Registro de Preços original.</w:t>
      </w:r>
    </w:p>
    <w:p w14:paraId="0B8B8914">
      <w:pPr>
        <w:jc w:val="both"/>
        <w:rPr>
          <w:rFonts w:ascii="Arial" w:hAnsi="Arial" w:eastAsia="Arial" w:cs="Arial"/>
        </w:rPr>
      </w:pPr>
    </w:p>
    <w:p w14:paraId="03168B01">
      <w:pPr>
        <w:jc w:val="both"/>
        <w:rPr>
          <w:rFonts w:ascii="Arial" w:hAnsi="Arial" w:eastAsia="Arial" w:cs="Arial"/>
        </w:rPr>
      </w:pPr>
      <w:r>
        <w:rPr>
          <w:rFonts w:ascii="Arial" w:hAnsi="Arial" w:eastAsia="Arial" w:cs="Arial"/>
          <w:b/>
        </w:rPr>
        <w:t xml:space="preserve">16.11.4. </w:t>
      </w:r>
      <w:r>
        <w:rPr>
          <w:rFonts w:ascii="Arial" w:hAnsi="Arial" w:eastAsia="Arial" w:cs="Arial"/>
        </w:rPr>
        <w:t>O quantitativo total decorrente das adesões não poderá exceder ao quíntuplo do quantitativo registrado para cada item, conforme limite fixado no §4º e §6º do art. 86 da lei 14.133/2021, aplicável subsidiariamente até a edição de norma específica pelo ente federativo, salvo disposição diversa expressamente justificada no processo.</w:t>
      </w:r>
    </w:p>
    <w:p w14:paraId="12DF4476">
      <w:pPr>
        <w:jc w:val="both"/>
        <w:rPr>
          <w:rFonts w:ascii="Arial" w:hAnsi="Arial" w:eastAsia="Arial" w:cs="Arial"/>
          <w:b/>
        </w:rPr>
      </w:pPr>
    </w:p>
    <w:p w14:paraId="1A5224F5">
      <w:pPr>
        <w:jc w:val="both"/>
        <w:rPr>
          <w:rFonts w:ascii="Arial" w:hAnsi="Arial" w:eastAsia="Arial" w:cs="Arial"/>
        </w:rPr>
      </w:pPr>
      <w:r>
        <w:rPr>
          <w:rFonts w:ascii="Arial" w:hAnsi="Arial" w:eastAsia="Arial" w:cs="Arial"/>
          <w:b/>
        </w:rPr>
        <w:t xml:space="preserve">16.11.5. </w:t>
      </w:r>
      <w:r>
        <w:rPr>
          <w:rFonts w:ascii="Arial" w:hAnsi="Arial" w:eastAsia="Arial" w:cs="Arial"/>
        </w:rPr>
        <w:t>Cada adesão deverá ser formalizada por meio de instrumento próprio de contratação direta entre o órgão não participante e o fornecedor registrado, cabendo àquele a integral responsabilidade pelo acompanhamento e fiscalização da execução contratual.</w:t>
      </w:r>
    </w:p>
    <w:p w14:paraId="5C609D6C">
      <w:pPr>
        <w:jc w:val="both"/>
        <w:rPr>
          <w:rFonts w:ascii="Arial" w:hAnsi="Arial" w:eastAsia="Arial" w:cs="Arial"/>
        </w:rPr>
      </w:pPr>
    </w:p>
    <w:p w14:paraId="018430F3">
      <w:pPr>
        <w:jc w:val="both"/>
        <w:rPr>
          <w:rFonts w:ascii="Arial" w:hAnsi="Arial" w:eastAsia="Arial" w:cs="Arial"/>
        </w:rPr>
      </w:pPr>
    </w:p>
    <w:p w14:paraId="47567F4B">
      <w:pPr>
        <w:jc w:val="both"/>
        <w:rPr>
          <w:rFonts w:ascii="Arial" w:hAnsi="Arial" w:eastAsia="Arial" w:cs="Arial"/>
          <w:b/>
        </w:rPr>
      </w:pPr>
      <w:r>
        <w:rPr>
          <w:rFonts w:ascii="Arial" w:hAnsi="Arial" w:eastAsia="Arial" w:cs="Arial"/>
          <w:b/>
        </w:rPr>
        <w:t>16.12. DA ALTERAÇÃO DE MARCA E DE PREÇO:</w:t>
      </w:r>
    </w:p>
    <w:p w14:paraId="5C5E2FBF">
      <w:pPr>
        <w:jc w:val="both"/>
        <w:rPr>
          <w:b/>
        </w:rPr>
      </w:pPr>
    </w:p>
    <w:p w14:paraId="245A8CFA">
      <w:pPr>
        <w:jc w:val="both"/>
        <w:rPr>
          <w:rFonts w:ascii="Arial" w:hAnsi="Arial" w:eastAsia="Arial" w:cs="Arial"/>
        </w:rPr>
      </w:pPr>
      <w:r>
        <w:rPr>
          <w:rFonts w:ascii="Arial" w:hAnsi="Arial" w:eastAsia="Arial" w:cs="Arial"/>
          <w:b/>
        </w:rPr>
        <w:t>16.12.1.</w:t>
      </w:r>
      <w:r>
        <w:rPr>
          <w:rFonts w:ascii="Arial" w:hAnsi="Arial" w:eastAsia="Arial" w:cs="Arial"/>
        </w:rPr>
        <w:t xml:space="preserve">  A ARP poderá ser alterada mediante a substituição de marca nas seguintes condições:</w:t>
      </w:r>
    </w:p>
    <w:p w14:paraId="40DF1D73">
      <w:pPr>
        <w:jc w:val="both"/>
        <w:rPr>
          <w:rFonts w:ascii="Arial" w:hAnsi="Arial" w:eastAsia="Arial" w:cs="Arial"/>
        </w:rPr>
      </w:pPr>
      <w:r>
        <w:rPr>
          <w:rFonts w:ascii="Arial" w:hAnsi="Arial" w:eastAsia="Arial" w:cs="Arial"/>
        </w:rPr>
        <w:t> </w:t>
      </w:r>
    </w:p>
    <w:p w14:paraId="4A799B52">
      <w:pPr>
        <w:ind w:left="567"/>
        <w:jc w:val="both"/>
        <w:rPr>
          <w:rFonts w:ascii="Arial" w:hAnsi="Arial" w:eastAsia="Arial" w:cs="Arial"/>
        </w:rPr>
      </w:pPr>
      <w:r>
        <w:rPr>
          <w:rFonts w:ascii="Arial" w:hAnsi="Arial" w:eastAsia="Arial" w:cs="Arial"/>
          <w:b/>
        </w:rPr>
        <w:t xml:space="preserve">I </w:t>
      </w:r>
      <w:r>
        <w:rPr>
          <w:rFonts w:ascii="Arial" w:hAnsi="Arial" w:eastAsia="Arial" w:cs="Arial"/>
        </w:rPr>
        <w:t>- Por solicitação do Órgão ou da Entidade Gerenciadora, se comprovado que a marca não mais atende às especificações exigidas ou se encontra fora da legislação aplicável;</w:t>
      </w:r>
    </w:p>
    <w:p w14:paraId="36486AC3">
      <w:pPr>
        <w:ind w:left="567"/>
        <w:jc w:val="both"/>
        <w:rPr>
          <w:rFonts w:ascii="Arial" w:hAnsi="Arial" w:eastAsia="Arial" w:cs="Arial"/>
        </w:rPr>
      </w:pPr>
    </w:p>
    <w:p w14:paraId="133489BE">
      <w:pPr>
        <w:ind w:left="567"/>
        <w:jc w:val="both"/>
        <w:rPr>
          <w:rFonts w:ascii="Arial" w:hAnsi="Arial" w:eastAsia="Arial" w:cs="Arial"/>
        </w:rPr>
      </w:pPr>
      <w:r>
        <w:rPr>
          <w:rFonts w:ascii="Arial" w:hAnsi="Arial" w:eastAsia="Arial" w:cs="Arial"/>
          <w:b/>
        </w:rPr>
        <w:t>II</w:t>
      </w:r>
      <w:r>
        <w:rPr>
          <w:rFonts w:ascii="Arial" w:hAnsi="Arial" w:eastAsia="Arial" w:cs="Arial"/>
        </w:rPr>
        <w:t xml:space="preserve"> - Por requerimento do Detentor, que deve ser apreciado pelo Órgão ou Entidade Gerenciadora, em hipótese que comprove a impossibilidade de fornecimento.</w:t>
      </w:r>
    </w:p>
    <w:p w14:paraId="6194FBC3">
      <w:pPr>
        <w:jc w:val="both"/>
        <w:rPr>
          <w:rFonts w:ascii="Arial" w:hAnsi="Arial" w:eastAsia="Arial" w:cs="Arial"/>
        </w:rPr>
      </w:pPr>
      <w:r>
        <w:rPr>
          <w:rFonts w:ascii="Arial" w:hAnsi="Arial" w:eastAsia="Arial" w:cs="Arial"/>
        </w:rPr>
        <w:t> </w:t>
      </w:r>
    </w:p>
    <w:p w14:paraId="2B8B5B75">
      <w:pPr>
        <w:jc w:val="both"/>
        <w:rPr>
          <w:rFonts w:ascii="Arial" w:hAnsi="Arial" w:eastAsia="Arial" w:cs="Arial"/>
        </w:rPr>
      </w:pPr>
      <w:r>
        <w:rPr>
          <w:rFonts w:ascii="Arial" w:hAnsi="Arial" w:eastAsia="Arial" w:cs="Arial"/>
          <w:b/>
        </w:rPr>
        <w:t>16.12.2.</w:t>
      </w:r>
      <w:r>
        <w:rPr>
          <w:rFonts w:ascii="Arial" w:hAnsi="Arial" w:eastAsia="Arial" w:cs="Arial"/>
        </w:rPr>
        <w:t xml:space="preserve"> O Órgão ou Entidade Gerenciadora somente poderá aquiescer com a substituição requerida pelo Detentor se comprovadamente houver igualdade de condições ou vantagem para o interesse público.</w:t>
      </w:r>
    </w:p>
    <w:p w14:paraId="1C405566">
      <w:pPr>
        <w:jc w:val="both"/>
        <w:rPr>
          <w:rFonts w:ascii="Arial" w:hAnsi="Arial" w:eastAsia="Arial" w:cs="Arial"/>
          <w:b/>
        </w:rPr>
      </w:pPr>
    </w:p>
    <w:p w14:paraId="6B18DEE0">
      <w:pPr>
        <w:jc w:val="both"/>
        <w:rPr>
          <w:rFonts w:ascii="Arial" w:hAnsi="Arial" w:eastAsia="Arial" w:cs="Arial"/>
        </w:rPr>
      </w:pPr>
      <w:r>
        <w:rPr>
          <w:rFonts w:ascii="Arial" w:hAnsi="Arial" w:eastAsia="Arial" w:cs="Arial"/>
          <w:b/>
        </w:rPr>
        <w:t>16.12.3.</w:t>
      </w:r>
      <w:r>
        <w:rPr>
          <w:rFonts w:ascii="Arial" w:hAnsi="Arial" w:eastAsia="Arial" w:cs="Arial"/>
        </w:rPr>
        <w:t xml:space="preserve"> A substituição de marca implicará em nova análise do produto, conforme previsto no edital, anexos e na legislação aplicável. </w:t>
      </w:r>
    </w:p>
    <w:p w14:paraId="342B39C0">
      <w:pPr>
        <w:jc w:val="both"/>
        <w:rPr>
          <w:rFonts w:ascii="Arial" w:hAnsi="Arial" w:eastAsia="Arial" w:cs="Arial"/>
        </w:rPr>
      </w:pPr>
    </w:p>
    <w:p w14:paraId="795356AF">
      <w:pPr>
        <w:jc w:val="both"/>
        <w:rPr>
          <w:rFonts w:ascii="Arial" w:hAnsi="Arial" w:eastAsia="Arial" w:cs="Arial"/>
        </w:rPr>
      </w:pPr>
      <w:r>
        <w:rPr>
          <w:rFonts w:ascii="Arial" w:hAnsi="Arial" w:eastAsia="Arial" w:cs="Arial"/>
          <w:b/>
        </w:rPr>
        <w:t>16.12.4.</w:t>
      </w:r>
      <w:r>
        <w:rPr>
          <w:rFonts w:ascii="Arial" w:hAnsi="Arial" w:eastAsia="Arial" w:cs="Arial"/>
        </w:rPr>
        <w:t xml:space="preserve"> A substituição de marca deverá ser publicada obrigatoriamente no DIORONDON.</w:t>
      </w:r>
    </w:p>
    <w:p w14:paraId="0D3172E9">
      <w:pPr>
        <w:jc w:val="both"/>
        <w:rPr>
          <w:rFonts w:ascii="Arial" w:hAnsi="Arial" w:eastAsia="Arial" w:cs="Arial"/>
        </w:rPr>
      </w:pPr>
    </w:p>
    <w:p w14:paraId="3D120785">
      <w:pPr>
        <w:pStyle w:val="2"/>
        <w:spacing w:before="0" w:after="0"/>
        <w:rPr>
          <w:sz w:val="20"/>
          <w:szCs w:val="20"/>
          <w:lang w:val="pt-BR"/>
        </w:rPr>
      </w:pPr>
      <w:bookmarkStart w:id="26" w:name="_heading=h.nj34dvd9v2e2"/>
      <w:bookmarkEnd w:id="26"/>
      <w:r>
        <w:rPr>
          <w:sz w:val="20"/>
          <w:szCs w:val="20"/>
          <w:lang w:val="pt-BR"/>
        </w:rPr>
        <w:t>17. DOS RECURSOS SOBRE PROPOSTA, HABILITAÇÃO OU INABILITAÇÃO DE LICITANTES:</w:t>
      </w:r>
    </w:p>
    <w:p w14:paraId="77B75FF7">
      <w:pPr>
        <w:rPr>
          <w:rFonts w:ascii="Arial" w:hAnsi="Arial" w:eastAsia="Arial" w:cs="Arial"/>
          <w:b/>
        </w:rPr>
      </w:pPr>
    </w:p>
    <w:p w14:paraId="50E98116">
      <w:pPr>
        <w:jc w:val="both"/>
        <w:rPr>
          <w:rFonts w:ascii="Arial" w:hAnsi="Arial" w:eastAsia="Arial" w:cs="Arial"/>
        </w:rPr>
      </w:pPr>
      <w:r>
        <w:rPr>
          <w:rFonts w:ascii="Arial" w:hAnsi="Arial" w:eastAsia="Arial" w:cs="Arial"/>
          <w:b/>
        </w:rPr>
        <w:t>17.1.</w:t>
      </w:r>
      <w:r>
        <w:rPr>
          <w:rFonts w:ascii="Arial" w:hAnsi="Arial" w:eastAsia="Arial" w:cs="Arial"/>
        </w:rPr>
        <w:t xml:space="preserve"> Após a análise da habilitação, o pregoeiro declarará os licitantes habilitados e inabilitados. Qualquer licitante poderá, no prazo de 60 (sessenta) minutos, manifestar sua intenção de recorrer contra o ato de habilitação ou inabilitação;</w:t>
      </w:r>
    </w:p>
    <w:p w14:paraId="290A1AA9">
      <w:pPr>
        <w:jc w:val="both"/>
        <w:rPr>
          <w:rFonts w:ascii="Arial" w:hAnsi="Arial" w:eastAsia="Arial" w:cs="Arial"/>
          <w:b/>
        </w:rPr>
      </w:pPr>
    </w:p>
    <w:p w14:paraId="03AD8DEE">
      <w:pPr>
        <w:jc w:val="both"/>
        <w:rPr>
          <w:rFonts w:ascii="Arial" w:hAnsi="Arial" w:eastAsia="Arial" w:cs="Arial"/>
        </w:rPr>
      </w:pPr>
      <w:r>
        <w:rPr>
          <w:rFonts w:ascii="Arial" w:hAnsi="Arial" w:eastAsia="Arial" w:cs="Arial"/>
          <w:b/>
        </w:rPr>
        <w:t>17.1.1.</w:t>
      </w:r>
      <w:r>
        <w:rPr>
          <w:rFonts w:ascii="Arial" w:hAnsi="Arial" w:eastAsia="Arial" w:cs="Arial"/>
        </w:rPr>
        <w:t xml:space="preserve"> A interposição de recurso referente ao julgamento das propostas, à habilitação ou inabilitação de licitantes, à anulação ou revogação da licitação, observará o disposto no </w:t>
      </w:r>
      <w:r>
        <w:fldChar w:fldCharType="begin"/>
      </w:r>
      <w:r>
        <w:instrText xml:space="preserve"> HYPERLINK "http://www.planalto.gov.br/ccivil_03/_ato2019-2022/2021/lei/L14133.htm" \l "art165" </w:instrText>
      </w:r>
      <w:r>
        <w:fldChar w:fldCharType="separate"/>
      </w:r>
      <w:r>
        <w:rPr>
          <w:rFonts w:ascii="Arial" w:hAnsi="Arial" w:eastAsia="Arial" w:cs="Arial"/>
        </w:rPr>
        <w:t>art. 165 da Lei nº 14.133, de 2021</w:t>
      </w:r>
      <w:r>
        <w:rPr>
          <w:rFonts w:ascii="Arial" w:hAnsi="Arial" w:eastAsia="Arial" w:cs="Arial"/>
        </w:rPr>
        <w:fldChar w:fldCharType="end"/>
      </w:r>
      <w:r>
        <w:rPr>
          <w:rFonts w:ascii="Arial" w:hAnsi="Arial" w:eastAsia="Arial" w:cs="Arial"/>
        </w:rPr>
        <w:t>;</w:t>
      </w:r>
    </w:p>
    <w:p w14:paraId="342A9058">
      <w:pPr>
        <w:jc w:val="both"/>
        <w:rPr>
          <w:rFonts w:ascii="Arial" w:hAnsi="Arial" w:eastAsia="Arial" w:cs="Arial"/>
          <w:highlight w:val="white"/>
        </w:rPr>
      </w:pPr>
      <w:r>
        <w:rPr>
          <w:rFonts w:ascii="Arial" w:hAnsi="Arial" w:eastAsia="Arial" w:cs="Arial"/>
          <w:b/>
          <w:highlight w:val="white"/>
        </w:rPr>
        <w:t>17.2.</w:t>
      </w:r>
      <w:r>
        <w:rPr>
          <w:rFonts w:ascii="Arial" w:hAnsi="Arial" w:eastAsia="Arial" w:cs="Arial"/>
          <w:highlight w:val="white"/>
        </w:rPr>
        <w:t xml:space="preserve"> A ausência de manifestação imediata e motivada do licitante nos termos do disposto no </w:t>
      </w:r>
      <w:r>
        <w:rPr>
          <w:rFonts w:ascii="Arial" w:hAnsi="Arial" w:eastAsia="Arial" w:cs="Arial"/>
          <w:b/>
          <w:highlight w:val="white"/>
        </w:rPr>
        <w:t>item 17.1</w:t>
      </w:r>
      <w:r>
        <w:rPr>
          <w:rFonts w:ascii="Arial" w:hAnsi="Arial" w:eastAsia="Arial" w:cs="Arial"/>
          <w:highlight w:val="white"/>
        </w:rPr>
        <w:t xml:space="preserve">, importará na decadência </w:t>
      </w:r>
      <w:r>
        <w:rPr>
          <w:rFonts w:ascii="Arial" w:hAnsi="Arial" w:eastAsia="Arial" w:cs="Arial"/>
        </w:rPr>
        <w:t>do direito de recurso</w:t>
      </w:r>
      <w:r>
        <w:rPr>
          <w:rFonts w:ascii="Arial" w:hAnsi="Arial" w:eastAsia="Arial" w:cs="Arial"/>
          <w:highlight w:val="white"/>
        </w:rPr>
        <w:t>, e o Pregoeiro estará autorizado a adjudicar o objeto ao licitante declarado vencedor;</w:t>
      </w:r>
    </w:p>
    <w:p w14:paraId="5FF0523D">
      <w:pPr>
        <w:jc w:val="both"/>
        <w:rPr>
          <w:rFonts w:ascii="Arial" w:hAnsi="Arial" w:eastAsia="Arial" w:cs="Arial"/>
          <w:highlight w:val="white"/>
        </w:rPr>
      </w:pPr>
    </w:p>
    <w:p w14:paraId="218FD8EF">
      <w:pPr>
        <w:jc w:val="both"/>
        <w:rPr>
          <w:rFonts w:ascii="Arial" w:hAnsi="Arial" w:eastAsia="Arial" w:cs="Arial"/>
        </w:rPr>
      </w:pPr>
      <w:r>
        <w:rPr>
          <w:rFonts w:ascii="Arial" w:hAnsi="Arial" w:eastAsia="Arial" w:cs="Arial"/>
          <w:b/>
        </w:rPr>
        <w:t>17.3.</w:t>
      </w:r>
      <w:r>
        <w:rPr>
          <w:rFonts w:ascii="Arial" w:hAnsi="Arial" w:eastAsia="Arial" w:cs="Arial"/>
        </w:rPr>
        <w:t xml:space="preserve"> Só será acatado o recurso em memorial descritivo, a mensagem postada no site só servirá para efeito de manifestação de intenção de recorrer.</w:t>
      </w:r>
    </w:p>
    <w:p w14:paraId="26821C72">
      <w:pPr>
        <w:jc w:val="both"/>
        <w:rPr>
          <w:rFonts w:ascii="Arial" w:hAnsi="Arial" w:eastAsia="Arial" w:cs="Arial"/>
        </w:rPr>
      </w:pPr>
    </w:p>
    <w:p w14:paraId="688A1029">
      <w:pPr>
        <w:jc w:val="both"/>
        <w:rPr>
          <w:rFonts w:ascii="Arial" w:hAnsi="Arial" w:eastAsia="Arial" w:cs="Arial"/>
        </w:rPr>
      </w:pPr>
      <w:r>
        <w:rPr>
          <w:rFonts w:ascii="Arial" w:hAnsi="Arial" w:eastAsia="Arial" w:cs="Arial"/>
          <w:b/>
        </w:rPr>
        <w:t>17.4.</w:t>
      </w:r>
      <w:r>
        <w:rPr>
          <w:rFonts w:ascii="Arial" w:hAnsi="Arial" w:eastAsia="Arial" w:cs="Arial"/>
        </w:rPr>
        <w:t xml:space="preserve"> A alegação apresentada no memorial do recurso deverá relacionar-se com as razões indicadas pela licitante no momento da sessão pública, sob pena de não ser conhecido o recurso. </w:t>
      </w:r>
    </w:p>
    <w:p w14:paraId="139AF16E">
      <w:pPr>
        <w:jc w:val="both"/>
        <w:rPr>
          <w:rFonts w:ascii="Arial" w:hAnsi="Arial" w:eastAsia="Arial" w:cs="Arial"/>
        </w:rPr>
      </w:pPr>
    </w:p>
    <w:p w14:paraId="3A2CB817">
      <w:pPr>
        <w:jc w:val="both"/>
        <w:rPr>
          <w:rFonts w:ascii="Arial" w:hAnsi="Arial" w:eastAsia="Arial" w:cs="Arial"/>
        </w:rPr>
      </w:pPr>
      <w:r>
        <w:rPr>
          <w:rFonts w:ascii="Arial" w:hAnsi="Arial" w:eastAsia="Arial" w:cs="Arial"/>
          <w:b/>
        </w:rPr>
        <w:t>17.5.</w:t>
      </w:r>
      <w:r>
        <w:rPr>
          <w:rFonts w:ascii="Arial" w:hAnsi="Arial" w:eastAsia="Arial" w:cs="Arial"/>
        </w:rPr>
        <w:t xml:space="preserve"> O prazo para apresentação das razões recursais será de 3 (três) dias úteis, contados da data de lavratura da ata de habilitação ou inabilitação ou da intimação conforme o caso;</w:t>
      </w:r>
    </w:p>
    <w:p w14:paraId="609F2DDC">
      <w:pPr>
        <w:jc w:val="both"/>
        <w:rPr>
          <w:rFonts w:ascii="Arial" w:hAnsi="Arial" w:eastAsia="Arial" w:cs="Arial"/>
        </w:rPr>
      </w:pPr>
    </w:p>
    <w:p w14:paraId="55AF3327">
      <w:pPr>
        <w:jc w:val="both"/>
        <w:rPr>
          <w:rFonts w:ascii="Arial" w:hAnsi="Arial" w:eastAsia="Arial" w:cs="Arial"/>
        </w:rPr>
      </w:pPr>
      <w:r>
        <w:rPr>
          <w:rFonts w:ascii="Arial" w:hAnsi="Arial" w:eastAsia="Arial" w:cs="Arial"/>
          <w:b/>
        </w:rPr>
        <w:t xml:space="preserve">17.6. </w:t>
      </w:r>
      <w:r>
        <w:rPr>
          <w:rFonts w:ascii="Arial" w:hAnsi="Arial" w:eastAsia="Arial" w:cs="Arial"/>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D4A3E07">
      <w:pPr>
        <w:jc w:val="both"/>
        <w:rPr>
          <w:rFonts w:ascii="Arial" w:hAnsi="Arial" w:eastAsia="Arial" w:cs="Arial"/>
        </w:rPr>
      </w:pPr>
    </w:p>
    <w:p w14:paraId="643A6ABB">
      <w:pPr>
        <w:jc w:val="both"/>
        <w:rPr>
          <w:rFonts w:ascii="Arial" w:hAnsi="Arial" w:eastAsia="Arial" w:cs="Arial"/>
        </w:rPr>
      </w:pPr>
      <w:r>
        <w:rPr>
          <w:rFonts w:ascii="Arial" w:hAnsi="Arial" w:eastAsia="Arial" w:cs="Arial"/>
          <w:b/>
        </w:rPr>
        <w:t xml:space="preserve">17.7. </w:t>
      </w:r>
      <w:r>
        <w:rPr>
          <w:rFonts w:ascii="Arial" w:hAnsi="Arial" w:eastAsia="Arial" w:cs="Arial"/>
        </w:rPr>
        <w:t>Os recursos e contrarrazões ao recurso deverão ser encaminhados exclusivamente em campo próprio no sítio eletrônico</w:t>
      </w:r>
      <w:r>
        <w:t xml:space="preserve"> </w:t>
      </w:r>
      <w:r>
        <w:rPr>
          <w:rFonts w:ascii="Arial" w:hAnsi="Arial" w:eastAsia="Arial" w:cs="Arial"/>
        </w:rPr>
        <w:t>bllcompras.com;</w:t>
      </w:r>
    </w:p>
    <w:p w14:paraId="301D801F">
      <w:pPr>
        <w:jc w:val="both"/>
        <w:rPr>
          <w:rFonts w:ascii="Arial" w:hAnsi="Arial" w:eastAsia="Arial" w:cs="Arial"/>
        </w:rPr>
      </w:pPr>
    </w:p>
    <w:p w14:paraId="76C8E639">
      <w:pPr>
        <w:jc w:val="both"/>
        <w:rPr>
          <w:rFonts w:ascii="Arial" w:hAnsi="Arial" w:eastAsia="Arial" w:cs="Arial"/>
        </w:rPr>
      </w:pPr>
      <w:r>
        <w:rPr>
          <w:rFonts w:ascii="Arial" w:hAnsi="Arial" w:eastAsia="Arial" w:cs="Arial"/>
          <w:b/>
        </w:rPr>
        <w:t xml:space="preserve">17.8. </w:t>
      </w:r>
      <w:r>
        <w:rPr>
          <w:rFonts w:ascii="Arial" w:hAnsi="Arial" w:eastAsia="Arial" w:cs="Arial"/>
        </w:rPr>
        <w:t>Os recursos interpostos fora do prazo não serão conhecidos;</w:t>
      </w:r>
    </w:p>
    <w:p w14:paraId="1435050E">
      <w:pPr>
        <w:jc w:val="both"/>
        <w:rPr>
          <w:rFonts w:ascii="Arial" w:hAnsi="Arial" w:eastAsia="Arial" w:cs="Arial"/>
        </w:rPr>
      </w:pPr>
    </w:p>
    <w:p w14:paraId="510FB6BD">
      <w:pPr>
        <w:jc w:val="both"/>
        <w:rPr>
          <w:rFonts w:ascii="Arial" w:hAnsi="Arial" w:eastAsia="Arial" w:cs="Arial"/>
          <w:b/>
        </w:rPr>
      </w:pPr>
      <w:r>
        <w:rPr>
          <w:rFonts w:ascii="Arial" w:hAnsi="Arial" w:eastAsia="Arial" w:cs="Arial"/>
          <w:b/>
        </w:rPr>
        <w:t xml:space="preserve">17.9. </w:t>
      </w:r>
      <w:r>
        <w:rPr>
          <w:rFonts w:ascii="Arial" w:hAnsi="Arial" w:eastAsia="Arial" w:cs="Arial"/>
        </w:rPr>
        <w:t>Os autos do processo permanecerão com vista franqueada aos interessados no sítio eletrônico</w:t>
      </w:r>
      <w:r>
        <w:t xml:space="preserve"> </w:t>
      </w:r>
      <w:r>
        <w:rPr>
          <w:rFonts w:ascii="Arial" w:hAnsi="Arial" w:eastAsia="Arial" w:cs="Arial"/>
        </w:rPr>
        <w:t>bllcompras.com;</w:t>
      </w:r>
    </w:p>
    <w:p w14:paraId="62E24387">
      <w:pPr>
        <w:jc w:val="both"/>
        <w:rPr>
          <w:rFonts w:ascii="Arial" w:hAnsi="Arial" w:eastAsia="Arial" w:cs="Arial"/>
        </w:rPr>
      </w:pPr>
      <w:r>
        <w:rPr>
          <w:rFonts w:ascii="Arial" w:hAnsi="Arial" w:eastAsia="Arial" w:cs="Arial"/>
        </w:rPr>
        <w:t xml:space="preserve"> </w:t>
      </w:r>
    </w:p>
    <w:p w14:paraId="1D458E34">
      <w:pPr>
        <w:jc w:val="both"/>
        <w:rPr>
          <w:rFonts w:ascii="Arial" w:hAnsi="Arial" w:eastAsia="Arial" w:cs="Arial"/>
        </w:rPr>
      </w:pPr>
      <w:r>
        <w:rPr>
          <w:rFonts w:ascii="Arial" w:hAnsi="Arial" w:eastAsia="Arial" w:cs="Arial"/>
          <w:b/>
        </w:rPr>
        <w:t xml:space="preserve">17.10. </w:t>
      </w:r>
      <w:r>
        <w:rPr>
          <w:rFonts w:ascii="Arial" w:hAnsi="Arial" w:eastAsia="Arial" w:cs="Arial"/>
        </w:rPr>
        <w:t xml:space="preserve">O recurso e o pedido de reconsideração terão efeito suspensivo do ato ou da decisão recorrida até que sobrevenha decisão final da autoridade competente; </w:t>
      </w:r>
    </w:p>
    <w:p w14:paraId="106D138C">
      <w:pPr>
        <w:jc w:val="both"/>
        <w:rPr>
          <w:rFonts w:ascii="Arial" w:hAnsi="Arial" w:eastAsia="Arial" w:cs="Arial"/>
          <w:b/>
        </w:rPr>
      </w:pPr>
    </w:p>
    <w:p w14:paraId="43938D3E">
      <w:pPr>
        <w:jc w:val="both"/>
        <w:rPr>
          <w:rFonts w:ascii="Arial" w:hAnsi="Arial" w:eastAsia="Arial" w:cs="Arial"/>
        </w:rPr>
      </w:pPr>
      <w:r>
        <w:rPr>
          <w:rFonts w:ascii="Arial" w:hAnsi="Arial" w:eastAsia="Arial" w:cs="Arial"/>
          <w:b/>
        </w:rPr>
        <w:t xml:space="preserve">17.11. </w:t>
      </w:r>
      <w:r>
        <w:rPr>
          <w:rFonts w:ascii="Arial" w:hAnsi="Arial" w:eastAsia="Arial" w:cs="Arial"/>
        </w:rPr>
        <w:t>O acolhimento do recurso invalida tão somente os atos insuscetíveis de aproveitamento;</w:t>
      </w:r>
    </w:p>
    <w:p w14:paraId="0E9E63E2">
      <w:pPr>
        <w:jc w:val="both"/>
        <w:rPr>
          <w:rFonts w:ascii="Arial" w:hAnsi="Arial" w:eastAsia="Arial" w:cs="Arial"/>
          <w:b/>
        </w:rPr>
      </w:pPr>
    </w:p>
    <w:p w14:paraId="6D6A9F34">
      <w:pPr>
        <w:jc w:val="both"/>
        <w:rPr>
          <w:rFonts w:ascii="Arial" w:hAnsi="Arial" w:eastAsia="Arial" w:cs="Arial"/>
        </w:rPr>
      </w:pPr>
      <w:r>
        <w:rPr>
          <w:rFonts w:ascii="Arial" w:hAnsi="Arial" w:eastAsia="Arial" w:cs="Arial"/>
          <w:b/>
        </w:rPr>
        <w:t xml:space="preserve">17.12. </w:t>
      </w:r>
      <w:r>
        <w:rPr>
          <w:rFonts w:ascii="Arial" w:hAnsi="Arial" w:eastAsia="Arial" w:cs="Arial"/>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2E6A8062">
      <w:pPr>
        <w:jc w:val="both"/>
        <w:rPr>
          <w:rFonts w:ascii="Arial" w:hAnsi="Arial" w:eastAsia="Arial" w:cs="Arial"/>
          <w:b/>
          <w:color w:val="FF0000"/>
        </w:rPr>
      </w:pPr>
    </w:p>
    <w:p w14:paraId="46CBF80F">
      <w:pPr>
        <w:pStyle w:val="2"/>
        <w:spacing w:before="0" w:after="0"/>
        <w:rPr>
          <w:sz w:val="20"/>
          <w:szCs w:val="20"/>
          <w:lang w:val="pt-BR"/>
        </w:rPr>
      </w:pPr>
      <w:bookmarkStart w:id="27" w:name="_heading=h.562fpej4l0dn"/>
      <w:bookmarkEnd w:id="27"/>
      <w:r>
        <w:rPr>
          <w:sz w:val="20"/>
          <w:szCs w:val="20"/>
          <w:lang w:val="pt-BR"/>
        </w:rPr>
        <w:t>18. DA FORMA PARA ENTREGA DOS ITENS:</w:t>
      </w:r>
    </w:p>
    <w:p w14:paraId="19F823BB">
      <w:pPr>
        <w:jc w:val="both"/>
        <w:rPr>
          <w:rFonts w:ascii="Arial" w:hAnsi="Arial" w:eastAsia="Arial" w:cs="Arial"/>
          <w:b/>
        </w:rPr>
      </w:pPr>
    </w:p>
    <w:p w14:paraId="5F7F6CF6">
      <w:pPr>
        <w:jc w:val="both"/>
        <w:rPr>
          <w:rFonts w:ascii="Arial" w:hAnsi="Arial" w:eastAsia="Arial" w:cs="Arial"/>
        </w:rPr>
      </w:pPr>
      <w:r>
        <w:rPr>
          <w:rFonts w:ascii="Arial" w:hAnsi="Arial" w:eastAsia="Arial" w:cs="Arial"/>
          <w:b/>
        </w:rPr>
        <w:t>18.1.</w:t>
      </w:r>
      <w:r>
        <w:rPr>
          <w:rFonts w:ascii="Arial" w:hAnsi="Arial" w:eastAsia="Arial" w:cs="Arial"/>
        </w:rPr>
        <w:t xml:space="preserve"> A solicitação dos itens será feita pela </w:t>
      </w:r>
      <w:r>
        <w:rPr>
          <w:rFonts w:ascii="Arial" w:hAnsi="Arial" w:eastAsia="Arial" w:cs="Arial"/>
          <w:b/>
        </w:rPr>
        <w:t>CONTRATANTE</w:t>
      </w:r>
      <w:r>
        <w:rPr>
          <w:rFonts w:ascii="Arial" w:hAnsi="Arial" w:eastAsia="Arial" w:cs="Arial"/>
        </w:rPr>
        <w:t xml:space="preserve"> à </w:t>
      </w:r>
      <w:r>
        <w:rPr>
          <w:rFonts w:ascii="Arial" w:hAnsi="Arial" w:eastAsia="Arial" w:cs="Arial"/>
          <w:b/>
        </w:rPr>
        <w:t>CONTRATADA</w:t>
      </w:r>
      <w:r>
        <w:rPr>
          <w:rFonts w:ascii="Arial" w:hAnsi="Arial" w:eastAsia="Arial" w:cs="Arial"/>
        </w:rPr>
        <w:t xml:space="preserve">, após a assinatura deste Contrato, de acordo com as necessidades da </w:t>
      </w:r>
      <w:r>
        <w:rPr>
          <w:rFonts w:ascii="Arial" w:hAnsi="Arial" w:eastAsia="Arial" w:cs="Arial"/>
          <w:b/>
        </w:rPr>
        <w:t>CONTRATANTE</w:t>
      </w:r>
      <w:r>
        <w:rPr>
          <w:rFonts w:ascii="Arial" w:hAnsi="Arial" w:eastAsia="Arial" w:cs="Arial"/>
        </w:rPr>
        <w:t>.</w:t>
      </w:r>
    </w:p>
    <w:p w14:paraId="368403C4">
      <w:pPr>
        <w:jc w:val="both"/>
        <w:rPr>
          <w:rFonts w:ascii="Arial" w:hAnsi="Arial" w:eastAsia="Arial" w:cs="Arial"/>
        </w:rPr>
      </w:pPr>
    </w:p>
    <w:p w14:paraId="01914D59">
      <w:pPr>
        <w:jc w:val="both"/>
        <w:rPr>
          <w:rFonts w:ascii="Arial" w:hAnsi="Arial" w:eastAsia="Arial" w:cs="Arial"/>
        </w:rPr>
      </w:pPr>
      <w:r>
        <w:rPr>
          <w:rFonts w:ascii="Arial" w:hAnsi="Arial" w:eastAsia="Arial" w:cs="Arial"/>
          <w:b/>
        </w:rPr>
        <w:t>18.2.</w:t>
      </w:r>
      <w:r>
        <w:rPr>
          <w:rFonts w:ascii="Arial" w:hAnsi="Arial" w:eastAsia="Arial" w:cs="Arial"/>
        </w:rPr>
        <w:t xml:space="preserve"> A entrega deverá ser feita no prazo de 10 (dez) dias corridos, a contar do recebimento da Ordem de Fornecimento e cópia da Nota de Empenho, conforme informado em planilha pelo departamento requisitante, podendo ser prorrogável, por igual período, a critério do CONTRATANTE, quando devidamente justificado;</w:t>
      </w:r>
    </w:p>
    <w:p w14:paraId="3E510C53">
      <w:pPr>
        <w:jc w:val="both"/>
        <w:rPr>
          <w:rFonts w:ascii="Arial" w:hAnsi="Arial" w:eastAsia="Arial" w:cs="Arial"/>
          <w:b/>
          <w:color w:val="FF0000"/>
        </w:rPr>
      </w:pPr>
    </w:p>
    <w:p w14:paraId="4652A073">
      <w:pPr>
        <w:jc w:val="both"/>
        <w:rPr>
          <w:rFonts w:ascii="Arial" w:hAnsi="Arial" w:eastAsia="Arial" w:cs="Arial"/>
        </w:rPr>
      </w:pPr>
      <w:r>
        <w:rPr>
          <w:rFonts w:ascii="Arial" w:hAnsi="Arial" w:eastAsia="Arial" w:cs="Arial"/>
          <w:b/>
        </w:rPr>
        <w:t>18.3.</w:t>
      </w:r>
      <w:r>
        <w:rPr>
          <w:rFonts w:ascii="Arial" w:hAnsi="Arial" w:eastAsia="Arial" w:cs="Arial"/>
        </w:rPr>
        <w:t xml:space="preserve"> As requisições do Órgão Licitante deverão ser atendidas pela Licitante Vencedora, independentemente da existência de greves deflagradas por quaisquer categorias profissionais relacionadas com o fornecimento.</w:t>
      </w:r>
    </w:p>
    <w:p w14:paraId="6AE227FA">
      <w:pPr>
        <w:jc w:val="both"/>
        <w:rPr>
          <w:rFonts w:ascii="Arial" w:hAnsi="Arial" w:eastAsia="Arial" w:cs="Arial"/>
          <w:b/>
        </w:rPr>
      </w:pPr>
    </w:p>
    <w:p w14:paraId="0124979D">
      <w:pPr>
        <w:jc w:val="both"/>
        <w:rPr>
          <w:rFonts w:ascii="Arial" w:hAnsi="Arial" w:eastAsia="Arial" w:cs="Arial"/>
        </w:rPr>
      </w:pPr>
      <w:r>
        <w:rPr>
          <w:rFonts w:ascii="Arial" w:hAnsi="Arial" w:eastAsia="Arial" w:cs="Arial"/>
          <w:b/>
        </w:rPr>
        <w:t>18.4.</w:t>
      </w:r>
      <w:r>
        <w:rPr>
          <w:rFonts w:ascii="Arial" w:hAnsi="Arial" w:eastAsia="Arial" w:cs="Arial"/>
        </w:rPr>
        <w:t xml:space="preserve"> Correrão por conta da Licitante vencedora todas as eventuais despesas com: transporte (entrega), seguro, guincho, manutenção preventiva e corretiva, tributos, IPVA e licenciamento, devendo os itens fornecidos apresentar as características descritas na proposta comercial compatível com as características técnicas exigidas e em conformidade com a legislação específica.</w:t>
      </w:r>
    </w:p>
    <w:p w14:paraId="73D903D3">
      <w:pPr>
        <w:jc w:val="both"/>
        <w:rPr>
          <w:rFonts w:ascii="Arial" w:hAnsi="Arial" w:eastAsia="Arial" w:cs="Arial"/>
        </w:rPr>
      </w:pPr>
    </w:p>
    <w:p w14:paraId="6774B2C8">
      <w:pPr>
        <w:jc w:val="both"/>
        <w:rPr>
          <w:rFonts w:ascii="Arial" w:hAnsi="Arial" w:eastAsia="Arial" w:cs="Arial"/>
        </w:rPr>
      </w:pPr>
      <w:r>
        <w:rPr>
          <w:rFonts w:ascii="Arial" w:hAnsi="Arial" w:eastAsia="Arial" w:cs="Arial"/>
          <w:b/>
        </w:rPr>
        <w:t>18.5.</w:t>
      </w:r>
      <w:r>
        <w:rPr>
          <w:rFonts w:ascii="Arial" w:hAnsi="Arial" w:eastAsia="Arial" w:cs="Arial"/>
        </w:rPr>
        <w:t xml:space="preserve"> Os itens serão recusados no caso de serem entregues fora dos padrões especificados pela </w:t>
      </w:r>
      <w:r>
        <w:rPr>
          <w:rFonts w:ascii="Arial" w:hAnsi="Arial" w:eastAsia="Arial" w:cs="Arial"/>
          <w:b/>
        </w:rPr>
        <w:t>CONTRATANTE</w:t>
      </w:r>
      <w:r>
        <w:rPr>
          <w:rFonts w:ascii="Arial" w:hAnsi="Arial" w:eastAsia="Arial" w:cs="Arial"/>
        </w:rPr>
        <w:t>.</w:t>
      </w:r>
    </w:p>
    <w:p w14:paraId="02FB9513">
      <w:pPr>
        <w:jc w:val="both"/>
        <w:rPr>
          <w:rFonts w:ascii="Arial" w:hAnsi="Arial" w:eastAsia="Arial" w:cs="Arial"/>
        </w:rPr>
      </w:pPr>
    </w:p>
    <w:p w14:paraId="0892BB65">
      <w:pPr>
        <w:jc w:val="both"/>
        <w:rPr>
          <w:rFonts w:ascii="Arial" w:hAnsi="Arial" w:eastAsia="Arial" w:cs="Arial"/>
        </w:rPr>
      </w:pPr>
      <w:bookmarkStart w:id="28" w:name="_heading=h.3dov9lqfttcs"/>
      <w:bookmarkEnd w:id="28"/>
      <w:r>
        <w:rPr>
          <w:rFonts w:ascii="Arial" w:hAnsi="Arial" w:eastAsia="Arial" w:cs="Arial"/>
          <w:b/>
        </w:rPr>
        <w:t>18.6.</w:t>
      </w:r>
      <w:r>
        <w:rPr>
          <w:rFonts w:ascii="Arial" w:hAnsi="Arial" w:eastAsia="Arial" w:cs="Arial"/>
        </w:rPr>
        <w:t xml:space="preserve"> Os itens recusados deverão ser substituídos no prazo máximo de 24 (vinte e quatro) horas, contados a partir do recebimento pela CONTRATADA da formalização da recusa pela CONTRATANTE, arcando a CONTRATADA com os custos dessa operação, inclusive os de reparação.</w:t>
      </w:r>
    </w:p>
    <w:p w14:paraId="002BBBBC">
      <w:pPr>
        <w:jc w:val="both"/>
        <w:rPr>
          <w:rFonts w:ascii="Arial" w:hAnsi="Arial" w:eastAsia="Arial" w:cs="Arial"/>
        </w:rPr>
      </w:pPr>
    </w:p>
    <w:p w14:paraId="28CDBB95">
      <w:pPr>
        <w:pStyle w:val="2"/>
        <w:spacing w:before="0" w:after="0"/>
        <w:rPr>
          <w:sz w:val="20"/>
          <w:szCs w:val="20"/>
          <w:lang w:val="pt-BR"/>
        </w:rPr>
      </w:pPr>
      <w:bookmarkStart w:id="29" w:name="_heading=h.xzvhqx9h3wie"/>
      <w:bookmarkEnd w:id="29"/>
      <w:r>
        <w:rPr>
          <w:sz w:val="20"/>
          <w:szCs w:val="20"/>
          <w:lang w:val="pt-BR"/>
        </w:rPr>
        <w:t>19. DA FORMA PARA:</w:t>
      </w:r>
    </w:p>
    <w:p w14:paraId="77A218B9">
      <w:pPr>
        <w:jc w:val="both"/>
        <w:rPr>
          <w:rFonts w:ascii="Arial" w:hAnsi="Arial" w:eastAsia="Arial" w:cs="Arial"/>
          <w:b/>
        </w:rPr>
      </w:pPr>
    </w:p>
    <w:p w14:paraId="209B7173">
      <w:pPr>
        <w:jc w:val="both"/>
        <w:rPr>
          <w:rFonts w:ascii="Arial" w:hAnsi="Arial" w:eastAsia="Arial" w:cs="Arial"/>
        </w:rPr>
      </w:pPr>
      <w:r>
        <w:rPr>
          <w:rFonts w:ascii="Arial" w:hAnsi="Arial" w:eastAsia="Arial" w:cs="Arial"/>
          <w:b/>
        </w:rPr>
        <w:t xml:space="preserve">19.1. </w:t>
      </w:r>
      <w:r>
        <w:rPr>
          <w:rFonts w:ascii="Arial" w:hAnsi="Arial" w:eastAsia="Arial" w:cs="Arial"/>
        </w:rPr>
        <w:t>Clausula não utilizada para este certame.</w:t>
      </w:r>
    </w:p>
    <w:p w14:paraId="065C0ACB">
      <w:pPr>
        <w:jc w:val="both"/>
        <w:rPr>
          <w:rFonts w:ascii="Arial" w:hAnsi="Arial" w:eastAsia="Arial" w:cs="Arial"/>
        </w:rPr>
      </w:pPr>
    </w:p>
    <w:p w14:paraId="1416C233">
      <w:pPr>
        <w:pStyle w:val="2"/>
        <w:spacing w:before="0" w:after="0"/>
        <w:rPr>
          <w:sz w:val="20"/>
          <w:szCs w:val="20"/>
          <w:lang w:val="pt-BR"/>
        </w:rPr>
      </w:pPr>
      <w:bookmarkStart w:id="30" w:name="_heading=h.43ip783k3h6k"/>
      <w:bookmarkEnd w:id="30"/>
      <w:r>
        <w:rPr>
          <w:sz w:val="20"/>
          <w:szCs w:val="20"/>
          <w:lang w:val="pt-BR"/>
        </w:rPr>
        <w:t xml:space="preserve">20. DA DOTAÇÃO ORÇAMENTÁRIA: </w:t>
      </w:r>
    </w:p>
    <w:p w14:paraId="4824D7B3">
      <w:pPr>
        <w:jc w:val="both"/>
        <w:rPr>
          <w:rFonts w:ascii="Arial" w:hAnsi="Arial" w:eastAsia="Arial" w:cs="Arial"/>
          <w:b/>
        </w:rPr>
      </w:pPr>
    </w:p>
    <w:p w14:paraId="4873B835">
      <w:pPr>
        <w:jc w:val="both"/>
        <w:rPr>
          <w:rFonts w:ascii="Arial" w:hAnsi="Arial" w:eastAsia="Arial" w:cs="Arial"/>
          <w:b/>
        </w:rPr>
      </w:pPr>
      <w:r>
        <w:rPr>
          <w:rFonts w:ascii="Arial" w:hAnsi="Arial" w:eastAsia="Arial" w:cs="Arial"/>
          <w:b/>
        </w:rPr>
        <w:t>20.1.</w:t>
      </w:r>
      <w:r>
        <w:rPr>
          <w:rFonts w:ascii="Arial" w:hAnsi="Arial" w:eastAsia="Arial" w:cs="Arial"/>
        </w:rPr>
        <w:t xml:space="preserve"> Na licitação para registro de preços não é necessário indicar a dotação orçamentária ou qualquer outra informação da origem dos recursos orçamentários, que somente serão exigidas para a formalização do contrato ou outro instrumento hábil. (Art. 299, §2º do Decreto Municipal 11.685/2023)</w:t>
      </w:r>
    </w:p>
    <w:p w14:paraId="1A6E9C5A">
      <w:pPr>
        <w:jc w:val="both"/>
        <w:rPr>
          <w:rFonts w:ascii="Arial" w:hAnsi="Arial" w:eastAsia="Arial" w:cs="Arial"/>
          <w:b/>
        </w:rPr>
      </w:pPr>
    </w:p>
    <w:p w14:paraId="2070ED08">
      <w:pPr>
        <w:pStyle w:val="2"/>
        <w:spacing w:before="0" w:after="0"/>
        <w:rPr>
          <w:sz w:val="20"/>
          <w:szCs w:val="20"/>
          <w:lang w:val="pt-BR"/>
        </w:rPr>
      </w:pPr>
      <w:bookmarkStart w:id="31" w:name="_heading=h.6yzs4jqeh6u"/>
      <w:bookmarkEnd w:id="31"/>
      <w:r>
        <w:rPr>
          <w:sz w:val="20"/>
          <w:szCs w:val="20"/>
          <w:lang w:val="pt-BR"/>
        </w:rPr>
        <w:t xml:space="preserve">21. DAS OBRIGAÇÕES DA CONTRATANTE: </w:t>
      </w:r>
    </w:p>
    <w:p w14:paraId="2742188F">
      <w:pPr>
        <w:jc w:val="both"/>
        <w:rPr>
          <w:rFonts w:ascii="Arial" w:hAnsi="Arial" w:eastAsia="Arial" w:cs="Arial"/>
          <w:b/>
        </w:rPr>
      </w:pPr>
    </w:p>
    <w:p w14:paraId="2DB4F8D2">
      <w:pPr>
        <w:jc w:val="both"/>
        <w:rPr>
          <w:rFonts w:ascii="Arial" w:hAnsi="Arial" w:eastAsia="Arial" w:cs="Arial"/>
        </w:rPr>
      </w:pPr>
      <w:r>
        <w:rPr>
          <w:rFonts w:ascii="Arial" w:hAnsi="Arial" w:eastAsia="Arial" w:cs="Arial"/>
          <w:b/>
        </w:rPr>
        <w:t>21.1.</w:t>
      </w:r>
      <w:r>
        <w:rPr>
          <w:rFonts w:ascii="Arial" w:hAnsi="Arial" w:eastAsia="Arial" w:cs="Arial"/>
        </w:rPr>
        <w:t xml:space="preserve"> Notificar a licitante vencedora a assinar o contrato, ou outro documento equivalente, no prazo de até 05 (cinco) dias úteis e comunicar demais informações que achar pertinentes para o bom cumprimento do objeto; </w:t>
      </w:r>
    </w:p>
    <w:p w14:paraId="12BA6616">
      <w:pPr>
        <w:jc w:val="both"/>
        <w:rPr>
          <w:rFonts w:ascii="Arial" w:hAnsi="Arial" w:eastAsia="Arial" w:cs="Arial"/>
          <w:b/>
        </w:rPr>
      </w:pPr>
    </w:p>
    <w:p w14:paraId="13EB0CA6">
      <w:pPr>
        <w:jc w:val="both"/>
        <w:rPr>
          <w:rFonts w:ascii="Arial" w:hAnsi="Arial" w:eastAsia="Arial" w:cs="Arial"/>
        </w:rPr>
      </w:pPr>
      <w:r>
        <w:rPr>
          <w:rFonts w:ascii="Arial" w:hAnsi="Arial" w:eastAsia="Arial" w:cs="Arial"/>
          <w:b/>
        </w:rPr>
        <w:t>21.2.</w:t>
      </w:r>
      <w:r>
        <w:rPr>
          <w:rFonts w:ascii="Arial" w:hAnsi="Arial" w:eastAsia="Arial" w:cs="Arial"/>
        </w:rPr>
        <w:t xml:space="preserve"> Proporcionar todas as facilidades indispensáveis à boa execução das obrigações contratuais, inclusive permitindo o acesso de empregados, prepostos ou representantes da contratada em suas dependências, quando for o caso. </w:t>
      </w:r>
    </w:p>
    <w:p w14:paraId="3B50E7B0">
      <w:pPr>
        <w:jc w:val="both"/>
        <w:rPr>
          <w:rFonts w:ascii="Arial" w:hAnsi="Arial" w:eastAsia="Arial" w:cs="Arial"/>
        </w:rPr>
      </w:pPr>
    </w:p>
    <w:p w14:paraId="29D52B4C">
      <w:pPr>
        <w:jc w:val="both"/>
        <w:rPr>
          <w:rFonts w:ascii="Arial" w:hAnsi="Arial" w:eastAsia="Arial" w:cs="Arial"/>
        </w:rPr>
      </w:pPr>
      <w:r>
        <w:rPr>
          <w:rFonts w:ascii="Arial" w:hAnsi="Arial" w:eastAsia="Arial" w:cs="Arial"/>
          <w:b/>
        </w:rPr>
        <w:t>21.3.</w:t>
      </w:r>
      <w:r>
        <w:rPr>
          <w:rFonts w:ascii="Arial" w:hAnsi="Arial" w:eastAsia="Arial" w:cs="Arial"/>
        </w:rPr>
        <w:t xml:space="preserve"> Rejeitar, no todo ou em parte, os itens entregues em desacordo com as obrigações assumidas pelo fornecedor. </w:t>
      </w:r>
    </w:p>
    <w:p w14:paraId="71EACCB6">
      <w:pPr>
        <w:jc w:val="both"/>
        <w:rPr>
          <w:rFonts w:ascii="Arial" w:hAnsi="Arial" w:eastAsia="Arial" w:cs="Arial"/>
        </w:rPr>
      </w:pPr>
    </w:p>
    <w:p w14:paraId="57BC549B">
      <w:pPr>
        <w:jc w:val="both"/>
        <w:rPr>
          <w:rFonts w:ascii="Arial" w:hAnsi="Arial" w:eastAsia="Arial" w:cs="Arial"/>
        </w:rPr>
      </w:pPr>
      <w:r>
        <w:rPr>
          <w:rFonts w:ascii="Arial" w:hAnsi="Arial" w:eastAsia="Arial" w:cs="Arial"/>
          <w:b/>
        </w:rPr>
        <w:t>21.4.</w:t>
      </w:r>
      <w:r>
        <w:rPr>
          <w:rFonts w:ascii="Arial" w:hAnsi="Arial" w:eastAsia="Arial" w:cs="Arial"/>
        </w:rPr>
        <w:t xml:space="preserve"> Notificar a CONTRATADA de qualquer irregularidade encontrada nos serviços prestados. </w:t>
      </w:r>
    </w:p>
    <w:p w14:paraId="6F06AD20">
      <w:pPr>
        <w:jc w:val="both"/>
        <w:rPr>
          <w:rFonts w:ascii="Arial" w:hAnsi="Arial" w:eastAsia="Arial" w:cs="Arial"/>
        </w:rPr>
      </w:pPr>
    </w:p>
    <w:p w14:paraId="6E2C9743">
      <w:pPr>
        <w:jc w:val="both"/>
        <w:rPr>
          <w:rFonts w:ascii="Arial" w:hAnsi="Arial" w:eastAsia="Arial" w:cs="Arial"/>
        </w:rPr>
      </w:pPr>
      <w:r>
        <w:rPr>
          <w:rFonts w:ascii="Arial" w:hAnsi="Arial" w:eastAsia="Arial" w:cs="Arial"/>
          <w:b/>
        </w:rPr>
        <w:t>21.5.</w:t>
      </w:r>
      <w:r>
        <w:rPr>
          <w:rFonts w:ascii="Arial" w:hAnsi="Arial" w:eastAsia="Arial" w:cs="Arial"/>
        </w:rPr>
        <w:t xml:space="preserve"> Efetuar o pagamento á CONTRATADA, nas condições estabelecidas no edital. </w:t>
      </w:r>
    </w:p>
    <w:p w14:paraId="3FB3E23F">
      <w:pPr>
        <w:jc w:val="both"/>
        <w:rPr>
          <w:rFonts w:ascii="Arial" w:hAnsi="Arial" w:eastAsia="Arial" w:cs="Arial"/>
        </w:rPr>
      </w:pPr>
    </w:p>
    <w:p w14:paraId="72FB5CEE">
      <w:pPr>
        <w:jc w:val="both"/>
        <w:rPr>
          <w:rFonts w:ascii="Arial" w:hAnsi="Arial" w:eastAsia="Arial" w:cs="Arial"/>
        </w:rPr>
      </w:pPr>
      <w:r>
        <w:rPr>
          <w:rFonts w:ascii="Arial" w:hAnsi="Arial" w:eastAsia="Arial" w:cs="Arial"/>
          <w:b/>
        </w:rPr>
        <w:t>21.6.</w:t>
      </w:r>
      <w:r>
        <w:rPr>
          <w:rFonts w:ascii="Arial" w:hAnsi="Arial" w:eastAsia="Arial" w:cs="Arial"/>
        </w:rPr>
        <w:t xml:space="preserve"> Nenhum pagamento será efetuado à empresa adjudicatária, enquanto pendente de liquidação qualquer obrigação. Esse fato não será gerador de direito a reajustamento de preços ou a atualização monetária. </w:t>
      </w:r>
    </w:p>
    <w:p w14:paraId="302912B1">
      <w:pPr>
        <w:jc w:val="both"/>
        <w:rPr>
          <w:rFonts w:ascii="Arial" w:hAnsi="Arial" w:eastAsia="Arial" w:cs="Arial"/>
        </w:rPr>
      </w:pPr>
    </w:p>
    <w:p w14:paraId="32BEF06F">
      <w:pPr>
        <w:jc w:val="both"/>
        <w:rPr>
          <w:rFonts w:ascii="Arial" w:hAnsi="Arial" w:eastAsia="Arial" w:cs="Arial"/>
        </w:rPr>
      </w:pPr>
      <w:r>
        <w:rPr>
          <w:rFonts w:ascii="Arial" w:hAnsi="Arial" w:eastAsia="Arial" w:cs="Arial"/>
          <w:b/>
        </w:rPr>
        <w:t>21.7.</w:t>
      </w:r>
      <w:r>
        <w:rPr>
          <w:rFonts w:ascii="Arial" w:hAnsi="Arial" w:eastAsia="Arial" w:cs="Arial"/>
        </w:rPr>
        <w:t xml:space="preserve"> Não haverá, sob hipótese alguma, pagamento antecipado. </w:t>
      </w:r>
    </w:p>
    <w:p w14:paraId="621AADE3">
      <w:pPr>
        <w:jc w:val="both"/>
        <w:rPr>
          <w:rFonts w:ascii="Arial" w:hAnsi="Arial" w:eastAsia="Arial" w:cs="Arial"/>
        </w:rPr>
      </w:pPr>
    </w:p>
    <w:p w14:paraId="348DB5F5">
      <w:pPr>
        <w:jc w:val="both"/>
        <w:rPr>
          <w:rFonts w:ascii="Arial" w:hAnsi="Arial" w:eastAsia="Arial" w:cs="Arial"/>
        </w:rPr>
      </w:pPr>
      <w:r>
        <w:rPr>
          <w:rFonts w:ascii="Arial" w:hAnsi="Arial" w:eastAsia="Arial" w:cs="Arial"/>
          <w:b/>
        </w:rPr>
        <w:t>21.8.</w:t>
      </w:r>
      <w:r>
        <w:rPr>
          <w:rFonts w:ascii="Arial" w:hAnsi="Arial" w:eastAsia="Arial" w:cs="Arial"/>
        </w:rPr>
        <w:t xml:space="preserve"> Coordenar e fiscalizar a entrega dos serviços pertinente à presente contratação. </w:t>
      </w:r>
    </w:p>
    <w:p w14:paraId="3B8A3F56">
      <w:pPr>
        <w:jc w:val="both"/>
        <w:rPr>
          <w:rFonts w:ascii="Arial" w:hAnsi="Arial" w:eastAsia="Arial" w:cs="Arial"/>
        </w:rPr>
      </w:pPr>
    </w:p>
    <w:p w14:paraId="41AC9D16">
      <w:pPr>
        <w:jc w:val="both"/>
        <w:rPr>
          <w:rFonts w:ascii="Arial" w:hAnsi="Arial" w:eastAsia="Arial" w:cs="Arial"/>
        </w:rPr>
      </w:pPr>
      <w:r>
        <w:rPr>
          <w:rFonts w:ascii="Arial" w:hAnsi="Arial" w:eastAsia="Arial" w:cs="Arial"/>
          <w:b/>
        </w:rPr>
        <w:t>21.9.</w:t>
      </w:r>
      <w:r>
        <w:rPr>
          <w:rFonts w:ascii="Arial" w:hAnsi="Arial" w:eastAsia="Arial" w:cs="Arial"/>
        </w:rPr>
        <w:t xml:space="preserve"> Prestar as informações e os esclarecimentos que fizerem necessários.</w:t>
      </w:r>
    </w:p>
    <w:p w14:paraId="16131C7A">
      <w:pPr>
        <w:jc w:val="both"/>
        <w:rPr>
          <w:rFonts w:ascii="Arial" w:hAnsi="Arial" w:eastAsia="Arial" w:cs="Arial"/>
        </w:rPr>
      </w:pPr>
    </w:p>
    <w:p w14:paraId="763832BC">
      <w:pPr>
        <w:pStyle w:val="2"/>
        <w:spacing w:before="0" w:after="0"/>
        <w:rPr>
          <w:sz w:val="20"/>
          <w:szCs w:val="20"/>
          <w:lang w:val="pt-BR"/>
        </w:rPr>
      </w:pPr>
      <w:bookmarkStart w:id="32" w:name="_heading=h.y9dm7fhd8pf6"/>
      <w:bookmarkEnd w:id="32"/>
      <w:r>
        <w:rPr>
          <w:sz w:val="20"/>
          <w:szCs w:val="20"/>
          <w:lang w:val="pt-BR"/>
        </w:rPr>
        <w:t>22. DAS OBRIGAÇÕES E RESPONSABILIDADES DA CONTRATADA:</w:t>
      </w:r>
    </w:p>
    <w:p w14:paraId="64FF3BE6">
      <w:pPr>
        <w:jc w:val="both"/>
        <w:rPr>
          <w:rFonts w:ascii="Arial" w:hAnsi="Arial" w:eastAsia="Arial" w:cs="Arial"/>
          <w:b/>
        </w:rPr>
      </w:pPr>
    </w:p>
    <w:p w14:paraId="2EA9CC15">
      <w:pPr>
        <w:jc w:val="both"/>
        <w:rPr>
          <w:rFonts w:ascii="Arial" w:hAnsi="Arial" w:eastAsia="Arial" w:cs="Arial"/>
        </w:rPr>
      </w:pPr>
      <w:r>
        <w:rPr>
          <w:rFonts w:ascii="Arial" w:hAnsi="Arial" w:eastAsia="Arial" w:cs="Arial"/>
          <w:b/>
        </w:rPr>
        <w:t>22.1.</w:t>
      </w:r>
      <w:r>
        <w:rPr>
          <w:rFonts w:ascii="Arial" w:hAnsi="Arial" w:eastAsia="Arial" w:cs="Arial"/>
        </w:rPr>
        <w:t xml:space="preserve"> Após a homologação da licitação, comparecer a Prefeitura Municipal para assinatura do contrato, ou outro documento equivalente, em até 03 (três) dias úteis, contados do recebimento da convocação formal; </w:t>
      </w:r>
    </w:p>
    <w:p w14:paraId="43072030">
      <w:pPr>
        <w:jc w:val="both"/>
        <w:rPr>
          <w:rFonts w:ascii="Arial" w:hAnsi="Arial" w:eastAsia="Arial" w:cs="Arial"/>
        </w:rPr>
      </w:pPr>
    </w:p>
    <w:p w14:paraId="036AB41F">
      <w:pPr>
        <w:jc w:val="both"/>
        <w:rPr>
          <w:rFonts w:ascii="Arial" w:hAnsi="Arial" w:eastAsia="Arial" w:cs="Arial"/>
        </w:rPr>
      </w:pPr>
      <w:r>
        <w:rPr>
          <w:rFonts w:ascii="Arial" w:hAnsi="Arial" w:eastAsia="Arial" w:cs="Arial"/>
          <w:b/>
        </w:rPr>
        <w:t xml:space="preserve">22.2. </w:t>
      </w:r>
      <w:r>
        <w:rPr>
          <w:rFonts w:ascii="Arial" w:hAnsi="Arial" w:eastAsia="Arial" w:cs="Arial"/>
        </w:rPr>
        <w:t xml:space="preserve">A Administração, ao invés de convocar o adjudicatário, poderá encaminhá-lo, o instrumento contratual, mediante correspondência postal com aviso de recebimento (AR) ou meio eletrônico, para que seja assinado no prazo de 03 (três) dias úteis, a contar da data de seu recebimento. </w:t>
      </w:r>
    </w:p>
    <w:p w14:paraId="2F8CC535">
      <w:pPr>
        <w:jc w:val="both"/>
        <w:rPr>
          <w:rFonts w:ascii="Arial" w:hAnsi="Arial" w:eastAsia="Arial" w:cs="Arial"/>
        </w:rPr>
      </w:pPr>
    </w:p>
    <w:p w14:paraId="467641B8">
      <w:pPr>
        <w:jc w:val="both"/>
        <w:rPr>
          <w:rFonts w:ascii="Arial" w:hAnsi="Arial" w:eastAsia="Arial" w:cs="Arial"/>
        </w:rPr>
      </w:pPr>
      <w:r>
        <w:rPr>
          <w:rFonts w:ascii="Arial" w:hAnsi="Arial" w:eastAsia="Arial" w:cs="Arial"/>
          <w:b/>
        </w:rPr>
        <w:t xml:space="preserve">22.3. </w:t>
      </w:r>
      <w:r>
        <w:rPr>
          <w:rFonts w:ascii="Arial" w:hAnsi="Arial" w:eastAsia="Arial" w:cs="Arial"/>
        </w:rPr>
        <w:t>O prazo previsto no subitem anterior poderá ser prorrogado, por igual período, por solicitação justificada do adjudicatário e aceita pela Administração.</w:t>
      </w:r>
    </w:p>
    <w:p w14:paraId="41C403EA">
      <w:pPr>
        <w:jc w:val="both"/>
        <w:rPr>
          <w:rFonts w:ascii="Arial" w:hAnsi="Arial" w:eastAsia="Arial" w:cs="Arial"/>
        </w:rPr>
      </w:pPr>
    </w:p>
    <w:p w14:paraId="17D6FA35">
      <w:pPr>
        <w:jc w:val="both"/>
        <w:rPr>
          <w:rFonts w:ascii="Arial" w:hAnsi="Arial" w:eastAsia="Arial" w:cs="Arial"/>
        </w:rPr>
      </w:pPr>
      <w:r>
        <w:rPr>
          <w:rFonts w:ascii="Arial" w:hAnsi="Arial" w:eastAsia="Arial" w:cs="Arial"/>
          <w:b/>
        </w:rPr>
        <w:t>22.4.</w:t>
      </w:r>
      <w:r>
        <w:rPr>
          <w:rFonts w:ascii="Arial" w:hAnsi="Arial" w:eastAsia="Arial" w:cs="Arial"/>
        </w:rPr>
        <w:t xml:space="preserve"> Executar o fornecimento dentro dos padrões estabelecidos pela administração, de acordo com a especificação do Edital, responsabilizando-se por eventuais prejuízos decorrentes do descumprimento de condição estabelecida; </w:t>
      </w:r>
    </w:p>
    <w:p w14:paraId="2D4980B2">
      <w:pPr>
        <w:jc w:val="both"/>
        <w:rPr>
          <w:rFonts w:ascii="Arial" w:hAnsi="Arial" w:eastAsia="Arial" w:cs="Arial"/>
          <w:b/>
        </w:rPr>
      </w:pPr>
    </w:p>
    <w:p w14:paraId="77DB0467">
      <w:pPr>
        <w:jc w:val="both"/>
        <w:rPr>
          <w:rFonts w:ascii="Arial" w:hAnsi="Arial" w:eastAsia="Arial" w:cs="Arial"/>
        </w:rPr>
      </w:pPr>
      <w:r>
        <w:rPr>
          <w:rFonts w:ascii="Arial" w:hAnsi="Arial" w:eastAsia="Arial" w:cs="Arial"/>
          <w:b/>
        </w:rPr>
        <w:t>22.5.</w:t>
      </w:r>
      <w:r>
        <w:rPr>
          <w:rFonts w:ascii="Arial" w:hAnsi="Arial" w:eastAsia="Arial" w:cs="Arial"/>
        </w:rPr>
        <w:t xml:space="preserve"> Dispor-se a toda e qualquer fiscalização da CONTRATANTE, no tocante ao fornecimento do objeto licitado, assim como ao cumprimento das obrigações previstas na ata de registro de preços;</w:t>
      </w:r>
    </w:p>
    <w:p w14:paraId="2844D828">
      <w:pPr>
        <w:jc w:val="both"/>
        <w:rPr>
          <w:rFonts w:ascii="Arial" w:hAnsi="Arial" w:eastAsia="Arial" w:cs="Arial"/>
        </w:rPr>
      </w:pPr>
    </w:p>
    <w:p w14:paraId="7425505E">
      <w:pPr>
        <w:jc w:val="both"/>
        <w:rPr>
          <w:rFonts w:ascii="Arial" w:hAnsi="Arial" w:eastAsia="Arial" w:cs="Arial"/>
        </w:rPr>
      </w:pPr>
      <w:r>
        <w:rPr>
          <w:rFonts w:ascii="Arial" w:hAnsi="Arial" w:eastAsia="Arial" w:cs="Arial"/>
          <w:b/>
        </w:rPr>
        <w:t>22.6.</w:t>
      </w:r>
      <w:r>
        <w:rPr>
          <w:rFonts w:ascii="Arial" w:hAnsi="Arial" w:eastAsia="Arial" w:cs="Arial"/>
        </w:rPr>
        <w:t xml:space="preserve"> Prover todos os meios necessários à garantia da plena operacionalidade do fornecimento, inclusive considerados os casos de greve ou paralisação de qualquer natureza; </w:t>
      </w:r>
    </w:p>
    <w:p w14:paraId="56891E2F">
      <w:pPr>
        <w:jc w:val="both"/>
        <w:rPr>
          <w:rFonts w:ascii="Arial" w:hAnsi="Arial" w:eastAsia="Arial" w:cs="Arial"/>
        </w:rPr>
      </w:pPr>
    </w:p>
    <w:p w14:paraId="6557CA9D">
      <w:pPr>
        <w:jc w:val="both"/>
        <w:rPr>
          <w:rFonts w:ascii="Arial" w:hAnsi="Arial" w:eastAsia="Arial" w:cs="Arial"/>
        </w:rPr>
      </w:pPr>
      <w:r>
        <w:rPr>
          <w:rFonts w:ascii="Arial" w:hAnsi="Arial" w:eastAsia="Arial" w:cs="Arial"/>
          <w:b/>
        </w:rPr>
        <w:t>22.7.</w:t>
      </w:r>
      <w:r>
        <w:rPr>
          <w:rFonts w:ascii="Arial" w:hAnsi="Arial" w:eastAsia="Arial" w:cs="Arial"/>
        </w:rPr>
        <w:t xml:space="preserve"> O atraso na entrega do objeto licitado no prazo estabelecido em edital, não poderá ser alegado como motivo de força maior, má execução ou inexecução da entrega, objeto do contrato e não a eximirá das penalidades a que está sujeita pelo não cumprimento dos prazos e demais condições estabelecidas; </w:t>
      </w:r>
    </w:p>
    <w:p w14:paraId="7404C532">
      <w:pPr>
        <w:jc w:val="both"/>
        <w:rPr>
          <w:rFonts w:ascii="Arial" w:hAnsi="Arial" w:eastAsia="Arial" w:cs="Arial"/>
        </w:rPr>
      </w:pPr>
    </w:p>
    <w:p w14:paraId="760DF909">
      <w:pPr>
        <w:jc w:val="both"/>
        <w:rPr>
          <w:rFonts w:ascii="Arial" w:hAnsi="Arial" w:eastAsia="Arial" w:cs="Arial"/>
        </w:rPr>
      </w:pPr>
      <w:r>
        <w:rPr>
          <w:rFonts w:ascii="Arial" w:hAnsi="Arial" w:eastAsia="Arial" w:cs="Arial"/>
          <w:b/>
        </w:rPr>
        <w:t>22.8.</w:t>
      </w:r>
      <w:r>
        <w:rPr>
          <w:rFonts w:ascii="Arial" w:hAnsi="Arial" w:eastAsia="Arial" w:cs="Arial"/>
        </w:rPr>
        <w:t xml:space="preserve"> Comunicar imediatamente à CONTRATANTE qualquer alteração ocorrida no endereço, conta bancária e outros dados julgáveis necessários para recebimento de correspondência; </w:t>
      </w:r>
    </w:p>
    <w:p w14:paraId="1117C170">
      <w:pPr>
        <w:jc w:val="both"/>
        <w:rPr>
          <w:rFonts w:ascii="Arial" w:hAnsi="Arial" w:eastAsia="Arial" w:cs="Arial"/>
        </w:rPr>
      </w:pPr>
    </w:p>
    <w:p w14:paraId="5764A035">
      <w:pPr>
        <w:jc w:val="both"/>
        <w:rPr>
          <w:rFonts w:ascii="Arial" w:hAnsi="Arial" w:eastAsia="Arial" w:cs="Arial"/>
        </w:rPr>
      </w:pPr>
      <w:r>
        <w:rPr>
          <w:rFonts w:ascii="Arial" w:hAnsi="Arial" w:eastAsia="Arial" w:cs="Arial"/>
          <w:b/>
        </w:rPr>
        <w:t>22.9.</w:t>
      </w:r>
      <w:r>
        <w:rPr>
          <w:rFonts w:ascii="Arial" w:hAnsi="Arial" w:eastAsia="Arial" w:cs="Arial"/>
        </w:rPr>
        <w:t xml:space="preserve"> Fiscalizar o perfeito cumprimento do fornecimento a que se obrigou, cabendo-lhe, integralmente, os ônus decorrentes. Tal fiscalização dar-se-á independentemente da que será exercida pela CONTRATANTE; </w:t>
      </w:r>
    </w:p>
    <w:p w14:paraId="4A62E5C6">
      <w:pPr>
        <w:jc w:val="both"/>
        <w:rPr>
          <w:rFonts w:ascii="Arial" w:hAnsi="Arial" w:eastAsia="Arial" w:cs="Arial"/>
        </w:rPr>
      </w:pPr>
    </w:p>
    <w:p w14:paraId="4F15B292">
      <w:pPr>
        <w:jc w:val="both"/>
        <w:rPr>
          <w:rFonts w:ascii="Arial" w:hAnsi="Arial" w:eastAsia="Arial" w:cs="Arial"/>
        </w:rPr>
      </w:pPr>
      <w:r>
        <w:rPr>
          <w:rFonts w:ascii="Arial" w:hAnsi="Arial" w:eastAsia="Arial" w:cs="Arial"/>
          <w:b/>
        </w:rPr>
        <w:t>22.10.</w:t>
      </w:r>
      <w:r>
        <w:rPr>
          <w:rFonts w:ascii="Arial" w:hAnsi="Arial" w:eastAsia="Arial" w:cs="Arial"/>
        </w:rPr>
        <w:t xml:space="preserve"> Indenizar terceiros e/ou ao Órgão/Entidade, mesmo em caso de ausência ou omissão de fiscalização de sua parte, pelos danos causados por sua culpa ou dolo, devendo a contratada adotar todas as medidas preventivas, com fiel observância às exigências das autoridades competentes e às disposições legais vigentes; </w:t>
      </w:r>
    </w:p>
    <w:p w14:paraId="0E707C7C">
      <w:pPr>
        <w:jc w:val="both"/>
        <w:rPr>
          <w:rFonts w:ascii="Arial" w:hAnsi="Arial" w:eastAsia="Arial" w:cs="Arial"/>
          <w:b/>
        </w:rPr>
      </w:pPr>
    </w:p>
    <w:p w14:paraId="0C6454AD">
      <w:pPr>
        <w:jc w:val="both"/>
        <w:rPr>
          <w:rFonts w:ascii="Arial" w:hAnsi="Arial" w:eastAsia="Arial" w:cs="Arial"/>
        </w:rPr>
      </w:pPr>
      <w:r>
        <w:rPr>
          <w:rFonts w:ascii="Arial" w:hAnsi="Arial" w:eastAsia="Arial" w:cs="Arial"/>
          <w:b/>
        </w:rPr>
        <w:t>22.11.</w:t>
      </w:r>
      <w:r>
        <w:rPr>
          <w:rFonts w:ascii="Arial" w:hAnsi="Arial" w:eastAsia="Arial" w:cs="Arial"/>
        </w:rPr>
        <w:t xml:space="preserve"> A contratada ficará obrigada a aceitar nas mesmas condições deste edital, os acréscimos ou supressões que se fizerem necessários, até 25% (vinte e cinco por cento) do valor do objeto adjudicado, devendo supressões acima desse limite ser resultantes de acordo entre as partes; </w:t>
      </w:r>
    </w:p>
    <w:p w14:paraId="00112A19">
      <w:pPr>
        <w:jc w:val="both"/>
        <w:rPr>
          <w:rFonts w:ascii="Arial" w:hAnsi="Arial" w:eastAsia="Arial" w:cs="Arial"/>
        </w:rPr>
      </w:pPr>
    </w:p>
    <w:p w14:paraId="2D88ABDE">
      <w:pPr>
        <w:jc w:val="both"/>
        <w:rPr>
          <w:rFonts w:ascii="Arial" w:hAnsi="Arial" w:eastAsia="Arial" w:cs="Arial"/>
        </w:rPr>
      </w:pPr>
      <w:r>
        <w:rPr>
          <w:rFonts w:ascii="Arial" w:hAnsi="Arial" w:eastAsia="Arial" w:cs="Arial"/>
          <w:b/>
        </w:rPr>
        <w:t>22.12.</w:t>
      </w:r>
      <w:r>
        <w:rPr>
          <w:rFonts w:ascii="Arial" w:hAnsi="Arial" w:eastAsia="Arial" w:cs="Arial"/>
        </w:rPr>
        <w:t xml:space="preserve"> Arcar com todo e qualquer tipo de autuação ou ação que venha a sofrer em decorrência do fornecimento em questão, bem como pelos mesmos nos casos que envolvam eventuais decisões judiciais, eximindo o Órgão/Entidade de qualquer solidariedade ou responsabilidade. </w:t>
      </w:r>
    </w:p>
    <w:p w14:paraId="6F36329F">
      <w:pPr>
        <w:jc w:val="both"/>
        <w:rPr>
          <w:rFonts w:ascii="Arial" w:hAnsi="Arial" w:eastAsia="Arial" w:cs="Arial"/>
        </w:rPr>
      </w:pPr>
      <w:r>
        <w:rPr>
          <w:rFonts w:ascii="Arial" w:hAnsi="Arial" w:eastAsia="Arial" w:cs="Arial"/>
          <w:b/>
        </w:rPr>
        <w:t>22.13.</w:t>
      </w:r>
      <w:r>
        <w:rPr>
          <w:rFonts w:ascii="Arial" w:hAnsi="Arial" w:eastAsia="Arial" w:cs="Arial"/>
        </w:rPr>
        <w:t xml:space="preserve"> Todos os impostos e taxas que forem devidos em decorrência das contratações do objeto do Edital correrão por conta exclusiva da contratada. </w:t>
      </w:r>
    </w:p>
    <w:p w14:paraId="0D40F67A">
      <w:pPr>
        <w:jc w:val="both"/>
        <w:rPr>
          <w:rFonts w:ascii="Arial" w:hAnsi="Arial" w:eastAsia="Arial" w:cs="Arial"/>
        </w:rPr>
      </w:pPr>
    </w:p>
    <w:p w14:paraId="103C4B6A">
      <w:pPr>
        <w:jc w:val="both"/>
        <w:rPr>
          <w:rFonts w:ascii="Arial" w:hAnsi="Arial" w:eastAsia="Arial" w:cs="Arial"/>
        </w:rPr>
      </w:pPr>
      <w:r>
        <w:rPr>
          <w:rFonts w:ascii="Arial" w:hAnsi="Arial" w:eastAsia="Arial" w:cs="Arial"/>
          <w:b/>
        </w:rPr>
        <w:t>22.14.</w:t>
      </w:r>
      <w:r>
        <w:rPr>
          <w:rFonts w:ascii="Arial" w:hAnsi="Arial" w:eastAsia="Arial" w:cs="Arial"/>
        </w:rPr>
        <w:t xml:space="preserve"> Como condição para pagamento, a licitante vencedora deverá obrigatoriamente apresentar novamente a documentação que comprova sua regularidade fiscal e trabalhista, conforme apresentado na fase de habilitação. </w:t>
      </w:r>
    </w:p>
    <w:p w14:paraId="7425D19C">
      <w:pPr>
        <w:jc w:val="both"/>
        <w:rPr>
          <w:rFonts w:ascii="Arial" w:hAnsi="Arial" w:eastAsia="Arial" w:cs="Arial"/>
        </w:rPr>
      </w:pPr>
    </w:p>
    <w:p w14:paraId="69E73F09">
      <w:pPr>
        <w:jc w:val="both"/>
        <w:rPr>
          <w:rFonts w:ascii="Arial" w:hAnsi="Arial" w:eastAsia="Arial" w:cs="Arial"/>
        </w:rPr>
      </w:pPr>
      <w:r>
        <w:rPr>
          <w:rFonts w:ascii="Arial" w:hAnsi="Arial" w:eastAsia="Arial" w:cs="Arial"/>
          <w:b/>
        </w:rPr>
        <w:t>22.15.</w:t>
      </w:r>
      <w:r>
        <w:rPr>
          <w:rFonts w:ascii="Arial" w:hAnsi="Arial" w:eastAsia="Arial" w:cs="Arial"/>
        </w:rPr>
        <w:t xml:space="preserve"> A CONTRATADA deverá fornecer Termo de Garantia de Fornecedor, com especificações e quantidades idênticas ao descrito neste edital e na Nota de Empenho, incluindo informações de contato do fabricante para eventual assistência técnica durante o período de garantia.</w:t>
      </w:r>
    </w:p>
    <w:p w14:paraId="676A35BA">
      <w:pPr>
        <w:jc w:val="both"/>
        <w:rPr>
          <w:rFonts w:ascii="Arial" w:hAnsi="Arial" w:eastAsia="Arial" w:cs="Arial"/>
        </w:rPr>
      </w:pPr>
    </w:p>
    <w:p w14:paraId="709C0B44">
      <w:pPr>
        <w:pStyle w:val="2"/>
        <w:spacing w:before="0" w:after="0"/>
        <w:rPr>
          <w:sz w:val="20"/>
          <w:szCs w:val="20"/>
          <w:lang w:val="pt-BR"/>
        </w:rPr>
      </w:pPr>
      <w:bookmarkStart w:id="33" w:name="_heading=h.xtnz234806qe"/>
      <w:bookmarkEnd w:id="33"/>
      <w:r>
        <w:rPr>
          <w:sz w:val="20"/>
          <w:szCs w:val="20"/>
          <w:lang w:val="pt-BR"/>
        </w:rPr>
        <w:t>23. DAS INFRAÇÕES ADMINISTRATIVAS E SANÇÕES:</w:t>
      </w:r>
    </w:p>
    <w:p w14:paraId="2D6922B8">
      <w:pPr>
        <w:jc w:val="both"/>
        <w:rPr>
          <w:rFonts w:ascii="Arial" w:hAnsi="Arial" w:eastAsia="Arial" w:cs="Arial"/>
          <w:b/>
          <w:color w:val="FF0000"/>
        </w:rPr>
      </w:pPr>
    </w:p>
    <w:p w14:paraId="3565BFCA">
      <w:pPr>
        <w:jc w:val="both"/>
        <w:rPr>
          <w:rFonts w:ascii="Arial" w:hAnsi="Arial" w:eastAsia="Arial" w:cs="Arial"/>
        </w:rPr>
      </w:pPr>
      <w:r>
        <w:rPr>
          <w:rFonts w:ascii="Arial" w:hAnsi="Arial" w:eastAsia="Arial" w:cs="Arial"/>
          <w:b/>
        </w:rPr>
        <w:t>23.1.</w:t>
      </w:r>
      <w:r>
        <w:rPr>
          <w:rFonts w:ascii="Arial" w:hAnsi="Arial" w:eastAsia="Arial" w:cs="Arial"/>
        </w:rPr>
        <w:t xml:space="preserve"> Comete infração administrativa, nos termos da lei, o licitante que, com dolo ou culpa: </w:t>
      </w:r>
    </w:p>
    <w:p w14:paraId="1B7B8526">
      <w:pPr>
        <w:jc w:val="both"/>
        <w:rPr>
          <w:rFonts w:ascii="Arial" w:hAnsi="Arial" w:eastAsia="Arial" w:cs="Arial"/>
        </w:rPr>
      </w:pPr>
      <w:bookmarkStart w:id="34" w:name="_heading=h.t1afo5zenptw"/>
      <w:bookmarkEnd w:id="34"/>
    </w:p>
    <w:p w14:paraId="6CAFB155">
      <w:pPr>
        <w:jc w:val="both"/>
        <w:rPr>
          <w:rFonts w:ascii="Arial" w:hAnsi="Arial" w:eastAsia="Arial" w:cs="Arial"/>
        </w:rPr>
      </w:pPr>
      <w:r>
        <w:rPr>
          <w:rFonts w:ascii="Arial" w:hAnsi="Arial" w:eastAsia="Arial" w:cs="Arial"/>
          <w:b/>
        </w:rPr>
        <w:t>23.1.1.</w:t>
      </w:r>
      <w:r>
        <w:rPr>
          <w:rFonts w:ascii="Arial" w:hAnsi="Arial" w:eastAsia="Arial" w:cs="Arial"/>
        </w:rPr>
        <w:t xml:space="preserve"> Deixar de entregar a documentação exigida para o certame ou não entregar qualquer documento que tenha sido solicitado pelo/a pregoeiro/a durante o certame;</w:t>
      </w:r>
    </w:p>
    <w:p w14:paraId="2B33025D">
      <w:pPr>
        <w:jc w:val="both"/>
        <w:rPr>
          <w:rFonts w:ascii="Arial" w:hAnsi="Arial" w:eastAsia="Arial" w:cs="Arial"/>
          <w:b/>
        </w:rPr>
      </w:pPr>
      <w:bookmarkStart w:id="35" w:name="_heading=h.342fiw58rrw6"/>
      <w:bookmarkEnd w:id="35"/>
    </w:p>
    <w:p w14:paraId="5EEE869F">
      <w:pPr>
        <w:jc w:val="both"/>
        <w:rPr>
          <w:rFonts w:ascii="Arial" w:hAnsi="Arial" w:eastAsia="Arial" w:cs="Arial"/>
        </w:rPr>
      </w:pPr>
      <w:r>
        <w:rPr>
          <w:rFonts w:ascii="Arial" w:hAnsi="Arial" w:eastAsia="Arial" w:cs="Arial"/>
          <w:b/>
        </w:rPr>
        <w:t>23.1.2.</w:t>
      </w:r>
      <w:r>
        <w:rPr>
          <w:rFonts w:ascii="Arial" w:hAnsi="Arial" w:eastAsia="Arial" w:cs="Arial"/>
        </w:rPr>
        <w:t xml:space="preserve"> Salvo em decorrência de fato superveniente devidamente justificado, não mantiver a proposta em especial quando:</w:t>
      </w:r>
    </w:p>
    <w:p w14:paraId="7FAF5D9F">
      <w:pPr>
        <w:jc w:val="both"/>
        <w:rPr>
          <w:rFonts w:ascii="Arial" w:hAnsi="Arial" w:eastAsia="Arial" w:cs="Arial"/>
        </w:rPr>
      </w:pPr>
    </w:p>
    <w:p w14:paraId="05A79121">
      <w:pPr>
        <w:jc w:val="both"/>
        <w:rPr>
          <w:rFonts w:ascii="Arial" w:hAnsi="Arial" w:eastAsia="Arial" w:cs="Arial"/>
        </w:rPr>
      </w:pPr>
      <w:r>
        <w:rPr>
          <w:rFonts w:ascii="Arial" w:hAnsi="Arial" w:eastAsia="Arial" w:cs="Arial"/>
          <w:b/>
        </w:rPr>
        <w:t>23.1.2.</w:t>
      </w:r>
      <w:r>
        <w:rPr>
          <w:rFonts w:ascii="Arial" w:hAnsi="Arial" w:eastAsia="Arial" w:cs="Arial"/>
        </w:rPr>
        <w:t xml:space="preserve">1. Não enviar a proposta adequada ao último lance ofertado ou após a negociação; </w:t>
      </w:r>
    </w:p>
    <w:p w14:paraId="087755EA">
      <w:pPr>
        <w:jc w:val="both"/>
        <w:rPr>
          <w:rFonts w:ascii="Arial" w:hAnsi="Arial" w:eastAsia="Arial" w:cs="Arial"/>
        </w:rPr>
      </w:pPr>
    </w:p>
    <w:p w14:paraId="6527AAF4">
      <w:pPr>
        <w:jc w:val="both"/>
        <w:rPr>
          <w:rFonts w:ascii="Arial" w:hAnsi="Arial" w:eastAsia="Arial" w:cs="Arial"/>
        </w:rPr>
      </w:pPr>
      <w:r>
        <w:rPr>
          <w:rFonts w:ascii="Arial" w:hAnsi="Arial" w:eastAsia="Arial" w:cs="Arial"/>
          <w:b/>
        </w:rPr>
        <w:t>23.1.2.2.</w:t>
      </w:r>
      <w:r>
        <w:rPr>
          <w:rFonts w:ascii="Arial" w:hAnsi="Arial" w:eastAsia="Arial" w:cs="Arial"/>
        </w:rPr>
        <w:t xml:space="preserve"> Recusar-se a enviar o detalhamento da proposta quando exigível; </w:t>
      </w:r>
    </w:p>
    <w:p w14:paraId="3DD62E47">
      <w:pPr>
        <w:jc w:val="both"/>
        <w:rPr>
          <w:rFonts w:ascii="Arial" w:hAnsi="Arial" w:eastAsia="Arial" w:cs="Arial"/>
        </w:rPr>
      </w:pPr>
    </w:p>
    <w:p w14:paraId="5CBA3940">
      <w:pPr>
        <w:jc w:val="both"/>
        <w:rPr>
          <w:rFonts w:ascii="Arial" w:hAnsi="Arial" w:eastAsia="Arial" w:cs="Arial"/>
        </w:rPr>
      </w:pPr>
      <w:r>
        <w:rPr>
          <w:rFonts w:ascii="Arial" w:hAnsi="Arial" w:eastAsia="Arial" w:cs="Arial"/>
          <w:b/>
        </w:rPr>
        <w:t>23.1.2.3.</w:t>
      </w:r>
      <w:r>
        <w:rPr>
          <w:rFonts w:ascii="Arial" w:hAnsi="Arial" w:eastAsia="Arial" w:cs="Arial"/>
        </w:rPr>
        <w:t xml:space="preserve"> Pedir para ser desclassificado quando encerrada a etapa competitiva; ou </w:t>
      </w:r>
    </w:p>
    <w:p w14:paraId="6F3335D2">
      <w:pPr>
        <w:jc w:val="both"/>
        <w:rPr>
          <w:rFonts w:ascii="Arial" w:hAnsi="Arial" w:eastAsia="Arial" w:cs="Arial"/>
        </w:rPr>
      </w:pPr>
    </w:p>
    <w:p w14:paraId="1AA4B6DF">
      <w:pPr>
        <w:jc w:val="both"/>
        <w:rPr>
          <w:rFonts w:ascii="Arial" w:hAnsi="Arial" w:eastAsia="Arial" w:cs="Arial"/>
          <w:strike/>
        </w:rPr>
      </w:pPr>
      <w:r>
        <w:rPr>
          <w:rFonts w:ascii="Arial" w:hAnsi="Arial" w:eastAsia="Arial" w:cs="Arial"/>
          <w:b/>
          <w:strike/>
        </w:rPr>
        <w:t>23.1.2.4.</w:t>
      </w:r>
      <w:r>
        <w:rPr>
          <w:rFonts w:ascii="Arial" w:hAnsi="Arial" w:eastAsia="Arial" w:cs="Arial"/>
          <w:strike/>
        </w:rPr>
        <w:t xml:space="preserve"> Deixar de apresentar amostra</w:t>
      </w:r>
      <w:r>
        <w:rPr>
          <w:rFonts w:ascii="Arial" w:hAnsi="Arial" w:eastAsia="Arial" w:cs="Arial"/>
        </w:rPr>
        <w:t>; item não exigido para este certame</w:t>
      </w:r>
    </w:p>
    <w:p w14:paraId="3C084CF9">
      <w:pPr>
        <w:jc w:val="both"/>
        <w:rPr>
          <w:rFonts w:ascii="Arial" w:hAnsi="Arial" w:eastAsia="Arial" w:cs="Arial"/>
        </w:rPr>
      </w:pPr>
    </w:p>
    <w:p w14:paraId="257DBCA2">
      <w:pPr>
        <w:jc w:val="both"/>
        <w:rPr>
          <w:rFonts w:ascii="Arial" w:hAnsi="Arial" w:eastAsia="Arial" w:cs="Arial"/>
        </w:rPr>
      </w:pPr>
      <w:r>
        <w:rPr>
          <w:rFonts w:ascii="Arial" w:hAnsi="Arial" w:eastAsia="Arial" w:cs="Arial"/>
          <w:b/>
        </w:rPr>
        <w:t>23.1.2.5.</w:t>
      </w:r>
      <w:r>
        <w:rPr>
          <w:rFonts w:ascii="Arial" w:hAnsi="Arial" w:eastAsia="Arial" w:cs="Arial"/>
        </w:rPr>
        <w:t xml:space="preserve"> Apresentar proposta em desacordo com as especificações do edital; </w:t>
      </w:r>
    </w:p>
    <w:p w14:paraId="63BA53F6">
      <w:pPr>
        <w:jc w:val="both"/>
        <w:rPr>
          <w:rFonts w:ascii="Arial" w:hAnsi="Arial" w:eastAsia="Arial" w:cs="Arial"/>
        </w:rPr>
      </w:pPr>
    </w:p>
    <w:p w14:paraId="7E33FEA6">
      <w:pPr>
        <w:jc w:val="both"/>
        <w:rPr>
          <w:rFonts w:ascii="Arial" w:hAnsi="Arial" w:eastAsia="Arial" w:cs="Arial"/>
        </w:rPr>
      </w:pPr>
      <w:bookmarkStart w:id="36" w:name="_heading=h.ri0xxi5i966x"/>
      <w:bookmarkEnd w:id="36"/>
      <w:r>
        <w:rPr>
          <w:rFonts w:ascii="Arial" w:hAnsi="Arial" w:eastAsia="Arial" w:cs="Arial"/>
          <w:b/>
        </w:rPr>
        <w:t>23.1.3.</w:t>
      </w:r>
      <w:r>
        <w:rPr>
          <w:rFonts w:ascii="Arial" w:hAnsi="Arial" w:eastAsia="Arial" w:cs="Arial"/>
        </w:rPr>
        <w:t xml:space="preserve"> Não celebrar o contrato ou não entregar a documentação exigida para a contratação, quando convocado dentro do prazo de validade de sua proposta;</w:t>
      </w:r>
    </w:p>
    <w:p w14:paraId="2BBD10EE">
      <w:pPr>
        <w:jc w:val="both"/>
        <w:rPr>
          <w:rFonts w:ascii="Arial" w:hAnsi="Arial" w:eastAsia="Arial" w:cs="Arial"/>
        </w:rPr>
      </w:pPr>
    </w:p>
    <w:p w14:paraId="0F3F4039">
      <w:pPr>
        <w:jc w:val="both"/>
        <w:rPr>
          <w:rFonts w:ascii="Arial" w:hAnsi="Arial" w:eastAsia="Arial" w:cs="Arial"/>
        </w:rPr>
      </w:pPr>
      <w:r>
        <w:rPr>
          <w:rFonts w:ascii="Arial" w:hAnsi="Arial" w:eastAsia="Arial" w:cs="Arial"/>
          <w:b/>
        </w:rPr>
        <w:t>23.1.3.1.</w:t>
      </w:r>
      <w:r>
        <w:rPr>
          <w:rFonts w:ascii="Arial" w:hAnsi="Arial" w:eastAsia="Arial" w:cs="Arial"/>
        </w:rPr>
        <w:t xml:space="preserve"> Recusar-se, sem justificativa, a assinar o contrato ou a ata de registro de preço, ou a aceitar ou retirar o instrumento equivalente no prazo estabelecido pela Administração;</w:t>
      </w:r>
    </w:p>
    <w:p w14:paraId="088F824F">
      <w:pPr>
        <w:jc w:val="both"/>
        <w:rPr>
          <w:rFonts w:ascii="Arial" w:hAnsi="Arial" w:eastAsia="Arial" w:cs="Arial"/>
        </w:rPr>
      </w:pPr>
      <w:bookmarkStart w:id="37" w:name="_heading=h.ai66utyuvsnm"/>
      <w:bookmarkEnd w:id="37"/>
    </w:p>
    <w:p w14:paraId="0486BBA3">
      <w:pPr>
        <w:jc w:val="both"/>
        <w:rPr>
          <w:rFonts w:ascii="Arial" w:hAnsi="Arial" w:eastAsia="Arial" w:cs="Arial"/>
        </w:rPr>
      </w:pPr>
      <w:r>
        <w:rPr>
          <w:rFonts w:ascii="Arial" w:hAnsi="Arial" w:eastAsia="Arial" w:cs="Arial"/>
          <w:b/>
        </w:rPr>
        <w:t>23.1.4.</w:t>
      </w:r>
      <w:r>
        <w:rPr>
          <w:rFonts w:ascii="Arial" w:hAnsi="Arial" w:eastAsia="Arial" w:cs="Arial"/>
        </w:rPr>
        <w:t xml:space="preserve"> Apresentar declaração ou documentação falsa exigida para o certame ou prestar declaração falsa durante a licitação;</w:t>
      </w:r>
    </w:p>
    <w:p w14:paraId="3FD912C3">
      <w:pPr>
        <w:jc w:val="both"/>
        <w:rPr>
          <w:rFonts w:ascii="Arial" w:hAnsi="Arial" w:eastAsia="Arial" w:cs="Arial"/>
        </w:rPr>
      </w:pPr>
    </w:p>
    <w:p w14:paraId="05B1A5AD">
      <w:pPr>
        <w:jc w:val="both"/>
        <w:rPr>
          <w:rFonts w:ascii="Arial" w:hAnsi="Arial" w:eastAsia="Arial" w:cs="Arial"/>
        </w:rPr>
      </w:pPr>
      <w:bookmarkStart w:id="38" w:name="_heading=h.yogdsja0781t"/>
      <w:bookmarkEnd w:id="38"/>
      <w:r>
        <w:rPr>
          <w:rFonts w:ascii="Arial" w:hAnsi="Arial" w:eastAsia="Arial" w:cs="Arial"/>
          <w:b/>
        </w:rPr>
        <w:t>23.1.5.</w:t>
      </w:r>
      <w:r>
        <w:rPr>
          <w:rFonts w:ascii="Arial" w:hAnsi="Arial" w:eastAsia="Arial" w:cs="Arial"/>
        </w:rPr>
        <w:t xml:space="preserve"> Fraudar a licitação;</w:t>
      </w:r>
    </w:p>
    <w:p w14:paraId="0B2D815E">
      <w:pPr>
        <w:jc w:val="both"/>
        <w:rPr>
          <w:rFonts w:ascii="Arial" w:hAnsi="Arial" w:eastAsia="Arial" w:cs="Arial"/>
        </w:rPr>
      </w:pPr>
    </w:p>
    <w:p w14:paraId="6BC8AA5E">
      <w:pPr>
        <w:jc w:val="both"/>
        <w:rPr>
          <w:rFonts w:ascii="Arial" w:hAnsi="Arial" w:eastAsia="Arial" w:cs="Arial"/>
        </w:rPr>
      </w:pPr>
      <w:bookmarkStart w:id="39" w:name="_heading=h.y7mbrosi1wwr"/>
      <w:bookmarkEnd w:id="39"/>
      <w:r>
        <w:rPr>
          <w:rFonts w:ascii="Arial" w:hAnsi="Arial" w:eastAsia="Arial" w:cs="Arial"/>
          <w:b/>
        </w:rPr>
        <w:t>23.1.6.</w:t>
      </w:r>
      <w:r>
        <w:rPr>
          <w:rFonts w:ascii="Arial" w:hAnsi="Arial" w:eastAsia="Arial" w:cs="Arial"/>
        </w:rPr>
        <w:t xml:space="preserve"> Comportar-se de modo inidôneo ou cometer fraude de qualquer natureza, em especial quando:</w:t>
      </w:r>
    </w:p>
    <w:p w14:paraId="0C3CD356">
      <w:pPr>
        <w:jc w:val="both"/>
        <w:rPr>
          <w:rFonts w:ascii="Arial" w:hAnsi="Arial" w:eastAsia="Arial" w:cs="Arial"/>
          <w:b/>
        </w:rPr>
      </w:pPr>
    </w:p>
    <w:p w14:paraId="14842F09">
      <w:pPr>
        <w:jc w:val="both"/>
        <w:rPr>
          <w:rFonts w:ascii="Arial" w:hAnsi="Arial" w:eastAsia="Arial" w:cs="Arial"/>
        </w:rPr>
      </w:pPr>
      <w:r>
        <w:rPr>
          <w:rFonts w:ascii="Arial" w:hAnsi="Arial" w:eastAsia="Arial" w:cs="Arial"/>
          <w:b/>
        </w:rPr>
        <w:t>23.1.6.1.</w:t>
      </w:r>
      <w:r>
        <w:rPr>
          <w:rFonts w:ascii="Arial" w:hAnsi="Arial" w:eastAsia="Arial" w:cs="Arial"/>
        </w:rPr>
        <w:t xml:space="preserve"> Agir em conluio ou em desconformidade com a lei; </w:t>
      </w:r>
    </w:p>
    <w:p w14:paraId="2E0D26DD">
      <w:pPr>
        <w:jc w:val="both"/>
        <w:rPr>
          <w:rFonts w:ascii="Arial" w:hAnsi="Arial" w:eastAsia="Arial" w:cs="Arial"/>
        </w:rPr>
      </w:pPr>
    </w:p>
    <w:p w14:paraId="4998C7C6">
      <w:pPr>
        <w:jc w:val="both"/>
        <w:rPr>
          <w:rFonts w:ascii="Arial" w:hAnsi="Arial" w:eastAsia="Arial" w:cs="Arial"/>
        </w:rPr>
      </w:pPr>
      <w:r>
        <w:rPr>
          <w:rFonts w:ascii="Arial" w:hAnsi="Arial" w:eastAsia="Arial" w:cs="Arial"/>
          <w:b/>
        </w:rPr>
        <w:t>23.1.6.2.</w:t>
      </w:r>
      <w:r>
        <w:rPr>
          <w:rFonts w:ascii="Arial" w:hAnsi="Arial" w:eastAsia="Arial" w:cs="Arial"/>
        </w:rPr>
        <w:t xml:space="preserve"> Induzir deliberadamente a erro no julgamento; </w:t>
      </w:r>
    </w:p>
    <w:p w14:paraId="0534C875">
      <w:pPr>
        <w:jc w:val="both"/>
        <w:rPr>
          <w:rFonts w:ascii="Arial" w:hAnsi="Arial" w:eastAsia="Arial" w:cs="Arial"/>
          <w:b/>
        </w:rPr>
      </w:pPr>
    </w:p>
    <w:p w14:paraId="54FAD598">
      <w:pPr>
        <w:jc w:val="both"/>
        <w:rPr>
          <w:rFonts w:ascii="Arial" w:hAnsi="Arial" w:eastAsia="Arial" w:cs="Arial"/>
          <w:strike/>
        </w:rPr>
      </w:pPr>
      <w:r>
        <w:rPr>
          <w:rFonts w:ascii="Arial" w:hAnsi="Arial" w:eastAsia="Arial" w:cs="Arial"/>
          <w:b/>
          <w:strike/>
        </w:rPr>
        <w:t>23.1.6.3.</w:t>
      </w:r>
      <w:r>
        <w:rPr>
          <w:rFonts w:ascii="Arial" w:hAnsi="Arial" w:eastAsia="Arial" w:cs="Arial"/>
          <w:strike/>
        </w:rPr>
        <w:t xml:space="preserve"> Apresentar amostra falsificada ou deteriorada</w:t>
      </w:r>
      <w:r>
        <w:rPr>
          <w:rFonts w:ascii="Arial" w:hAnsi="Arial" w:eastAsia="Arial" w:cs="Arial"/>
        </w:rPr>
        <w:t>; item não exigido para este certame</w:t>
      </w:r>
      <w:r>
        <w:rPr>
          <w:rFonts w:ascii="Arial" w:hAnsi="Arial" w:eastAsia="Arial" w:cs="Arial"/>
          <w:strike/>
        </w:rPr>
        <w:t xml:space="preserve"> </w:t>
      </w:r>
    </w:p>
    <w:p w14:paraId="35E0FEB0">
      <w:pPr>
        <w:jc w:val="both"/>
        <w:rPr>
          <w:rFonts w:ascii="Arial" w:hAnsi="Arial" w:eastAsia="Arial" w:cs="Arial"/>
        </w:rPr>
      </w:pPr>
      <w:bookmarkStart w:id="40" w:name="_heading=h.v69nxzeeq01s"/>
      <w:bookmarkEnd w:id="40"/>
    </w:p>
    <w:p w14:paraId="139770F2">
      <w:pPr>
        <w:jc w:val="both"/>
        <w:rPr>
          <w:rFonts w:ascii="Arial" w:hAnsi="Arial" w:eastAsia="Arial" w:cs="Arial"/>
        </w:rPr>
      </w:pPr>
      <w:r>
        <w:rPr>
          <w:rFonts w:ascii="Arial" w:hAnsi="Arial" w:eastAsia="Arial" w:cs="Arial"/>
          <w:b/>
        </w:rPr>
        <w:t>23.1.7.</w:t>
      </w:r>
      <w:r>
        <w:rPr>
          <w:rFonts w:ascii="Arial" w:hAnsi="Arial" w:eastAsia="Arial" w:cs="Arial"/>
        </w:rPr>
        <w:t xml:space="preserve">  Praticar atos ilícitos com vistas a frustrar os objetivos da licitação;</w:t>
      </w:r>
    </w:p>
    <w:p w14:paraId="33D4A093">
      <w:pPr>
        <w:jc w:val="both"/>
        <w:rPr>
          <w:rFonts w:ascii="Arial" w:hAnsi="Arial" w:eastAsia="Arial" w:cs="Arial"/>
          <w:b/>
        </w:rPr>
      </w:pPr>
      <w:bookmarkStart w:id="41" w:name="_heading=h.nspe8ruhn64m"/>
      <w:bookmarkEnd w:id="41"/>
    </w:p>
    <w:p w14:paraId="7F20E4C4">
      <w:pPr>
        <w:jc w:val="both"/>
        <w:rPr>
          <w:rFonts w:ascii="Arial" w:hAnsi="Arial" w:eastAsia="Arial" w:cs="Arial"/>
        </w:rPr>
      </w:pPr>
      <w:r>
        <w:rPr>
          <w:rFonts w:ascii="Arial" w:hAnsi="Arial" w:eastAsia="Arial" w:cs="Arial"/>
          <w:b/>
        </w:rPr>
        <w:t>23.1.8.</w:t>
      </w:r>
      <w:r>
        <w:rPr>
          <w:rFonts w:ascii="Arial" w:hAnsi="Arial" w:eastAsia="Arial" w:cs="Arial"/>
        </w:rPr>
        <w:t xml:space="preserve">  Praticar ato lesivo previsto no </w:t>
      </w:r>
      <w:r>
        <w:fldChar w:fldCharType="begin"/>
      </w:r>
      <w:r>
        <w:instrText xml:space="preserve"> HYPERLINK "https://www.planalto.gov.br/ccivil_03/_ato2011-2014/2013/lei/l12846.htm" \l "art5" </w:instrText>
      </w:r>
      <w:r>
        <w:fldChar w:fldCharType="separate"/>
      </w:r>
      <w:r>
        <w:rPr>
          <w:rFonts w:ascii="Arial" w:hAnsi="Arial" w:eastAsia="Arial" w:cs="Arial"/>
        </w:rPr>
        <w:t>art. 5º da Lei n.º 12.846, de 2013</w:t>
      </w:r>
      <w:r>
        <w:rPr>
          <w:rFonts w:ascii="Arial" w:hAnsi="Arial" w:eastAsia="Arial" w:cs="Arial"/>
        </w:rPr>
        <w:fldChar w:fldCharType="end"/>
      </w:r>
      <w:r>
        <w:rPr>
          <w:rFonts w:ascii="Arial" w:hAnsi="Arial" w:eastAsia="Arial" w:cs="Arial"/>
        </w:rPr>
        <w:t>;</w:t>
      </w:r>
    </w:p>
    <w:p w14:paraId="2BF52A57">
      <w:pPr>
        <w:jc w:val="both"/>
        <w:rPr>
          <w:rFonts w:ascii="Arial" w:hAnsi="Arial" w:eastAsia="Arial" w:cs="Arial"/>
          <w:b/>
        </w:rPr>
      </w:pPr>
    </w:p>
    <w:p w14:paraId="77661E40">
      <w:pPr>
        <w:jc w:val="both"/>
        <w:rPr>
          <w:rFonts w:ascii="Arial" w:hAnsi="Arial" w:eastAsia="Arial" w:cs="Arial"/>
        </w:rPr>
      </w:pPr>
      <w:r>
        <w:rPr>
          <w:rFonts w:ascii="Arial" w:hAnsi="Arial" w:eastAsia="Arial" w:cs="Arial"/>
          <w:b/>
        </w:rPr>
        <w:t>23.2.</w:t>
      </w:r>
      <w:r>
        <w:rPr>
          <w:rFonts w:ascii="Arial" w:hAnsi="Arial" w:eastAsia="Arial" w:cs="Arial"/>
        </w:rPr>
        <w:t xml:space="preserve"> Com fulcro na </w:t>
      </w:r>
      <w:r>
        <w:fldChar w:fldCharType="begin"/>
      </w:r>
      <w:r>
        <w:instrText xml:space="preserve"> HYPERLINK "http://www.planalto.gov.br/ccivil_03/_ato2019-2022/2021/lei/L14133.htm" \h </w:instrText>
      </w:r>
      <w:r>
        <w:fldChar w:fldCharType="separate"/>
      </w:r>
      <w:r>
        <w:rPr>
          <w:rFonts w:ascii="Arial" w:hAnsi="Arial" w:eastAsia="Arial" w:cs="Arial"/>
        </w:rPr>
        <w:t>Lei nº 14.133, de 2021</w:t>
      </w:r>
      <w:r>
        <w:rPr>
          <w:rFonts w:ascii="Arial" w:hAnsi="Arial" w:eastAsia="Arial" w:cs="Arial"/>
        </w:rPr>
        <w:fldChar w:fldCharType="end"/>
      </w:r>
      <w:r>
        <w:rPr>
          <w:rFonts w:ascii="Arial" w:hAnsi="Arial" w:eastAsia="Arial" w:cs="Arial"/>
        </w:rPr>
        <w:t xml:space="preserve">, a Administração poderá, garantida a prévia defesa, aplicar aos licitantes e/ou adjudicatários as seguintes sanções, sem prejuízo das responsabilidades civil e criminal: </w:t>
      </w:r>
    </w:p>
    <w:p w14:paraId="23A36481">
      <w:pPr>
        <w:jc w:val="both"/>
        <w:rPr>
          <w:rFonts w:ascii="Arial" w:hAnsi="Arial" w:eastAsia="Arial" w:cs="Arial"/>
          <w:b/>
        </w:rPr>
      </w:pPr>
    </w:p>
    <w:p w14:paraId="4E536807">
      <w:pPr>
        <w:jc w:val="both"/>
        <w:rPr>
          <w:rFonts w:ascii="Arial" w:hAnsi="Arial" w:eastAsia="Arial" w:cs="Arial"/>
        </w:rPr>
      </w:pPr>
      <w:r>
        <w:rPr>
          <w:rFonts w:ascii="Arial" w:hAnsi="Arial" w:eastAsia="Arial" w:cs="Arial"/>
          <w:b/>
        </w:rPr>
        <w:t>23.2.1.</w:t>
      </w:r>
      <w:r>
        <w:rPr>
          <w:rFonts w:ascii="Arial" w:hAnsi="Arial" w:eastAsia="Arial" w:cs="Arial"/>
        </w:rPr>
        <w:t xml:space="preserve"> Advertência; </w:t>
      </w:r>
    </w:p>
    <w:p w14:paraId="70CAB31A">
      <w:pPr>
        <w:jc w:val="both"/>
        <w:rPr>
          <w:rFonts w:ascii="Arial" w:hAnsi="Arial" w:eastAsia="Arial" w:cs="Arial"/>
        </w:rPr>
      </w:pPr>
    </w:p>
    <w:p w14:paraId="2B45CF21">
      <w:pPr>
        <w:jc w:val="both"/>
        <w:rPr>
          <w:rFonts w:ascii="Arial" w:hAnsi="Arial" w:eastAsia="Arial" w:cs="Arial"/>
        </w:rPr>
      </w:pPr>
      <w:r>
        <w:rPr>
          <w:rFonts w:ascii="Arial" w:hAnsi="Arial" w:eastAsia="Arial" w:cs="Arial"/>
          <w:b/>
        </w:rPr>
        <w:t>23.2.2.</w:t>
      </w:r>
      <w:r>
        <w:rPr>
          <w:rFonts w:ascii="Arial" w:hAnsi="Arial" w:eastAsia="Arial" w:cs="Arial"/>
        </w:rPr>
        <w:t xml:space="preserve"> Multa;</w:t>
      </w:r>
    </w:p>
    <w:p w14:paraId="3027E102">
      <w:pPr>
        <w:jc w:val="both"/>
        <w:rPr>
          <w:rFonts w:ascii="Arial" w:hAnsi="Arial" w:eastAsia="Arial" w:cs="Arial"/>
          <w:b/>
        </w:rPr>
      </w:pPr>
    </w:p>
    <w:p w14:paraId="04EFD02A">
      <w:pPr>
        <w:jc w:val="both"/>
        <w:rPr>
          <w:rFonts w:ascii="Arial" w:hAnsi="Arial" w:eastAsia="Arial" w:cs="Arial"/>
        </w:rPr>
      </w:pPr>
      <w:r>
        <w:rPr>
          <w:rFonts w:ascii="Arial" w:hAnsi="Arial" w:eastAsia="Arial" w:cs="Arial"/>
          <w:b/>
        </w:rPr>
        <w:t>23.2.3.</w:t>
      </w:r>
      <w:r>
        <w:rPr>
          <w:rFonts w:ascii="Arial" w:hAnsi="Arial" w:eastAsia="Arial" w:cs="Arial"/>
        </w:rPr>
        <w:t xml:space="preserve"> Impedimento de licitar e contratar;</w:t>
      </w:r>
    </w:p>
    <w:p w14:paraId="7F1184D7">
      <w:pPr>
        <w:jc w:val="both"/>
        <w:rPr>
          <w:rFonts w:ascii="Arial" w:hAnsi="Arial" w:eastAsia="Arial" w:cs="Arial"/>
        </w:rPr>
      </w:pPr>
      <w:r>
        <w:rPr>
          <w:rFonts w:ascii="Arial" w:hAnsi="Arial" w:eastAsia="Arial" w:cs="Arial"/>
          <w:b/>
        </w:rPr>
        <w:t>23.2.4.</w:t>
      </w:r>
      <w:r>
        <w:rPr>
          <w:rFonts w:ascii="Arial" w:hAnsi="Arial" w:eastAsia="Arial" w:cs="Arial"/>
        </w:rPr>
        <w:t xml:space="preserve"> Declaração de inidoneidade para licitar ou contratar, enquanto perdurarem os motivos determinantes da punição ou até que seja promovida sua reabilitação perante a própria autoridade que aplicou a penalidade.</w:t>
      </w:r>
    </w:p>
    <w:p w14:paraId="5E22250A">
      <w:pPr>
        <w:jc w:val="both"/>
        <w:rPr>
          <w:rFonts w:ascii="Arial" w:hAnsi="Arial" w:eastAsia="Arial" w:cs="Arial"/>
        </w:rPr>
      </w:pPr>
    </w:p>
    <w:p w14:paraId="5EF3D110">
      <w:pPr>
        <w:jc w:val="both"/>
        <w:rPr>
          <w:rFonts w:ascii="Arial" w:hAnsi="Arial" w:eastAsia="Arial" w:cs="Arial"/>
        </w:rPr>
      </w:pPr>
      <w:r>
        <w:rPr>
          <w:rFonts w:ascii="Arial" w:hAnsi="Arial" w:eastAsia="Arial" w:cs="Arial"/>
          <w:b/>
        </w:rPr>
        <w:t>23.3.</w:t>
      </w:r>
      <w:r>
        <w:rPr>
          <w:rFonts w:ascii="Arial" w:hAnsi="Arial" w:eastAsia="Arial" w:cs="Arial"/>
        </w:rPr>
        <w:t xml:space="preserve"> Na aplicação das sanções serão considerados:</w:t>
      </w:r>
    </w:p>
    <w:p w14:paraId="4AA84A3F">
      <w:pPr>
        <w:jc w:val="both"/>
        <w:rPr>
          <w:rFonts w:ascii="Arial" w:hAnsi="Arial" w:eastAsia="Arial" w:cs="Arial"/>
        </w:rPr>
      </w:pPr>
    </w:p>
    <w:p w14:paraId="35354142">
      <w:pPr>
        <w:jc w:val="both"/>
        <w:rPr>
          <w:rFonts w:ascii="Arial" w:hAnsi="Arial" w:eastAsia="Arial" w:cs="Arial"/>
        </w:rPr>
      </w:pPr>
      <w:r>
        <w:rPr>
          <w:rFonts w:ascii="Arial" w:hAnsi="Arial" w:eastAsia="Arial" w:cs="Arial"/>
          <w:b/>
        </w:rPr>
        <w:t xml:space="preserve">23.3.1. </w:t>
      </w:r>
      <w:r>
        <w:rPr>
          <w:rFonts w:ascii="Arial" w:hAnsi="Arial" w:eastAsia="Arial" w:cs="Arial"/>
        </w:rPr>
        <w:t>A natureza e a gravidade da infração cometida.</w:t>
      </w:r>
    </w:p>
    <w:p w14:paraId="571549CE">
      <w:pPr>
        <w:jc w:val="both"/>
        <w:rPr>
          <w:rFonts w:ascii="Arial" w:hAnsi="Arial" w:eastAsia="Arial" w:cs="Arial"/>
          <w:b/>
        </w:rPr>
      </w:pPr>
    </w:p>
    <w:p w14:paraId="66BD52F4">
      <w:pPr>
        <w:jc w:val="both"/>
        <w:rPr>
          <w:rFonts w:ascii="Arial" w:hAnsi="Arial" w:eastAsia="Arial" w:cs="Arial"/>
        </w:rPr>
      </w:pPr>
      <w:r>
        <w:rPr>
          <w:rFonts w:ascii="Arial" w:hAnsi="Arial" w:eastAsia="Arial" w:cs="Arial"/>
          <w:b/>
        </w:rPr>
        <w:t xml:space="preserve">23.3.2. </w:t>
      </w:r>
      <w:r>
        <w:rPr>
          <w:rFonts w:ascii="Arial" w:hAnsi="Arial" w:eastAsia="Arial" w:cs="Arial"/>
        </w:rPr>
        <w:t>As peculiaridades do caso concreto</w:t>
      </w:r>
    </w:p>
    <w:p w14:paraId="082442CB">
      <w:pPr>
        <w:jc w:val="both"/>
        <w:rPr>
          <w:rFonts w:ascii="Arial" w:hAnsi="Arial" w:eastAsia="Arial" w:cs="Arial"/>
          <w:b/>
        </w:rPr>
      </w:pPr>
    </w:p>
    <w:p w14:paraId="72232BA7">
      <w:pPr>
        <w:jc w:val="both"/>
        <w:rPr>
          <w:rFonts w:ascii="Arial" w:hAnsi="Arial" w:eastAsia="Arial" w:cs="Arial"/>
        </w:rPr>
      </w:pPr>
      <w:r>
        <w:rPr>
          <w:rFonts w:ascii="Arial" w:hAnsi="Arial" w:eastAsia="Arial" w:cs="Arial"/>
          <w:b/>
        </w:rPr>
        <w:t xml:space="preserve">23.3.3. </w:t>
      </w:r>
      <w:r>
        <w:rPr>
          <w:rFonts w:ascii="Arial" w:hAnsi="Arial" w:eastAsia="Arial" w:cs="Arial"/>
        </w:rPr>
        <w:t>As circunstâncias agravantes ou atenuantes</w:t>
      </w:r>
    </w:p>
    <w:p w14:paraId="4A4E9190">
      <w:pPr>
        <w:jc w:val="both"/>
        <w:rPr>
          <w:rFonts w:ascii="Arial" w:hAnsi="Arial" w:eastAsia="Arial" w:cs="Arial"/>
        </w:rPr>
      </w:pPr>
    </w:p>
    <w:p w14:paraId="433330BB">
      <w:pPr>
        <w:jc w:val="both"/>
        <w:rPr>
          <w:rFonts w:ascii="Arial" w:hAnsi="Arial" w:eastAsia="Arial" w:cs="Arial"/>
        </w:rPr>
      </w:pPr>
      <w:r>
        <w:rPr>
          <w:rFonts w:ascii="Arial" w:hAnsi="Arial" w:eastAsia="Arial" w:cs="Arial"/>
          <w:b/>
        </w:rPr>
        <w:t xml:space="preserve">23.3.4. </w:t>
      </w:r>
      <w:r>
        <w:rPr>
          <w:rFonts w:ascii="Arial" w:hAnsi="Arial" w:eastAsia="Arial" w:cs="Arial"/>
        </w:rPr>
        <w:t>Os danos que dela provierem para a Administração Pública</w:t>
      </w:r>
    </w:p>
    <w:p w14:paraId="1DE15399">
      <w:pPr>
        <w:jc w:val="both"/>
        <w:rPr>
          <w:rFonts w:ascii="Arial" w:hAnsi="Arial" w:eastAsia="Arial" w:cs="Arial"/>
        </w:rPr>
      </w:pPr>
    </w:p>
    <w:p w14:paraId="6850CA01">
      <w:pPr>
        <w:jc w:val="both"/>
        <w:rPr>
          <w:rFonts w:ascii="Arial" w:hAnsi="Arial" w:eastAsia="Arial" w:cs="Arial"/>
        </w:rPr>
      </w:pPr>
      <w:r>
        <w:rPr>
          <w:rFonts w:ascii="Arial" w:hAnsi="Arial" w:eastAsia="Arial" w:cs="Arial"/>
          <w:b/>
        </w:rPr>
        <w:t xml:space="preserve">23.3.5. </w:t>
      </w:r>
      <w:r>
        <w:rPr>
          <w:rFonts w:ascii="Arial" w:hAnsi="Arial" w:eastAsia="Arial" w:cs="Arial"/>
        </w:rPr>
        <w:t>A implantação ou o aperfeiçoamento de programa de integridade, conforme normas e orientações dos órgãos de controle.</w:t>
      </w:r>
    </w:p>
    <w:p w14:paraId="7E6275C1">
      <w:pPr>
        <w:jc w:val="both"/>
        <w:rPr>
          <w:rFonts w:ascii="Arial" w:hAnsi="Arial" w:eastAsia="Arial" w:cs="Arial"/>
          <w:b/>
        </w:rPr>
      </w:pPr>
    </w:p>
    <w:p w14:paraId="224C74D0">
      <w:pPr>
        <w:jc w:val="both"/>
        <w:rPr>
          <w:rFonts w:ascii="Arial" w:hAnsi="Arial" w:eastAsia="Arial" w:cs="Arial"/>
        </w:rPr>
      </w:pPr>
      <w:r>
        <w:rPr>
          <w:rFonts w:ascii="Arial" w:hAnsi="Arial" w:eastAsia="Arial" w:cs="Arial"/>
          <w:b/>
        </w:rPr>
        <w:t>23.4.</w:t>
      </w:r>
      <w:r>
        <w:rPr>
          <w:rFonts w:ascii="Arial" w:hAnsi="Arial" w:eastAsia="Arial" w:cs="Arial"/>
        </w:rPr>
        <w:t xml:space="preserve"> A multa será recolhida em percentual de 0,5% a 30% incidente sobre o valor do contrato licitado, recolhida no prazo máximo de </w:t>
      </w:r>
      <w:r>
        <w:rPr>
          <w:rFonts w:ascii="Arial" w:hAnsi="Arial" w:eastAsia="Arial" w:cs="Arial"/>
          <w:b/>
        </w:rPr>
        <w:t>30 (trinta) dias</w:t>
      </w:r>
      <w:r>
        <w:rPr>
          <w:rFonts w:ascii="Arial" w:hAnsi="Arial" w:eastAsia="Arial" w:cs="Arial"/>
        </w:rPr>
        <w:t xml:space="preserve"> úteis, a contar da comunicação oficial. </w:t>
      </w:r>
    </w:p>
    <w:p w14:paraId="6A2A013D">
      <w:pPr>
        <w:jc w:val="both"/>
        <w:rPr>
          <w:rFonts w:ascii="Arial" w:hAnsi="Arial" w:eastAsia="Arial" w:cs="Arial"/>
          <w:b/>
        </w:rPr>
      </w:pPr>
      <w:bookmarkStart w:id="42" w:name="_heading=h.j38yum9sus9l"/>
      <w:bookmarkEnd w:id="42"/>
    </w:p>
    <w:p w14:paraId="687E6B68">
      <w:pPr>
        <w:jc w:val="both"/>
        <w:rPr>
          <w:rFonts w:ascii="Arial" w:hAnsi="Arial" w:eastAsia="Arial" w:cs="Arial"/>
        </w:rPr>
      </w:pPr>
      <w:r>
        <w:rPr>
          <w:rFonts w:ascii="Arial" w:hAnsi="Arial" w:eastAsia="Arial" w:cs="Arial"/>
          <w:b/>
        </w:rPr>
        <w:t>23.4.</w:t>
      </w:r>
      <w:r>
        <w:rPr>
          <w:rFonts w:ascii="Arial" w:hAnsi="Arial" w:eastAsia="Arial" w:cs="Arial"/>
        </w:rPr>
        <w:t xml:space="preserve">1. Para as infrações previstas nos itens </w:t>
      </w:r>
      <w:r>
        <w:rPr>
          <w:rFonts w:ascii="Arial" w:hAnsi="Arial" w:eastAsia="Arial" w:cs="Arial"/>
          <w:b/>
          <w:u w:val="single"/>
        </w:rPr>
        <w:t>23.1.1, 23.1.2, e 23.1.3</w:t>
      </w:r>
      <w:r>
        <w:rPr>
          <w:rFonts w:ascii="Arial" w:hAnsi="Arial" w:eastAsia="Arial" w:cs="Arial"/>
        </w:rPr>
        <w:t xml:space="preserve">, a multa será de </w:t>
      </w:r>
      <w:r>
        <w:rPr>
          <w:rFonts w:ascii="Arial" w:hAnsi="Arial" w:eastAsia="Arial" w:cs="Arial"/>
          <w:b/>
        </w:rPr>
        <w:t>0,5%</w:t>
      </w:r>
      <w:r>
        <w:rPr>
          <w:rFonts w:ascii="Arial" w:hAnsi="Arial" w:eastAsia="Arial" w:cs="Arial"/>
        </w:rPr>
        <w:t xml:space="preserve"> a </w:t>
      </w:r>
      <w:r>
        <w:rPr>
          <w:rFonts w:ascii="Arial" w:hAnsi="Arial" w:eastAsia="Arial" w:cs="Arial"/>
          <w:b/>
        </w:rPr>
        <w:t>15%</w:t>
      </w:r>
      <w:r>
        <w:rPr>
          <w:rFonts w:ascii="Arial" w:hAnsi="Arial" w:eastAsia="Arial" w:cs="Arial"/>
        </w:rPr>
        <w:t xml:space="preserve"> do valor do contrato licitado. </w:t>
      </w:r>
    </w:p>
    <w:p w14:paraId="54EB6459">
      <w:pPr>
        <w:jc w:val="both"/>
        <w:rPr>
          <w:rFonts w:ascii="Arial" w:hAnsi="Arial" w:eastAsia="Arial" w:cs="Arial"/>
        </w:rPr>
      </w:pPr>
    </w:p>
    <w:p w14:paraId="657595ED">
      <w:pPr>
        <w:jc w:val="both"/>
        <w:rPr>
          <w:rFonts w:ascii="Arial" w:hAnsi="Arial" w:eastAsia="Arial" w:cs="Arial"/>
        </w:rPr>
      </w:pPr>
      <w:r>
        <w:rPr>
          <w:rFonts w:ascii="Arial" w:hAnsi="Arial" w:eastAsia="Arial" w:cs="Arial"/>
          <w:b/>
        </w:rPr>
        <w:t>23.4.2.</w:t>
      </w:r>
      <w:r>
        <w:rPr>
          <w:rFonts w:ascii="Arial" w:hAnsi="Arial" w:eastAsia="Arial" w:cs="Arial"/>
        </w:rPr>
        <w:t xml:space="preserve"> Para as infrações previstas nos itens </w:t>
      </w:r>
      <w:r>
        <w:rPr>
          <w:rFonts w:ascii="Arial" w:hAnsi="Arial" w:eastAsia="Arial" w:cs="Arial"/>
          <w:b/>
          <w:u w:val="single"/>
        </w:rPr>
        <w:t>23.1.4, 23.1.5, 23.1.6, 23.1.7, e 23.1.8,</w:t>
      </w:r>
      <w:r>
        <w:rPr>
          <w:rFonts w:ascii="Arial" w:hAnsi="Arial" w:eastAsia="Arial" w:cs="Arial"/>
        </w:rPr>
        <w:t xml:space="preserve"> a multa será de </w:t>
      </w:r>
      <w:r>
        <w:rPr>
          <w:rFonts w:ascii="Arial" w:hAnsi="Arial" w:eastAsia="Arial" w:cs="Arial"/>
          <w:b/>
        </w:rPr>
        <w:t>15%</w:t>
      </w:r>
      <w:r>
        <w:rPr>
          <w:rFonts w:ascii="Arial" w:hAnsi="Arial" w:eastAsia="Arial" w:cs="Arial"/>
        </w:rPr>
        <w:t xml:space="preserve"> a </w:t>
      </w:r>
      <w:r>
        <w:rPr>
          <w:rFonts w:ascii="Arial" w:hAnsi="Arial" w:eastAsia="Arial" w:cs="Arial"/>
          <w:b/>
        </w:rPr>
        <w:t>30%</w:t>
      </w:r>
      <w:r>
        <w:rPr>
          <w:rFonts w:ascii="Arial" w:hAnsi="Arial" w:eastAsia="Arial" w:cs="Arial"/>
        </w:rPr>
        <w:t xml:space="preserve"> do valor do contrato licitado.</w:t>
      </w:r>
    </w:p>
    <w:p w14:paraId="6B059F01">
      <w:pPr>
        <w:jc w:val="both"/>
        <w:rPr>
          <w:rFonts w:ascii="Arial" w:hAnsi="Arial" w:eastAsia="Arial" w:cs="Arial"/>
        </w:rPr>
      </w:pPr>
    </w:p>
    <w:p w14:paraId="51B1D782">
      <w:pPr>
        <w:jc w:val="both"/>
        <w:rPr>
          <w:rFonts w:ascii="Arial" w:hAnsi="Arial" w:eastAsia="Arial" w:cs="Arial"/>
        </w:rPr>
      </w:pPr>
      <w:r>
        <w:rPr>
          <w:rFonts w:ascii="Arial" w:hAnsi="Arial" w:eastAsia="Arial" w:cs="Arial"/>
          <w:b/>
        </w:rPr>
        <w:t xml:space="preserve">23.5. </w:t>
      </w:r>
      <w:r>
        <w:rPr>
          <w:rFonts w:ascii="Arial" w:hAnsi="Arial" w:eastAsia="Arial" w:cs="Arial"/>
        </w:rPr>
        <w:t>As sanções de advertência, impedimento de licitar e contratar e declaração de inidoneidade para licitar ou contratar poderão ser aplicadas, cumulativamente ou não, à penalidade de multa.</w:t>
      </w:r>
    </w:p>
    <w:p w14:paraId="2EA570AB">
      <w:pPr>
        <w:jc w:val="both"/>
        <w:rPr>
          <w:rFonts w:ascii="Arial" w:hAnsi="Arial" w:eastAsia="Arial" w:cs="Arial"/>
        </w:rPr>
      </w:pPr>
    </w:p>
    <w:p w14:paraId="1BE00CD1">
      <w:pPr>
        <w:jc w:val="both"/>
        <w:rPr>
          <w:rFonts w:ascii="Arial" w:hAnsi="Arial" w:eastAsia="Arial" w:cs="Arial"/>
        </w:rPr>
      </w:pPr>
      <w:r>
        <w:rPr>
          <w:rFonts w:ascii="Arial" w:hAnsi="Arial" w:eastAsia="Arial" w:cs="Arial"/>
          <w:b/>
        </w:rPr>
        <w:t xml:space="preserve">23.6. </w:t>
      </w:r>
      <w:r>
        <w:rPr>
          <w:rFonts w:ascii="Arial" w:hAnsi="Arial" w:eastAsia="Arial" w:cs="Arial"/>
        </w:rPr>
        <w:t>Na aplicação da sanção de multa será facultada a defesa do interessado no prazo de 15 (quinze) dias úteis, contado da data de sua intimação.</w:t>
      </w:r>
    </w:p>
    <w:p w14:paraId="7D586658">
      <w:pPr>
        <w:jc w:val="both"/>
        <w:rPr>
          <w:rFonts w:ascii="Arial" w:hAnsi="Arial" w:eastAsia="Arial" w:cs="Arial"/>
        </w:rPr>
      </w:pPr>
    </w:p>
    <w:p w14:paraId="435B358E">
      <w:pPr>
        <w:jc w:val="both"/>
        <w:rPr>
          <w:rFonts w:ascii="Arial" w:hAnsi="Arial" w:eastAsia="Arial" w:cs="Arial"/>
        </w:rPr>
      </w:pPr>
      <w:r>
        <w:rPr>
          <w:rFonts w:ascii="Arial" w:hAnsi="Arial" w:eastAsia="Arial" w:cs="Arial"/>
          <w:b/>
        </w:rPr>
        <w:t xml:space="preserve">23.7. </w:t>
      </w:r>
      <w:r>
        <w:rPr>
          <w:rFonts w:ascii="Arial" w:hAnsi="Arial" w:eastAsia="Arial" w:cs="Arial"/>
        </w:rPr>
        <w:t xml:space="preserve">A sanção de impedimento de licitar e contratar será aplicada ao responsável em decorrência das infrações administrativas relacionadas nos itens </w:t>
      </w:r>
      <w:r>
        <w:rPr>
          <w:rFonts w:ascii="Arial" w:hAnsi="Arial" w:eastAsia="Arial" w:cs="Arial"/>
          <w:b/>
          <w:u w:val="single"/>
        </w:rPr>
        <w:t>23.1.1, 23.1.2, e 23.1.3</w:t>
      </w:r>
      <w:r>
        <w:rPr>
          <w:rFonts w:ascii="Arial" w:hAnsi="Arial" w:eastAsia="Arial" w:cs="Arial"/>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1D225E88">
      <w:pPr>
        <w:jc w:val="both"/>
        <w:rPr>
          <w:rFonts w:ascii="Arial" w:hAnsi="Arial" w:eastAsia="Arial" w:cs="Arial"/>
        </w:rPr>
      </w:pPr>
    </w:p>
    <w:p w14:paraId="4A9147FE">
      <w:pPr>
        <w:jc w:val="both"/>
        <w:rPr>
          <w:rFonts w:ascii="Arial" w:hAnsi="Arial" w:eastAsia="Arial" w:cs="Arial"/>
        </w:rPr>
      </w:pPr>
      <w:r>
        <w:rPr>
          <w:rFonts w:ascii="Arial" w:hAnsi="Arial" w:eastAsia="Arial" w:cs="Arial"/>
          <w:b/>
        </w:rPr>
        <w:t xml:space="preserve">23.8. </w:t>
      </w:r>
      <w:r>
        <w:rPr>
          <w:rFonts w:ascii="Arial" w:hAnsi="Arial" w:eastAsia="Arial" w:cs="Arial"/>
        </w:rPr>
        <w:t xml:space="preserve">Poderá ser aplicada ao responsável a sanção de declaração de inidoneidade para licitar ou contratar, em decorrência da prática das infrações dispostas nos itens </w:t>
      </w:r>
      <w:r>
        <w:rPr>
          <w:rFonts w:ascii="Arial" w:hAnsi="Arial" w:eastAsia="Arial" w:cs="Arial"/>
          <w:b/>
          <w:u w:val="single"/>
        </w:rPr>
        <w:t>23.1.4, 23.1.5, 23.1.6, 23.1.7, e 23.1.8,</w:t>
      </w:r>
      <w:r>
        <w:rPr>
          <w:rFonts w:ascii="Arial" w:hAnsi="Arial" w:eastAsia="Arial" w:cs="Arial"/>
        </w:rPr>
        <w:t xml:space="preserve"> bem como pelas infrações administrativas previstas nos itens </w:t>
      </w:r>
      <w:r>
        <w:rPr>
          <w:rFonts w:ascii="Arial" w:hAnsi="Arial" w:eastAsia="Arial" w:cs="Arial"/>
          <w:b/>
          <w:u w:val="single"/>
        </w:rPr>
        <w:t>23.1.1, 23.1.2, e 23.1.3</w:t>
      </w:r>
      <w:r>
        <w:rPr>
          <w:rFonts w:ascii="Arial" w:hAnsi="Arial" w:eastAsia="Arial" w:cs="Arial"/>
        </w:rPr>
        <w:t xml:space="preserve">, que justifiquem a imposição de penalidade mais grave que a sanção de impedimento de licitar e contratar, cuja duração observará o prazo previsto no </w:t>
      </w:r>
      <w:r>
        <w:fldChar w:fldCharType="begin"/>
      </w:r>
      <w:r>
        <w:instrText xml:space="preserve"> HYPERLINK "http://www.planalto.gov.br/ccivil_03/_ato2019-2022/2021/lei/L14133.htm" \l "art156§5" </w:instrText>
      </w:r>
      <w:r>
        <w:fldChar w:fldCharType="separate"/>
      </w:r>
      <w:r>
        <w:rPr>
          <w:rFonts w:ascii="Arial" w:hAnsi="Arial" w:eastAsia="Arial" w:cs="Arial"/>
        </w:rPr>
        <w:t>art. 156, §5º, da Lei n.º 14.133/2021</w:t>
      </w:r>
      <w:r>
        <w:rPr>
          <w:rFonts w:ascii="Arial" w:hAnsi="Arial" w:eastAsia="Arial" w:cs="Arial"/>
        </w:rPr>
        <w:fldChar w:fldCharType="end"/>
      </w:r>
      <w:r>
        <w:rPr>
          <w:rFonts w:ascii="Arial" w:hAnsi="Arial" w:eastAsia="Arial" w:cs="Arial"/>
        </w:rPr>
        <w:t>.</w:t>
      </w:r>
    </w:p>
    <w:p w14:paraId="4283CB24">
      <w:pPr>
        <w:jc w:val="both"/>
        <w:rPr>
          <w:rFonts w:ascii="Arial" w:hAnsi="Arial" w:eastAsia="Arial" w:cs="Arial"/>
        </w:rPr>
      </w:pPr>
    </w:p>
    <w:p w14:paraId="5515052F">
      <w:pPr>
        <w:jc w:val="both"/>
        <w:rPr>
          <w:rFonts w:ascii="Arial" w:hAnsi="Arial" w:eastAsia="Arial" w:cs="Arial"/>
        </w:rPr>
      </w:pPr>
      <w:r>
        <w:rPr>
          <w:rFonts w:ascii="Arial" w:hAnsi="Arial" w:eastAsia="Arial" w:cs="Arial"/>
          <w:b/>
        </w:rPr>
        <w:t xml:space="preserve">23.9. </w:t>
      </w:r>
      <w:r>
        <w:rPr>
          <w:rFonts w:ascii="Arial" w:hAnsi="Arial" w:eastAsia="Arial" w:cs="Arial"/>
        </w:rPr>
        <w:t xml:space="preserve">A recusa injustificada do adjudicatário em assinar o contrato ou a ata de registro de preço, ou em aceitar ou retirar o instrumento equivalente no prazo estabelecido pela Administração, descrita nesse edital caracterizará o descumprimento total da obrigação assumida e o sujeitará às penalidades e à imediata perda a garantia de proposta em favor do órgão ou entidade promotora da licitação, nos termos do </w:t>
      </w:r>
      <w:r>
        <w:fldChar w:fldCharType="begin"/>
      </w:r>
      <w:r>
        <w:instrText xml:space="preserve"> HYPERLINK "https://www.gov.br/compras/pt-br/acesso-a-informacao/legislacao/instrucoes-normativas/instrucao-normativa-seges-me-no-73-de-30-de-setembro-de-2022" \h </w:instrText>
      </w:r>
      <w:r>
        <w:fldChar w:fldCharType="separate"/>
      </w:r>
      <w:r>
        <w:rPr>
          <w:rFonts w:ascii="Arial" w:hAnsi="Arial" w:eastAsia="Arial" w:cs="Arial"/>
        </w:rPr>
        <w:t>art. 45, §4º da IN SEGES/ME n.º 73, de 2022</w:t>
      </w:r>
      <w:r>
        <w:rPr>
          <w:rFonts w:ascii="Arial" w:hAnsi="Arial" w:eastAsia="Arial" w:cs="Arial"/>
        </w:rPr>
        <w:fldChar w:fldCharType="end"/>
      </w:r>
      <w:r>
        <w:rPr>
          <w:rFonts w:ascii="Arial" w:hAnsi="Arial" w:eastAsia="Arial" w:cs="Arial"/>
        </w:rPr>
        <w:t xml:space="preserve">. </w:t>
      </w:r>
    </w:p>
    <w:p w14:paraId="2274C580">
      <w:pPr>
        <w:jc w:val="both"/>
        <w:rPr>
          <w:rFonts w:ascii="Arial" w:hAnsi="Arial" w:eastAsia="Arial" w:cs="Arial"/>
        </w:rPr>
      </w:pPr>
    </w:p>
    <w:p w14:paraId="74C988C7">
      <w:pPr>
        <w:jc w:val="both"/>
        <w:rPr>
          <w:rFonts w:ascii="Arial" w:hAnsi="Arial" w:eastAsia="Arial" w:cs="Arial"/>
        </w:rPr>
      </w:pPr>
      <w:r>
        <w:rPr>
          <w:rFonts w:ascii="Arial" w:hAnsi="Arial" w:eastAsia="Arial" w:cs="Arial"/>
          <w:b/>
        </w:rPr>
        <w:t xml:space="preserve">23.10. </w:t>
      </w:r>
      <w:r>
        <w:rPr>
          <w:rFonts w:ascii="Arial" w:hAnsi="Arial" w:eastAsia="Arial" w:cs="Arial"/>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72912CDB">
      <w:pPr>
        <w:jc w:val="both"/>
        <w:rPr>
          <w:rFonts w:ascii="Arial" w:hAnsi="Arial" w:eastAsia="Arial" w:cs="Arial"/>
        </w:rPr>
      </w:pPr>
    </w:p>
    <w:p w14:paraId="4672C36C">
      <w:pPr>
        <w:jc w:val="both"/>
        <w:rPr>
          <w:rFonts w:ascii="Arial" w:hAnsi="Arial" w:eastAsia="Arial" w:cs="Arial"/>
        </w:rPr>
      </w:pPr>
      <w:r>
        <w:rPr>
          <w:rFonts w:ascii="Arial" w:hAnsi="Arial" w:eastAsia="Arial" w:cs="Arial"/>
          <w:b/>
        </w:rPr>
        <w:t xml:space="preserve">23.11. </w:t>
      </w:r>
      <w:r>
        <w:rPr>
          <w:rFonts w:ascii="Arial" w:hAnsi="Arial" w:eastAsia="Arial" w:cs="Arial"/>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3BBFD56F">
      <w:pPr>
        <w:jc w:val="both"/>
        <w:rPr>
          <w:rFonts w:ascii="Arial" w:hAnsi="Arial" w:eastAsia="Arial" w:cs="Arial"/>
          <w:b/>
        </w:rPr>
      </w:pPr>
    </w:p>
    <w:p w14:paraId="496BDCF0">
      <w:pPr>
        <w:jc w:val="both"/>
        <w:rPr>
          <w:rFonts w:ascii="Arial" w:hAnsi="Arial" w:eastAsia="Arial" w:cs="Arial"/>
        </w:rPr>
      </w:pPr>
      <w:r>
        <w:rPr>
          <w:rFonts w:ascii="Arial" w:hAnsi="Arial" w:eastAsia="Arial" w:cs="Arial"/>
          <w:b/>
        </w:rPr>
        <w:t xml:space="preserve">23.12. </w:t>
      </w:r>
      <w:r>
        <w:rPr>
          <w:rFonts w:ascii="Arial" w:hAnsi="Arial" w:eastAsia="Arial" w:cs="Arial"/>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A07C651">
      <w:pPr>
        <w:jc w:val="both"/>
        <w:rPr>
          <w:rFonts w:ascii="Arial" w:hAnsi="Arial" w:eastAsia="Arial" w:cs="Arial"/>
          <w:b/>
        </w:rPr>
      </w:pPr>
    </w:p>
    <w:p w14:paraId="274FF72E">
      <w:pPr>
        <w:jc w:val="both"/>
        <w:rPr>
          <w:rFonts w:ascii="Arial" w:hAnsi="Arial" w:eastAsia="Arial" w:cs="Arial"/>
        </w:rPr>
      </w:pPr>
      <w:r>
        <w:rPr>
          <w:rFonts w:ascii="Arial" w:hAnsi="Arial" w:eastAsia="Arial" w:cs="Arial"/>
          <w:b/>
        </w:rPr>
        <w:t xml:space="preserve">23.13. </w:t>
      </w:r>
      <w:r>
        <w:rPr>
          <w:rFonts w:ascii="Arial" w:hAnsi="Arial" w:eastAsia="Arial" w:cs="Arial"/>
        </w:rPr>
        <w:t>O recurso e o pedido de reconsideração terão efeito suspensivo do ato ou da decisão recorrida até que sobrevenha decisão final da autoridade competente.</w:t>
      </w:r>
    </w:p>
    <w:p w14:paraId="41CA6CD0">
      <w:pPr>
        <w:jc w:val="both"/>
        <w:rPr>
          <w:rFonts w:ascii="Arial" w:hAnsi="Arial" w:eastAsia="Arial" w:cs="Arial"/>
        </w:rPr>
      </w:pPr>
    </w:p>
    <w:p w14:paraId="0DBD3DE2">
      <w:pPr>
        <w:jc w:val="both"/>
        <w:rPr>
          <w:rFonts w:ascii="Arial" w:hAnsi="Arial" w:eastAsia="Arial" w:cs="Arial"/>
        </w:rPr>
      </w:pPr>
      <w:r>
        <w:rPr>
          <w:rFonts w:ascii="Arial" w:hAnsi="Arial" w:eastAsia="Arial" w:cs="Arial"/>
          <w:b/>
        </w:rPr>
        <w:t xml:space="preserve">23.14. </w:t>
      </w:r>
      <w:r>
        <w:rPr>
          <w:rFonts w:ascii="Arial" w:hAnsi="Arial" w:eastAsia="Arial" w:cs="Arial"/>
        </w:rPr>
        <w:t>A aplicação das sanções previstas neste edital não exclui, em hipótese alguma, a obrigação de reparação integral dos danos causados.</w:t>
      </w:r>
    </w:p>
    <w:p w14:paraId="2FFBC42B">
      <w:pPr>
        <w:jc w:val="both"/>
        <w:rPr>
          <w:rFonts w:ascii="Arial" w:hAnsi="Arial" w:eastAsia="Arial" w:cs="Arial"/>
          <w:b/>
        </w:rPr>
      </w:pPr>
    </w:p>
    <w:p w14:paraId="68A180E2">
      <w:pPr>
        <w:pStyle w:val="2"/>
        <w:spacing w:before="0" w:after="0"/>
        <w:rPr>
          <w:sz w:val="20"/>
          <w:szCs w:val="20"/>
          <w:lang w:val="pt-BR"/>
        </w:rPr>
      </w:pPr>
      <w:bookmarkStart w:id="43" w:name="_heading=h.2ph203i1ux4v"/>
      <w:bookmarkEnd w:id="43"/>
      <w:r>
        <w:rPr>
          <w:sz w:val="20"/>
          <w:szCs w:val="20"/>
          <w:lang w:val="pt-BR"/>
        </w:rPr>
        <w:t xml:space="preserve">24. DO PAGAMENTO: </w:t>
      </w:r>
    </w:p>
    <w:p w14:paraId="16DA4116">
      <w:pPr>
        <w:jc w:val="both"/>
        <w:rPr>
          <w:rFonts w:ascii="Arial" w:hAnsi="Arial" w:eastAsia="Arial" w:cs="Arial"/>
        </w:rPr>
      </w:pPr>
    </w:p>
    <w:p w14:paraId="4DFF9A72">
      <w:pPr>
        <w:jc w:val="both"/>
        <w:rPr>
          <w:rFonts w:ascii="Arial" w:hAnsi="Arial" w:eastAsia="Arial" w:cs="Arial"/>
        </w:rPr>
      </w:pPr>
      <w:r>
        <w:rPr>
          <w:rFonts w:ascii="Arial" w:hAnsi="Arial" w:eastAsia="Arial" w:cs="Arial"/>
          <w:b/>
        </w:rPr>
        <w:t xml:space="preserve">24.1. </w:t>
      </w:r>
      <w:r>
        <w:rPr>
          <w:rFonts w:ascii="Arial" w:hAnsi="Arial" w:eastAsia="Arial" w:cs="Arial"/>
        </w:rPr>
        <w:t xml:space="preserve">Pelo fiel e perfeito fornecimento do objeto desta licitação, o município de Rondonópolis-MT, pagará o valor total, em Reais (R$), à Contratada, mediante a entrega da Nota Fiscal, devidamente atestada pela Secretaria solicitante, que corresponderá ao valor do objeto licitado entregue, após verificação; </w:t>
      </w:r>
    </w:p>
    <w:p w14:paraId="61D4DCC1">
      <w:pPr>
        <w:jc w:val="both"/>
        <w:rPr>
          <w:rFonts w:ascii="Arial" w:hAnsi="Arial" w:eastAsia="Arial" w:cs="Arial"/>
        </w:rPr>
      </w:pPr>
    </w:p>
    <w:p w14:paraId="3E25D40C">
      <w:pPr>
        <w:jc w:val="both"/>
        <w:rPr>
          <w:rFonts w:ascii="Arial" w:hAnsi="Arial" w:eastAsia="Arial" w:cs="Arial"/>
        </w:rPr>
      </w:pPr>
      <w:r>
        <w:rPr>
          <w:rFonts w:ascii="Arial" w:hAnsi="Arial" w:eastAsia="Arial" w:cs="Arial"/>
          <w:b/>
        </w:rPr>
        <w:t>24.2.</w:t>
      </w:r>
      <w:r>
        <w:rPr>
          <w:rFonts w:ascii="Arial" w:hAnsi="Arial" w:eastAsia="Arial" w:cs="Arial"/>
        </w:rPr>
        <w:t xml:space="preserve"> No preço a ser pago deverão estar inclusas todas as despesas inerentes a: transporte (entrega), seguro, guincho, manutenção preventiva e corretiva, tributos, IPVA e licenciamento, enfim todas as despesas necessárias ao fornecimento do objeto deste Pregão a ser entregue no município de Rondonópolis-MT; </w:t>
      </w:r>
    </w:p>
    <w:p w14:paraId="4C449478">
      <w:pPr>
        <w:jc w:val="both"/>
        <w:rPr>
          <w:rFonts w:ascii="Arial" w:hAnsi="Arial" w:eastAsia="Arial" w:cs="Arial"/>
          <w:b/>
        </w:rPr>
      </w:pPr>
    </w:p>
    <w:p w14:paraId="7E009DB3">
      <w:pPr>
        <w:jc w:val="both"/>
        <w:rPr>
          <w:rFonts w:ascii="Arial" w:hAnsi="Arial" w:eastAsia="Arial" w:cs="Arial"/>
        </w:rPr>
      </w:pPr>
      <w:r>
        <w:rPr>
          <w:rFonts w:ascii="Arial" w:hAnsi="Arial" w:eastAsia="Arial" w:cs="Arial"/>
          <w:b/>
        </w:rPr>
        <w:t>24.3.</w:t>
      </w:r>
      <w:r>
        <w:rPr>
          <w:rFonts w:ascii="Arial" w:hAnsi="Arial" w:eastAsia="Arial" w:cs="Arial"/>
        </w:rPr>
        <w:t xml:space="preserve"> O pagamento será realizado conforme contrato, devendo ainda atender aos termos do art. 60 da Lei federal n.º 4.320, de 17/03/1964, em até 30 (trinta) dias após entrega e atesto de recebimento definitivo do objeto licitado, mediante apresentação da Nota Fiscal, atestada pelo servidor responsável da CONTRATANTE , devidamente acompanhada dos documentos estabelecidos na Legislação Vigente ou o que venha a substituí-los, através de boleto ou transferência bancaria em conta jurídica da empresa contratada. </w:t>
      </w:r>
    </w:p>
    <w:p w14:paraId="78AEE19F">
      <w:pPr>
        <w:jc w:val="both"/>
        <w:rPr>
          <w:rFonts w:ascii="Arial" w:hAnsi="Arial" w:eastAsia="Arial" w:cs="Arial"/>
        </w:rPr>
      </w:pPr>
    </w:p>
    <w:p w14:paraId="68128BDE">
      <w:pPr>
        <w:jc w:val="both"/>
        <w:rPr>
          <w:rFonts w:ascii="Arial" w:hAnsi="Arial" w:eastAsia="Arial" w:cs="Arial"/>
        </w:rPr>
      </w:pPr>
      <w:r>
        <w:rPr>
          <w:rFonts w:ascii="Arial" w:hAnsi="Arial" w:eastAsia="Arial" w:cs="Arial"/>
          <w:b/>
        </w:rPr>
        <w:t>24.4.</w:t>
      </w:r>
      <w:r>
        <w:rPr>
          <w:rFonts w:ascii="Arial" w:hAnsi="Arial" w:eastAsia="Arial" w:cs="Arial"/>
        </w:rPr>
        <w:t xml:space="preserve"> A nota fiscal deverá conter atestados firmados pelo servidor encarregado de fiscalizar o recebimento, comprovando a entrega do objeto contratado; </w:t>
      </w:r>
    </w:p>
    <w:p w14:paraId="2A8CAE46">
      <w:pPr>
        <w:jc w:val="both"/>
        <w:rPr>
          <w:rFonts w:ascii="Arial" w:hAnsi="Arial" w:eastAsia="Arial" w:cs="Arial"/>
        </w:rPr>
      </w:pPr>
    </w:p>
    <w:p w14:paraId="7206791C">
      <w:pPr>
        <w:jc w:val="both"/>
        <w:rPr>
          <w:rFonts w:ascii="Arial" w:hAnsi="Arial" w:eastAsia="Arial" w:cs="Arial"/>
        </w:rPr>
      </w:pPr>
      <w:r>
        <w:rPr>
          <w:rFonts w:ascii="Arial" w:hAnsi="Arial" w:eastAsia="Arial" w:cs="Arial"/>
          <w:b/>
        </w:rPr>
        <w:t>24.5.</w:t>
      </w:r>
      <w:r>
        <w:rPr>
          <w:rFonts w:ascii="Arial" w:hAnsi="Arial" w:eastAsia="Arial" w:cs="Arial"/>
        </w:rPr>
        <w:t xml:space="preserve"> A contratada deverá indicar no corpo da nota fiscal, n. do contrato, mês de referência, descrição dos serviços, o número e nome do banco, agência e número da conta, na qual deverá ser feito o pagamento, via ordem bancária; </w:t>
      </w:r>
    </w:p>
    <w:p w14:paraId="7D612486">
      <w:pPr>
        <w:jc w:val="both"/>
        <w:rPr>
          <w:rFonts w:ascii="Arial" w:hAnsi="Arial" w:eastAsia="Arial" w:cs="Arial"/>
        </w:rPr>
      </w:pPr>
      <w:r>
        <w:rPr>
          <w:rFonts w:ascii="Arial" w:hAnsi="Arial" w:eastAsia="Arial" w:cs="Arial"/>
          <w:b/>
        </w:rPr>
        <w:t>24.6.</w:t>
      </w:r>
      <w:r>
        <w:rPr>
          <w:rFonts w:ascii="Arial" w:hAnsi="Arial" w:eastAsia="Arial" w:cs="Arial"/>
        </w:rPr>
        <w:t xml:space="preserve"> O Município de Rondonópolis efetuará o pagamento por meio de ordem bancária, tomada junto ao Banco ou Cooperativa, endereçada ao banco discriminado na nota fiscal; </w:t>
      </w:r>
    </w:p>
    <w:p w14:paraId="12C3248A">
      <w:pPr>
        <w:jc w:val="both"/>
        <w:rPr>
          <w:rFonts w:ascii="Arial" w:hAnsi="Arial" w:eastAsia="Arial" w:cs="Arial"/>
        </w:rPr>
      </w:pPr>
    </w:p>
    <w:p w14:paraId="635D7F59">
      <w:pPr>
        <w:jc w:val="both"/>
        <w:rPr>
          <w:rFonts w:ascii="Arial" w:hAnsi="Arial" w:eastAsia="Arial" w:cs="Arial"/>
        </w:rPr>
      </w:pPr>
      <w:r>
        <w:rPr>
          <w:rFonts w:ascii="Arial" w:hAnsi="Arial" w:eastAsia="Arial" w:cs="Arial"/>
          <w:b/>
        </w:rPr>
        <w:t>24.7.</w:t>
      </w:r>
      <w:r>
        <w:rPr>
          <w:rFonts w:ascii="Arial" w:hAnsi="Arial" w:eastAsia="Arial" w:cs="Arial"/>
        </w:rPr>
        <w:t xml:space="preserve"> Constando qualquer incorreção na nota fiscal, bem como, outra circunstância que desaconselhe o seu pagamento, o prazo para pagamento constante no item 24.3. Fluirá a partir da respectiva regularização; </w:t>
      </w:r>
    </w:p>
    <w:p w14:paraId="14EB6289">
      <w:pPr>
        <w:jc w:val="both"/>
        <w:rPr>
          <w:rFonts w:ascii="Arial" w:hAnsi="Arial" w:eastAsia="Arial" w:cs="Arial"/>
          <w:b/>
        </w:rPr>
      </w:pPr>
    </w:p>
    <w:p w14:paraId="252FD625">
      <w:pPr>
        <w:jc w:val="both"/>
        <w:rPr>
          <w:rFonts w:ascii="Arial" w:hAnsi="Arial" w:eastAsia="Arial" w:cs="Arial"/>
        </w:rPr>
      </w:pPr>
      <w:r>
        <w:rPr>
          <w:rFonts w:ascii="Arial" w:hAnsi="Arial" w:eastAsia="Arial" w:cs="Arial"/>
          <w:b/>
        </w:rPr>
        <w:t>24.8.</w:t>
      </w:r>
      <w:r>
        <w:rPr>
          <w:rFonts w:ascii="Arial" w:hAnsi="Arial" w:eastAsia="Arial" w:cs="Arial"/>
        </w:rPr>
        <w:t xml:space="preserve"> As despesas bancárias decorrentes de transferências de valores para outras praças serão de responsabilidade da contratada; </w:t>
      </w:r>
    </w:p>
    <w:p w14:paraId="37372202">
      <w:pPr>
        <w:jc w:val="both"/>
        <w:rPr>
          <w:rFonts w:ascii="Arial" w:hAnsi="Arial" w:eastAsia="Arial" w:cs="Arial"/>
        </w:rPr>
      </w:pPr>
    </w:p>
    <w:p w14:paraId="59207507">
      <w:pPr>
        <w:jc w:val="both"/>
        <w:rPr>
          <w:rFonts w:ascii="Arial" w:hAnsi="Arial" w:eastAsia="Arial" w:cs="Arial"/>
        </w:rPr>
      </w:pPr>
      <w:r>
        <w:rPr>
          <w:rFonts w:ascii="Arial" w:hAnsi="Arial" w:eastAsia="Arial" w:cs="Arial"/>
          <w:b/>
        </w:rPr>
        <w:t>24.9.</w:t>
      </w:r>
      <w:r>
        <w:rPr>
          <w:rFonts w:ascii="Arial" w:hAnsi="Arial" w:eastAsia="Arial" w:cs="Arial"/>
        </w:rPr>
        <w:t xml:space="preserve"> O pagamento efetuado não isentará a contratada de suas responsabilidades vinculadas ao fornecimento, especialmente àquelas relacionadas com a qualidade e garantia dos bens fornecidos; </w:t>
      </w:r>
    </w:p>
    <w:p w14:paraId="4D366043">
      <w:pPr>
        <w:jc w:val="both"/>
        <w:rPr>
          <w:rFonts w:ascii="Arial" w:hAnsi="Arial" w:eastAsia="Arial" w:cs="Arial"/>
        </w:rPr>
      </w:pPr>
    </w:p>
    <w:p w14:paraId="3A17D88F">
      <w:pPr>
        <w:jc w:val="both"/>
        <w:rPr>
          <w:rFonts w:ascii="Arial" w:hAnsi="Arial" w:eastAsia="Arial" w:cs="Arial"/>
        </w:rPr>
      </w:pPr>
      <w:r>
        <w:rPr>
          <w:rFonts w:ascii="Arial" w:hAnsi="Arial" w:eastAsia="Arial" w:cs="Arial"/>
          <w:b/>
        </w:rPr>
        <w:t>24.10.</w:t>
      </w:r>
      <w:r>
        <w:rPr>
          <w:rFonts w:ascii="Arial" w:hAnsi="Arial" w:eastAsia="Arial" w:cs="Arial"/>
        </w:rPr>
        <w:t xml:space="preserve"> O pagamento a ser efetuado ficará condicionado à apresentação pela empresa dos comprobatórios de quitação das obrigações para com o INSS e FGTS, referente ao mês anterior. </w:t>
      </w:r>
    </w:p>
    <w:p w14:paraId="3FDBC735">
      <w:pPr>
        <w:jc w:val="both"/>
        <w:rPr>
          <w:rFonts w:ascii="Arial" w:hAnsi="Arial" w:eastAsia="Arial" w:cs="Arial"/>
        </w:rPr>
      </w:pPr>
    </w:p>
    <w:p w14:paraId="6D760D40">
      <w:pPr>
        <w:jc w:val="both"/>
        <w:rPr>
          <w:rFonts w:ascii="Arial" w:hAnsi="Arial" w:eastAsia="Arial" w:cs="Arial"/>
        </w:rPr>
      </w:pPr>
      <w:r>
        <w:rPr>
          <w:rFonts w:ascii="Arial" w:hAnsi="Arial" w:eastAsia="Arial" w:cs="Arial"/>
          <w:b/>
        </w:rPr>
        <w:t xml:space="preserve">24.11. </w:t>
      </w:r>
      <w:r>
        <w:rPr>
          <w:rFonts w:ascii="Arial" w:hAnsi="Arial" w:eastAsia="Arial" w:cs="Arial"/>
        </w:rPr>
        <w:t>As Notas Fiscais deverão ser emitidas até o dia 25 de cada mês, conforme disposto no artigo 3º, § 1º da Instrução Normativa n. 03/2008. Nas Notas Fiscais deverão constar o número do processo e da modalidade da licitação, bem como a Secretaria solicitante.</w:t>
      </w:r>
    </w:p>
    <w:p w14:paraId="64E737A6">
      <w:pPr>
        <w:jc w:val="both"/>
        <w:rPr>
          <w:rFonts w:ascii="Arial" w:hAnsi="Arial" w:eastAsia="Arial" w:cs="Arial"/>
          <w:b/>
        </w:rPr>
      </w:pPr>
    </w:p>
    <w:p w14:paraId="154ECE9F">
      <w:pPr>
        <w:jc w:val="both"/>
        <w:rPr>
          <w:rFonts w:ascii="Arial" w:hAnsi="Arial" w:eastAsia="Arial" w:cs="Arial"/>
        </w:rPr>
      </w:pPr>
      <w:r>
        <w:rPr>
          <w:rFonts w:ascii="Arial" w:hAnsi="Arial" w:eastAsia="Arial" w:cs="Arial"/>
          <w:b/>
        </w:rPr>
        <w:t xml:space="preserve">24.12. </w:t>
      </w:r>
      <w:r>
        <w:rPr>
          <w:rFonts w:ascii="Arial" w:hAnsi="Arial" w:eastAsia="Arial" w:cs="Arial"/>
        </w:rPr>
        <w:t>O Município de Rondonópolis-MT, só autorizará a realização dos pagamentos, se houver por parte do setor requisitante dos serviços, o necessário ATESTO dos serviços entregues pela empresa vencedora, no verso da Nota Fiscal.</w:t>
      </w:r>
    </w:p>
    <w:p w14:paraId="0B597225">
      <w:pPr>
        <w:jc w:val="both"/>
        <w:rPr>
          <w:rFonts w:ascii="Arial" w:hAnsi="Arial" w:eastAsia="Arial" w:cs="Arial"/>
          <w:b/>
        </w:rPr>
      </w:pPr>
    </w:p>
    <w:p w14:paraId="017CBAC1">
      <w:pPr>
        <w:jc w:val="both"/>
        <w:rPr>
          <w:rFonts w:ascii="Arial" w:hAnsi="Arial" w:eastAsia="Arial" w:cs="Arial"/>
        </w:rPr>
      </w:pPr>
      <w:r>
        <w:rPr>
          <w:rFonts w:ascii="Arial" w:hAnsi="Arial" w:eastAsia="Arial" w:cs="Arial"/>
          <w:b/>
        </w:rPr>
        <w:t xml:space="preserve">24.13. </w:t>
      </w:r>
      <w:r>
        <w:rPr>
          <w:rFonts w:ascii="Arial" w:hAnsi="Arial" w:eastAsia="Arial" w:cs="Arial"/>
        </w:rPr>
        <w:t>Quando do pagamento, será efetuada a retenção tributária prevista na legislação aplicável.</w:t>
      </w:r>
    </w:p>
    <w:p w14:paraId="29153244">
      <w:pPr>
        <w:jc w:val="both"/>
        <w:rPr>
          <w:rFonts w:ascii="Arial" w:hAnsi="Arial" w:eastAsia="Arial" w:cs="Arial"/>
        </w:rPr>
      </w:pPr>
    </w:p>
    <w:p w14:paraId="2D361E5E">
      <w:pPr>
        <w:pStyle w:val="2"/>
        <w:spacing w:before="0" w:after="0"/>
        <w:rPr>
          <w:sz w:val="20"/>
          <w:szCs w:val="20"/>
          <w:lang w:val="pt-BR"/>
        </w:rPr>
      </w:pPr>
      <w:bookmarkStart w:id="44" w:name="_heading=h.1g4ygbxogmoo"/>
      <w:bookmarkEnd w:id="44"/>
      <w:r>
        <w:rPr>
          <w:sz w:val="20"/>
          <w:szCs w:val="20"/>
          <w:lang w:val="pt-BR"/>
        </w:rPr>
        <w:t>25. DA IMPUGNAÇÃO AO EDITAL E DO PEDIDO DE ESCLARECIMENTO:</w:t>
      </w:r>
    </w:p>
    <w:p w14:paraId="1037BBF4">
      <w:pPr>
        <w:jc w:val="both"/>
        <w:rPr>
          <w:rFonts w:ascii="Arial" w:hAnsi="Arial" w:eastAsia="Arial" w:cs="Arial"/>
          <w:b/>
        </w:rPr>
      </w:pPr>
    </w:p>
    <w:p w14:paraId="45323986">
      <w:pPr>
        <w:jc w:val="both"/>
        <w:rPr>
          <w:rFonts w:ascii="Arial" w:hAnsi="Arial" w:eastAsia="Arial" w:cs="Arial"/>
        </w:rPr>
      </w:pPr>
      <w:r>
        <w:rPr>
          <w:rFonts w:ascii="Arial" w:hAnsi="Arial" w:eastAsia="Arial" w:cs="Arial"/>
          <w:b/>
        </w:rPr>
        <w:t>25.1.</w:t>
      </w:r>
      <w:r>
        <w:rPr>
          <w:rFonts w:ascii="Arial" w:hAnsi="Arial" w:eastAsia="Arial" w:cs="Arial"/>
        </w:rPr>
        <w:t xml:space="preserve"> Qualquer pessoa é parte legítima para impugnar edital de licitação por irregularidade na aplicação da Lei ou para solicitar esclarecimento sobre os seus termos, devendo protocolar o pedido exclusivamente na plataforma eletrônica </w:t>
      </w:r>
      <w:r>
        <w:fldChar w:fldCharType="begin"/>
      </w:r>
      <w:r>
        <w:instrText xml:space="preserve"> HYPERLINK "about:blank" \h </w:instrText>
      </w:r>
      <w:r>
        <w:fldChar w:fldCharType="separate"/>
      </w:r>
      <w:r>
        <w:rPr>
          <w:rFonts w:ascii="Arial" w:hAnsi="Arial" w:eastAsia="Arial" w:cs="Arial"/>
          <w:b/>
          <w:color w:val="000000"/>
        </w:rPr>
        <w:t>bllcompras.com</w:t>
      </w:r>
      <w:r>
        <w:rPr>
          <w:rFonts w:ascii="Arial" w:hAnsi="Arial" w:eastAsia="Arial" w:cs="Arial"/>
          <w:b/>
          <w:color w:val="000000"/>
        </w:rPr>
        <w:fldChar w:fldCharType="end"/>
      </w:r>
      <w:r>
        <w:rPr>
          <w:rFonts w:ascii="Arial" w:hAnsi="Arial" w:eastAsia="Arial" w:cs="Arial"/>
          <w:b/>
        </w:rPr>
        <w:t xml:space="preserve"> </w:t>
      </w:r>
      <w:r>
        <w:rPr>
          <w:rFonts w:ascii="Arial" w:hAnsi="Arial" w:eastAsia="Arial" w:cs="Arial"/>
        </w:rPr>
        <w:t>até 3 (três) dias úteis antes da data de abertura do certame. (Art. 164 da Lei 14.133, de 2021).</w:t>
      </w:r>
    </w:p>
    <w:p w14:paraId="32D59C84">
      <w:pPr>
        <w:jc w:val="both"/>
        <w:rPr>
          <w:rFonts w:ascii="Arial" w:hAnsi="Arial" w:eastAsia="Arial" w:cs="Arial"/>
        </w:rPr>
      </w:pPr>
    </w:p>
    <w:p w14:paraId="47E2330B">
      <w:pPr>
        <w:jc w:val="both"/>
        <w:rPr>
          <w:rFonts w:ascii="Arial" w:hAnsi="Arial" w:eastAsia="Arial" w:cs="Arial"/>
        </w:rPr>
      </w:pPr>
      <w:r>
        <w:rPr>
          <w:rFonts w:ascii="Arial" w:hAnsi="Arial" w:eastAsia="Arial" w:cs="Arial"/>
          <w:b/>
        </w:rPr>
        <w:t>25.2.</w:t>
      </w:r>
      <w:r>
        <w:rPr>
          <w:rFonts w:ascii="Arial" w:hAnsi="Arial" w:eastAsia="Arial" w:cs="Arial"/>
        </w:rPr>
        <w:t xml:space="preserve"> A resposta à impugnação ou ao pedido de esclarecimento será divulgado no </w:t>
      </w:r>
      <w:r>
        <w:rPr>
          <w:rFonts w:ascii="Arial" w:hAnsi="Arial" w:eastAsia="Arial" w:cs="Arial"/>
          <w:b/>
        </w:rPr>
        <w:t>site bllcompras.com</w:t>
      </w:r>
      <w:r>
        <w:rPr>
          <w:rFonts w:ascii="Arial" w:hAnsi="Arial" w:eastAsia="Arial" w:cs="Arial"/>
        </w:rPr>
        <w:t>, no campo “</w:t>
      </w:r>
      <w:r>
        <w:rPr>
          <w:rFonts w:ascii="Arial" w:hAnsi="Arial" w:eastAsia="Arial" w:cs="Arial"/>
          <w:b/>
        </w:rPr>
        <w:t>DOCUMENTOS</w:t>
      </w:r>
      <w:r>
        <w:rPr>
          <w:rFonts w:ascii="Arial" w:hAnsi="Arial" w:eastAsia="Arial" w:cs="Arial"/>
        </w:rPr>
        <w:t>”, no link correspondente a este Edital, no prazo de até 3 (três) dias úteis, limitado ao último dia útil anterior à data da abertura do certame.</w:t>
      </w:r>
    </w:p>
    <w:p w14:paraId="4BCD0496">
      <w:pPr>
        <w:jc w:val="both"/>
        <w:rPr>
          <w:rFonts w:ascii="Arial" w:hAnsi="Arial" w:eastAsia="Arial" w:cs="Arial"/>
        </w:rPr>
      </w:pPr>
    </w:p>
    <w:p w14:paraId="1335D54C">
      <w:pPr>
        <w:jc w:val="both"/>
        <w:rPr>
          <w:rFonts w:ascii="Arial" w:hAnsi="Arial" w:eastAsia="Arial" w:cs="Arial"/>
        </w:rPr>
      </w:pPr>
      <w:r>
        <w:rPr>
          <w:rFonts w:ascii="Arial" w:hAnsi="Arial" w:eastAsia="Arial" w:cs="Arial"/>
          <w:b/>
        </w:rPr>
        <w:t>25.3.</w:t>
      </w:r>
      <w:r>
        <w:rPr>
          <w:rFonts w:ascii="Arial" w:hAnsi="Arial" w:eastAsia="Arial" w:cs="Arial"/>
        </w:rPr>
        <w:t xml:space="preserve"> Na contagem dos prazos estabelecidos neste Edital e seus Anexos, excluir-se-á o dia do início e incluir-se-á o dia do vencimento. Só se iniciam e vencem os prazos em dias de expediente na Administração.</w:t>
      </w:r>
    </w:p>
    <w:p w14:paraId="1344802E">
      <w:pPr>
        <w:jc w:val="both"/>
        <w:rPr>
          <w:rFonts w:ascii="Arial" w:hAnsi="Arial" w:eastAsia="Arial" w:cs="Arial"/>
          <w:b/>
        </w:rPr>
      </w:pPr>
    </w:p>
    <w:p w14:paraId="45F627B2">
      <w:pPr>
        <w:jc w:val="both"/>
        <w:rPr>
          <w:rFonts w:ascii="Arial" w:hAnsi="Arial" w:eastAsia="Arial" w:cs="Arial"/>
        </w:rPr>
      </w:pPr>
      <w:r>
        <w:rPr>
          <w:rFonts w:ascii="Arial" w:hAnsi="Arial" w:eastAsia="Arial" w:cs="Arial"/>
          <w:b/>
        </w:rPr>
        <w:t>25.3.1.</w:t>
      </w:r>
      <w:r>
        <w:rPr>
          <w:rFonts w:ascii="Arial" w:hAnsi="Arial" w:eastAsia="Arial" w:cs="Arial"/>
        </w:rPr>
        <w:t xml:space="preserve"> A contagem dos prazos para impugnar ou solicitar esclarecimento ao edital se dará da seguinte forma: o referido prazo será contado de trás para a frente, </w:t>
      </w:r>
      <w:r>
        <w:rPr>
          <w:rFonts w:ascii="Arial" w:hAnsi="Arial" w:eastAsia="Arial" w:cs="Arial"/>
          <w:u w:val="single"/>
        </w:rPr>
        <w:t>o dia do início será o da sessão pública</w:t>
      </w:r>
      <w:r>
        <w:rPr>
          <w:rFonts w:ascii="Arial" w:hAnsi="Arial" w:eastAsia="Arial" w:cs="Arial"/>
        </w:rPr>
        <w:t xml:space="preserve">, portanto, </w:t>
      </w:r>
      <w:r>
        <w:rPr>
          <w:rFonts w:ascii="Arial" w:hAnsi="Arial" w:eastAsia="Arial" w:cs="Arial"/>
          <w:u w:val="single"/>
        </w:rPr>
        <w:t>exclui-se da contagem</w:t>
      </w:r>
      <w:r>
        <w:rPr>
          <w:rFonts w:ascii="Arial" w:hAnsi="Arial" w:eastAsia="Arial" w:cs="Arial"/>
        </w:rPr>
        <w:t xml:space="preserve">, e </w:t>
      </w:r>
      <w:r>
        <w:rPr>
          <w:rFonts w:ascii="Arial" w:hAnsi="Arial" w:eastAsia="Arial" w:cs="Arial"/>
          <w:u w:val="single"/>
        </w:rPr>
        <w:t>inclui-se o dia do vencimento</w:t>
      </w:r>
      <w:r>
        <w:rPr>
          <w:rFonts w:ascii="Arial" w:hAnsi="Arial" w:eastAsia="Arial" w:cs="Arial"/>
        </w:rPr>
        <w:t xml:space="preserve">. Exemplo: em uma licitação marca para </w:t>
      </w:r>
      <w:r>
        <w:rPr>
          <w:rFonts w:ascii="Arial" w:hAnsi="Arial" w:eastAsia="Arial" w:cs="Arial"/>
          <w:u w:val="single"/>
        </w:rPr>
        <w:t>sexta feira</w:t>
      </w:r>
      <w:r>
        <w:rPr>
          <w:rFonts w:ascii="Arial" w:hAnsi="Arial" w:eastAsia="Arial" w:cs="Arial"/>
        </w:rPr>
        <w:t xml:space="preserve"> o dia do vencimento será na </w:t>
      </w:r>
      <w:r>
        <w:rPr>
          <w:rFonts w:ascii="Arial" w:hAnsi="Arial" w:eastAsia="Arial" w:cs="Arial"/>
          <w:u w:val="single"/>
        </w:rPr>
        <w:t>terça feira</w:t>
      </w:r>
      <w:r>
        <w:rPr>
          <w:rFonts w:ascii="Arial" w:hAnsi="Arial" w:eastAsia="Arial" w:cs="Arial"/>
        </w:rPr>
        <w:t>, considerando uma semana de expediente na Administração.</w:t>
      </w:r>
    </w:p>
    <w:p w14:paraId="0F5DC058">
      <w:pPr>
        <w:jc w:val="both"/>
        <w:rPr>
          <w:rFonts w:ascii="Arial" w:hAnsi="Arial" w:eastAsia="Arial" w:cs="Arial"/>
        </w:rPr>
      </w:pPr>
    </w:p>
    <w:p w14:paraId="1AA899EE">
      <w:pPr>
        <w:jc w:val="both"/>
        <w:rPr>
          <w:rFonts w:ascii="Arial" w:hAnsi="Arial" w:eastAsia="Arial" w:cs="Arial"/>
        </w:rPr>
      </w:pPr>
      <w:r>
        <w:rPr>
          <w:rFonts w:ascii="Arial" w:hAnsi="Arial" w:eastAsia="Arial" w:cs="Arial"/>
          <w:b/>
        </w:rPr>
        <w:t xml:space="preserve">25.3.2. </w:t>
      </w:r>
      <w:r>
        <w:rPr>
          <w:rFonts w:ascii="Arial" w:hAnsi="Arial" w:eastAsia="Arial" w:cs="Arial"/>
        </w:rPr>
        <w:t>Os pedidos de impugnações e esclarecimentos solicitados fora do prazo estabelecido neste edital não serão reconhecidos.</w:t>
      </w:r>
    </w:p>
    <w:p w14:paraId="51260E82">
      <w:pPr>
        <w:jc w:val="both"/>
        <w:rPr>
          <w:rFonts w:ascii="Arial" w:hAnsi="Arial" w:eastAsia="Arial" w:cs="Arial"/>
        </w:rPr>
      </w:pPr>
    </w:p>
    <w:p w14:paraId="3C078345">
      <w:pPr>
        <w:jc w:val="both"/>
        <w:rPr>
          <w:rFonts w:ascii="Arial" w:hAnsi="Arial" w:eastAsia="Arial" w:cs="Arial"/>
        </w:rPr>
      </w:pPr>
      <w:r>
        <w:rPr>
          <w:rFonts w:ascii="Arial" w:hAnsi="Arial" w:eastAsia="Arial" w:cs="Arial"/>
          <w:b/>
        </w:rPr>
        <w:t>25.4.</w:t>
      </w:r>
      <w:r>
        <w:rPr>
          <w:rFonts w:ascii="Arial" w:hAnsi="Arial" w:eastAsia="Arial" w:cs="Arial"/>
        </w:rPr>
        <w:t xml:space="preserve">  As impugnações e pedidos de esclarecimentos não suspendem os prazos previstos no certame.</w:t>
      </w:r>
    </w:p>
    <w:p w14:paraId="0743B314">
      <w:pPr>
        <w:jc w:val="both"/>
        <w:rPr>
          <w:rFonts w:ascii="Arial" w:hAnsi="Arial" w:eastAsia="Arial" w:cs="Arial"/>
        </w:rPr>
      </w:pPr>
    </w:p>
    <w:p w14:paraId="4B39C4E8">
      <w:pPr>
        <w:jc w:val="both"/>
        <w:rPr>
          <w:rFonts w:ascii="Arial" w:hAnsi="Arial" w:eastAsia="Arial" w:cs="Arial"/>
        </w:rPr>
      </w:pPr>
      <w:r>
        <w:rPr>
          <w:rFonts w:ascii="Arial" w:hAnsi="Arial" w:eastAsia="Arial" w:cs="Arial"/>
          <w:b/>
        </w:rPr>
        <w:t>25.5.</w:t>
      </w:r>
      <w:r>
        <w:rPr>
          <w:rFonts w:ascii="Arial" w:hAnsi="Arial" w:eastAsia="Arial" w:cs="Arial"/>
        </w:rPr>
        <w:t xml:space="preserve">  A concessão de efeito suspensivo à impugnação é medida excepcional e deverá ser motivada pelo agente de contratação, nos autos do processo de licitação.</w:t>
      </w:r>
    </w:p>
    <w:p w14:paraId="0243CC6E">
      <w:pPr>
        <w:jc w:val="both"/>
        <w:rPr>
          <w:rFonts w:ascii="Arial" w:hAnsi="Arial" w:eastAsia="Arial" w:cs="Arial"/>
        </w:rPr>
      </w:pPr>
    </w:p>
    <w:p w14:paraId="7E064AC2">
      <w:pPr>
        <w:jc w:val="both"/>
        <w:rPr>
          <w:rFonts w:ascii="Arial" w:hAnsi="Arial" w:eastAsia="Arial" w:cs="Arial"/>
        </w:rPr>
      </w:pPr>
      <w:r>
        <w:rPr>
          <w:rFonts w:ascii="Arial" w:hAnsi="Arial" w:eastAsia="Arial" w:cs="Arial"/>
          <w:b/>
        </w:rPr>
        <w:t>25.6.</w:t>
      </w:r>
      <w:r>
        <w:rPr>
          <w:rFonts w:ascii="Arial" w:hAnsi="Arial" w:eastAsia="Arial" w:cs="Arial"/>
        </w:rPr>
        <w:t xml:space="preserve">  Acolhida a impugnação, será definida e publicada nova data para a realização do certame.</w:t>
      </w:r>
    </w:p>
    <w:p w14:paraId="526EFA86">
      <w:pPr>
        <w:jc w:val="both"/>
        <w:rPr>
          <w:rFonts w:ascii="Arial" w:hAnsi="Arial" w:eastAsia="Arial" w:cs="Arial"/>
          <w:b/>
        </w:rPr>
      </w:pPr>
    </w:p>
    <w:p w14:paraId="068DD5CD">
      <w:pPr>
        <w:jc w:val="both"/>
        <w:rPr>
          <w:rFonts w:ascii="Arial" w:hAnsi="Arial" w:eastAsia="Arial" w:cs="Arial"/>
        </w:rPr>
      </w:pPr>
      <w:r>
        <w:rPr>
          <w:rFonts w:ascii="Arial" w:hAnsi="Arial" w:eastAsia="Arial" w:cs="Arial"/>
          <w:b/>
        </w:rPr>
        <w:t>25.7.</w:t>
      </w:r>
      <w:r>
        <w:rPr>
          <w:rFonts w:ascii="Arial" w:hAnsi="Arial" w:eastAsia="Arial" w:cs="Arial"/>
        </w:rPr>
        <w:t xml:space="preserve"> A impugnação não impede a impugnante de participar do processo licitatório até o trânsito em julgado da decisão a ela pertinente. </w:t>
      </w:r>
    </w:p>
    <w:p w14:paraId="0A4FDB43">
      <w:pPr>
        <w:jc w:val="both"/>
        <w:rPr>
          <w:rFonts w:ascii="Arial" w:hAnsi="Arial" w:eastAsia="Arial" w:cs="Arial"/>
        </w:rPr>
      </w:pPr>
    </w:p>
    <w:p w14:paraId="349B5F40">
      <w:pPr>
        <w:jc w:val="both"/>
        <w:rPr>
          <w:rFonts w:ascii="Arial" w:hAnsi="Arial" w:eastAsia="Arial" w:cs="Arial"/>
        </w:rPr>
      </w:pPr>
      <w:r>
        <w:rPr>
          <w:rFonts w:ascii="Arial" w:hAnsi="Arial" w:eastAsia="Arial" w:cs="Arial"/>
          <w:b/>
        </w:rPr>
        <w:t>25.8.</w:t>
      </w:r>
      <w:r>
        <w:rPr>
          <w:rFonts w:ascii="Arial" w:hAnsi="Arial" w:eastAsia="Arial" w:cs="Arial"/>
        </w:rPr>
        <w:t xml:space="preserve"> Ocorrendo a impugnação de caráter meramente protelatório, ensejando assim o retardamento da execução do certame, a autoridade competente poderá, assegurado o contraditório e a ampla defesa, aplicar a pena em conformidade com a legislação vigente.</w:t>
      </w:r>
    </w:p>
    <w:p w14:paraId="47A1DFC9">
      <w:pPr>
        <w:jc w:val="both"/>
        <w:rPr>
          <w:rFonts w:ascii="Arial" w:hAnsi="Arial" w:eastAsia="Arial" w:cs="Arial"/>
        </w:rPr>
      </w:pPr>
    </w:p>
    <w:p w14:paraId="2812EB14">
      <w:pPr>
        <w:pStyle w:val="2"/>
        <w:spacing w:before="0" w:after="0"/>
        <w:rPr>
          <w:sz w:val="20"/>
          <w:szCs w:val="20"/>
          <w:lang w:val="pt-BR"/>
        </w:rPr>
      </w:pPr>
      <w:bookmarkStart w:id="45" w:name="_heading=h.r0cnrfbocatz"/>
      <w:bookmarkEnd w:id="45"/>
      <w:r>
        <w:rPr>
          <w:sz w:val="20"/>
          <w:szCs w:val="20"/>
          <w:lang w:val="pt-BR"/>
        </w:rPr>
        <w:t xml:space="preserve">26. DAS DISPOSIÇÕES GERAIS: </w:t>
      </w:r>
    </w:p>
    <w:p w14:paraId="78D1158F">
      <w:pPr>
        <w:jc w:val="both"/>
        <w:rPr>
          <w:rFonts w:ascii="Arial" w:hAnsi="Arial" w:eastAsia="Arial" w:cs="Arial"/>
          <w:b/>
        </w:rPr>
      </w:pPr>
    </w:p>
    <w:p w14:paraId="0835111A">
      <w:pPr>
        <w:jc w:val="both"/>
        <w:rPr>
          <w:rFonts w:ascii="Arial" w:hAnsi="Arial" w:eastAsia="Arial" w:cs="Arial"/>
        </w:rPr>
      </w:pPr>
      <w:r>
        <w:rPr>
          <w:rFonts w:ascii="Arial" w:hAnsi="Arial" w:eastAsia="Arial" w:cs="Arial"/>
          <w:b/>
        </w:rPr>
        <w:t>26.1.</w:t>
      </w:r>
      <w:r>
        <w:rPr>
          <w:rFonts w:ascii="Arial" w:hAnsi="Arial" w:eastAsia="Arial" w:cs="Arial"/>
        </w:rPr>
        <w:t xml:space="preserve"> Os licitantes assumem todos os custos de preparação e apresentação de suas propostas e a Administração não será, em nenhum caso, responsável por esses custos, independentemente da condução ou do resultado do processo licitatório.</w:t>
      </w:r>
    </w:p>
    <w:p w14:paraId="76DDD98D">
      <w:pPr>
        <w:jc w:val="both"/>
        <w:rPr>
          <w:rFonts w:ascii="Arial" w:hAnsi="Arial" w:eastAsia="Arial" w:cs="Arial"/>
        </w:rPr>
      </w:pPr>
    </w:p>
    <w:p w14:paraId="37EFDE86">
      <w:pPr>
        <w:jc w:val="both"/>
        <w:rPr>
          <w:rFonts w:ascii="Arial" w:hAnsi="Arial" w:eastAsia="Arial" w:cs="Arial"/>
        </w:rPr>
      </w:pPr>
      <w:r>
        <w:rPr>
          <w:rFonts w:ascii="Arial" w:hAnsi="Arial" w:eastAsia="Arial" w:cs="Arial"/>
          <w:b/>
        </w:rPr>
        <w:t>26.2.</w:t>
      </w:r>
      <w:r>
        <w:rPr>
          <w:rFonts w:ascii="Arial" w:hAnsi="Arial" w:eastAsia="Arial" w:cs="Arial"/>
        </w:rPr>
        <w:t xml:space="preserve"> O desatendimento de exigências formais não essenciais não importará o afastamento do licitante, desde que seja possível o aproveitamento do ato, observados os princípios da isonomia e do interesse público.</w:t>
      </w:r>
    </w:p>
    <w:p w14:paraId="08388E87">
      <w:pPr>
        <w:jc w:val="both"/>
        <w:rPr>
          <w:rFonts w:ascii="Arial" w:hAnsi="Arial" w:eastAsia="Arial" w:cs="Arial"/>
        </w:rPr>
      </w:pPr>
    </w:p>
    <w:p w14:paraId="7CC08E55">
      <w:pPr>
        <w:jc w:val="both"/>
        <w:rPr>
          <w:rFonts w:ascii="Arial" w:hAnsi="Arial" w:eastAsia="Arial" w:cs="Arial"/>
        </w:rPr>
      </w:pPr>
      <w:r>
        <w:rPr>
          <w:rFonts w:ascii="Arial" w:hAnsi="Arial" w:eastAsia="Arial" w:cs="Arial"/>
          <w:b/>
        </w:rPr>
        <w:t>26.3.</w:t>
      </w:r>
      <w:r>
        <w:rPr>
          <w:rFonts w:ascii="Arial" w:hAnsi="Arial" w:eastAsia="Arial" w:cs="Arial"/>
        </w:rPr>
        <w:t xml:space="preserve"> A sessão pública poderá ser suspensa, por prazo a ser definido na própria sessão, para a análise prévia proposta ou de documento exigidos para habilitação que se fizer necessário. </w:t>
      </w:r>
    </w:p>
    <w:p w14:paraId="0221430D">
      <w:pPr>
        <w:jc w:val="both"/>
        <w:rPr>
          <w:rFonts w:ascii="Arial" w:hAnsi="Arial" w:eastAsia="Arial" w:cs="Arial"/>
        </w:rPr>
      </w:pPr>
    </w:p>
    <w:p w14:paraId="5115FA0D">
      <w:pPr>
        <w:jc w:val="both"/>
        <w:rPr>
          <w:rFonts w:ascii="Arial" w:hAnsi="Arial" w:eastAsia="Arial" w:cs="Arial"/>
        </w:rPr>
      </w:pPr>
      <w:r>
        <w:rPr>
          <w:rFonts w:ascii="Arial" w:hAnsi="Arial" w:eastAsia="Arial" w:cs="Arial"/>
          <w:b/>
        </w:rPr>
        <w:t>26.3.1.</w:t>
      </w:r>
      <w:r>
        <w:rPr>
          <w:rFonts w:ascii="Arial" w:hAnsi="Arial" w:eastAsia="Arial" w:cs="Arial"/>
        </w:rPr>
        <w:t xml:space="preserve"> Todos e quaisquer avisos pertinentes ao certame, </w:t>
      </w:r>
      <w:r>
        <w:rPr>
          <w:rFonts w:ascii="Arial" w:hAnsi="Arial" w:eastAsia="Arial" w:cs="Arial"/>
          <w:b/>
        </w:rPr>
        <w:t xml:space="preserve">adendos, esclarecimentos, impugnações, </w:t>
      </w:r>
      <w:r>
        <w:rPr>
          <w:rFonts w:ascii="Arial" w:hAnsi="Arial" w:eastAsia="Arial" w:cs="Arial"/>
        </w:rPr>
        <w:t>farão parte do instrumento convocatório, suspensão em decorrência de horário de expediente ou fatos supervenientes, serão postados no chat e/ou anexados no campo “</w:t>
      </w:r>
      <w:r>
        <w:rPr>
          <w:rFonts w:ascii="Arial" w:hAnsi="Arial" w:eastAsia="Arial" w:cs="Arial"/>
          <w:b/>
        </w:rPr>
        <w:t>DOCUMENTO</w:t>
      </w:r>
      <w:r>
        <w:rPr>
          <w:rFonts w:ascii="Arial" w:hAnsi="Arial" w:eastAsia="Arial" w:cs="Arial"/>
        </w:rPr>
        <w:t xml:space="preserve">” no sistema </w:t>
      </w:r>
      <w:r>
        <w:fldChar w:fldCharType="begin"/>
      </w:r>
      <w:r>
        <w:instrText xml:space="preserve"> HYPERLINK "http://bllcompras.com/" \h </w:instrText>
      </w:r>
      <w:r>
        <w:fldChar w:fldCharType="separate"/>
      </w:r>
      <w:r>
        <w:rPr>
          <w:rFonts w:ascii="Arial" w:hAnsi="Arial" w:eastAsia="Arial" w:cs="Arial"/>
          <w:b/>
          <w:color w:val="000000"/>
          <w:u w:val="single"/>
        </w:rPr>
        <w:t>bllcompras.com</w:t>
      </w:r>
      <w:r>
        <w:rPr>
          <w:rFonts w:ascii="Arial" w:hAnsi="Arial" w:eastAsia="Arial" w:cs="Arial"/>
          <w:b/>
          <w:color w:val="000000"/>
          <w:u w:val="single"/>
        </w:rPr>
        <w:fldChar w:fldCharType="end"/>
      </w:r>
      <w:r>
        <w:rPr>
          <w:rFonts w:ascii="Arial" w:hAnsi="Arial" w:eastAsia="Arial" w:cs="Arial"/>
        </w:rPr>
        <w:t xml:space="preserve">, sendo de inteira responsabilidade o acompanhamento por parte do licitante. Não podendo o licitante alegar desconhecimento da informação, sob pena de decair seus direitos. </w:t>
      </w:r>
    </w:p>
    <w:p w14:paraId="5326A4A2">
      <w:pPr>
        <w:jc w:val="both"/>
        <w:rPr>
          <w:rFonts w:ascii="Arial" w:hAnsi="Arial" w:eastAsia="Arial" w:cs="Arial"/>
          <w:b/>
        </w:rPr>
      </w:pPr>
    </w:p>
    <w:p w14:paraId="0C86B884">
      <w:pPr>
        <w:jc w:val="both"/>
        <w:rPr>
          <w:rFonts w:ascii="Arial" w:hAnsi="Arial" w:eastAsia="Arial" w:cs="Arial"/>
        </w:rPr>
      </w:pPr>
      <w:r>
        <w:rPr>
          <w:rFonts w:ascii="Arial" w:hAnsi="Arial" w:eastAsia="Arial" w:cs="Arial"/>
          <w:b/>
        </w:rPr>
        <w:t>26.4.</w:t>
      </w:r>
      <w:r>
        <w:rPr>
          <w:rFonts w:ascii="Arial" w:hAnsi="Arial" w:eastAsia="Arial" w:cs="Arial"/>
        </w:rPr>
        <w:t xml:space="preserve"> Não havendo expediente ou ocorrendo qualquer fato superveniente que impeça a realização do certame na data marcada, a sessão será automaticamente transferida para o primeiro dia útil subsequente, no mesmo horário e local, anteriormente estabelecidos, desde que não haja comunicação do Pregoeiro em contrário. </w:t>
      </w:r>
    </w:p>
    <w:p w14:paraId="27615561">
      <w:pPr>
        <w:jc w:val="both"/>
        <w:rPr>
          <w:rFonts w:ascii="Arial" w:hAnsi="Arial" w:eastAsia="Arial" w:cs="Arial"/>
          <w:b/>
        </w:rPr>
      </w:pPr>
    </w:p>
    <w:p w14:paraId="5C153145">
      <w:pPr>
        <w:jc w:val="both"/>
        <w:rPr>
          <w:rFonts w:ascii="Arial" w:hAnsi="Arial" w:eastAsia="Arial" w:cs="Arial"/>
        </w:rPr>
      </w:pPr>
      <w:r>
        <w:rPr>
          <w:rFonts w:ascii="Arial" w:hAnsi="Arial" w:eastAsia="Arial" w:cs="Arial"/>
          <w:b/>
        </w:rPr>
        <w:t>26.5.</w:t>
      </w:r>
      <w:r>
        <w:rPr>
          <w:rFonts w:ascii="Arial" w:hAnsi="Arial" w:eastAsia="Arial" w:cs="Arial"/>
        </w:rPr>
        <w:t xml:space="preserve"> Os licitantes deverão examinar detidamente as disposições contidas neste Edital e em seus Anexos, pois a simples apresentação das propostas subentende a aceitação incondicional de seus termos, independentemente de transcrição, não sendo aceitas quaisquer alegações de desconhecimento de qualquer por menor. </w:t>
      </w:r>
    </w:p>
    <w:p w14:paraId="34100566">
      <w:pPr>
        <w:jc w:val="both"/>
        <w:rPr>
          <w:rFonts w:ascii="Arial" w:hAnsi="Arial" w:eastAsia="Arial" w:cs="Arial"/>
          <w:b/>
        </w:rPr>
      </w:pPr>
    </w:p>
    <w:p w14:paraId="65ABF205">
      <w:pPr>
        <w:jc w:val="both"/>
        <w:rPr>
          <w:rFonts w:ascii="Arial" w:hAnsi="Arial" w:eastAsia="Arial" w:cs="Arial"/>
        </w:rPr>
      </w:pPr>
      <w:r>
        <w:rPr>
          <w:rFonts w:ascii="Arial" w:hAnsi="Arial" w:eastAsia="Arial" w:cs="Arial"/>
          <w:b/>
        </w:rPr>
        <w:t>26.6.</w:t>
      </w:r>
      <w:r>
        <w:rPr>
          <w:rFonts w:ascii="Arial" w:hAnsi="Arial" w:eastAsia="Arial" w:cs="Arial"/>
        </w:rPr>
        <w:t xml:space="preserve"> É facultada ao Pregoeiro ou autoridade superior em qualquer fase da licitação, a promoção de diligência destinada a esclarecer ou complementar a instrução do processo, vedada a inclusão posterior de documento ou informação que deveria constar no ato da sessão pública. </w:t>
      </w:r>
    </w:p>
    <w:p w14:paraId="10708D1A">
      <w:pPr>
        <w:jc w:val="both"/>
        <w:rPr>
          <w:rFonts w:ascii="Arial" w:hAnsi="Arial" w:eastAsia="Arial" w:cs="Arial"/>
          <w:b/>
        </w:rPr>
      </w:pPr>
    </w:p>
    <w:p w14:paraId="48E1C568">
      <w:pPr>
        <w:jc w:val="both"/>
        <w:rPr>
          <w:rFonts w:ascii="Arial" w:hAnsi="Arial" w:eastAsia="Arial" w:cs="Arial"/>
        </w:rPr>
      </w:pPr>
      <w:r>
        <w:rPr>
          <w:rFonts w:ascii="Arial" w:hAnsi="Arial" w:eastAsia="Arial" w:cs="Arial"/>
          <w:b/>
        </w:rPr>
        <w:t>26.7.</w:t>
      </w:r>
      <w:r>
        <w:rPr>
          <w:rFonts w:ascii="Arial" w:hAnsi="Arial" w:eastAsia="Arial" w:cs="Arial"/>
        </w:rPr>
        <w:t xml:space="preserve"> A Autoridade competente poderá cancelar a licitação por fato superveniente devidamente comprovado, pertinente e suficiente para justificar tal conduta, devendo anulá-la por ilegalidade, de ofício ou por provocação de qualquer pessoa, mediante ato escrito e fundamentado. </w:t>
      </w:r>
    </w:p>
    <w:p w14:paraId="185F1202">
      <w:pPr>
        <w:jc w:val="both"/>
        <w:rPr>
          <w:rFonts w:ascii="Arial" w:hAnsi="Arial" w:eastAsia="Arial" w:cs="Arial"/>
          <w:b/>
        </w:rPr>
      </w:pPr>
    </w:p>
    <w:p w14:paraId="1242876F">
      <w:pPr>
        <w:jc w:val="both"/>
        <w:rPr>
          <w:rFonts w:ascii="Arial" w:hAnsi="Arial" w:eastAsia="Arial" w:cs="Arial"/>
        </w:rPr>
      </w:pPr>
      <w:r>
        <w:rPr>
          <w:rFonts w:ascii="Arial" w:hAnsi="Arial" w:eastAsia="Arial" w:cs="Arial"/>
          <w:b/>
        </w:rPr>
        <w:t>26.7.1.</w:t>
      </w:r>
      <w:r>
        <w:rPr>
          <w:rFonts w:ascii="Arial" w:hAnsi="Arial" w:eastAsia="Arial" w:cs="Arial"/>
        </w:rPr>
        <w:t xml:space="preserve"> A anulação do procedimento licitatório induz a anulação do contrato.</w:t>
      </w:r>
    </w:p>
    <w:p w14:paraId="1D52635A">
      <w:pPr>
        <w:jc w:val="both"/>
        <w:rPr>
          <w:rFonts w:ascii="Arial" w:hAnsi="Arial" w:eastAsia="Arial" w:cs="Arial"/>
          <w:b/>
        </w:rPr>
      </w:pPr>
    </w:p>
    <w:p w14:paraId="7CBA25BE">
      <w:pPr>
        <w:jc w:val="both"/>
        <w:rPr>
          <w:rFonts w:ascii="Arial" w:hAnsi="Arial" w:eastAsia="Arial" w:cs="Arial"/>
        </w:rPr>
      </w:pPr>
      <w:r>
        <w:rPr>
          <w:rFonts w:ascii="Arial" w:hAnsi="Arial" w:eastAsia="Arial" w:cs="Arial"/>
          <w:b/>
        </w:rPr>
        <w:t>26.7.2.</w:t>
      </w:r>
      <w:r>
        <w:rPr>
          <w:rFonts w:ascii="Arial" w:hAnsi="Arial" w:eastAsia="Arial" w:cs="Arial"/>
        </w:rPr>
        <w:t xml:space="preserve"> Os licitantes não terão direito à indenização em decorrência da anulação do procedimento licitatório, ressalvado o direito do contratado de boa-fé de ser ressarcido pelos encargos que tiver suportado no cumprimento das obrigações. </w:t>
      </w:r>
    </w:p>
    <w:p w14:paraId="0C46F71E">
      <w:pPr>
        <w:jc w:val="both"/>
        <w:rPr>
          <w:rFonts w:ascii="Arial" w:hAnsi="Arial" w:eastAsia="Arial" w:cs="Arial"/>
        </w:rPr>
      </w:pPr>
    </w:p>
    <w:p w14:paraId="1982EE93">
      <w:pPr>
        <w:jc w:val="both"/>
        <w:rPr>
          <w:rFonts w:ascii="Arial" w:hAnsi="Arial" w:eastAsia="Arial" w:cs="Arial"/>
        </w:rPr>
      </w:pPr>
      <w:r>
        <w:rPr>
          <w:rFonts w:ascii="Arial" w:hAnsi="Arial" w:eastAsia="Arial" w:cs="Arial"/>
          <w:b/>
        </w:rPr>
        <w:t>26.8.</w:t>
      </w:r>
      <w:r>
        <w:rPr>
          <w:rFonts w:ascii="Arial" w:hAnsi="Arial" w:eastAsia="Arial" w:cs="Arial"/>
        </w:rPr>
        <w:t xml:space="preserve"> As normas disciplinadoras da licitação serão sempre interpretadas em favor da ampliação da disputa entre os interessados, desde que não comprometam o interesse da Administração, o princípio da isonomia, a finalidade e a segurança da contratação. </w:t>
      </w:r>
    </w:p>
    <w:p w14:paraId="4F074B7A">
      <w:pPr>
        <w:jc w:val="both"/>
        <w:rPr>
          <w:rFonts w:ascii="Arial" w:hAnsi="Arial" w:eastAsia="Arial" w:cs="Arial"/>
        </w:rPr>
      </w:pPr>
    </w:p>
    <w:p w14:paraId="65E76B7F">
      <w:pPr>
        <w:jc w:val="both"/>
        <w:rPr>
          <w:rFonts w:ascii="Arial" w:hAnsi="Arial" w:eastAsia="Arial" w:cs="Arial"/>
        </w:rPr>
      </w:pPr>
      <w:r>
        <w:rPr>
          <w:rFonts w:ascii="Arial" w:hAnsi="Arial" w:eastAsia="Arial" w:cs="Arial"/>
          <w:b/>
        </w:rPr>
        <w:t>26.9.</w:t>
      </w:r>
      <w:r>
        <w:rPr>
          <w:rFonts w:ascii="Arial" w:hAnsi="Arial" w:eastAsia="Arial" w:cs="Arial"/>
        </w:rPr>
        <w:t xml:space="preserve"> A homologação do resultado desta licitação não implicará direito à contratação. </w:t>
      </w:r>
    </w:p>
    <w:p w14:paraId="7A13E1B7">
      <w:pPr>
        <w:jc w:val="both"/>
        <w:rPr>
          <w:rFonts w:ascii="Arial" w:hAnsi="Arial" w:eastAsia="Arial" w:cs="Arial"/>
          <w:b/>
        </w:rPr>
      </w:pPr>
    </w:p>
    <w:p w14:paraId="67C72FFA">
      <w:pPr>
        <w:jc w:val="both"/>
        <w:rPr>
          <w:rFonts w:ascii="Arial" w:hAnsi="Arial" w:eastAsia="Arial" w:cs="Arial"/>
        </w:rPr>
      </w:pPr>
      <w:r>
        <w:rPr>
          <w:rFonts w:ascii="Arial" w:hAnsi="Arial" w:eastAsia="Arial" w:cs="Arial"/>
          <w:b/>
        </w:rPr>
        <w:t>26.10.</w:t>
      </w:r>
      <w:r>
        <w:rPr>
          <w:rFonts w:ascii="Arial" w:hAnsi="Arial" w:eastAsia="Arial" w:cs="Arial"/>
        </w:rPr>
        <w:t xml:space="preserve"> É de inteira responsabilidade do licitante o acompanhamento no </w:t>
      </w:r>
      <w:r>
        <w:rPr>
          <w:rFonts w:ascii="Arial" w:hAnsi="Arial" w:eastAsia="Arial" w:cs="Arial"/>
          <w:b/>
        </w:rPr>
        <w:t>site bllcompras.com</w:t>
      </w:r>
      <w:r>
        <w:rPr>
          <w:rFonts w:ascii="Arial" w:hAnsi="Arial" w:eastAsia="Arial" w:cs="Arial"/>
        </w:rPr>
        <w:t xml:space="preserve"> quanto a sua classificação/desclassificação, ficando responsável pelo ônus decorrente da perda de negócios diante da inobservância e cumprimento do prazo. </w:t>
      </w:r>
    </w:p>
    <w:p w14:paraId="5F886575">
      <w:pPr>
        <w:jc w:val="both"/>
        <w:rPr>
          <w:rFonts w:ascii="Arial" w:hAnsi="Arial" w:eastAsia="Arial" w:cs="Arial"/>
          <w:b/>
        </w:rPr>
      </w:pPr>
    </w:p>
    <w:p w14:paraId="0EA918F7">
      <w:pPr>
        <w:jc w:val="both"/>
        <w:rPr>
          <w:rFonts w:ascii="Arial" w:hAnsi="Arial" w:eastAsia="Arial" w:cs="Arial"/>
        </w:rPr>
      </w:pPr>
      <w:r>
        <w:rPr>
          <w:rFonts w:ascii="Arial" w:hAnsi="Arial" w:eastAsia="Arial" w:cs="Arial"/>
          <w:b/>
        </w:rPr>
        <w:t>26.11.</w:t>
      </w:r>
      <w:r>
        <w:rPr>
          <w:rFonts w:ascii="Arial" w:hAnsi="Arial" w:eastAsia="Arial" w:cs="Arial"/>
        </w:rPr>
        <w:t xml:space="preserve"> Quaisquer cláusulas deste edital que não seja cumprido, caberá ao pregoeiro a decisão sobre a desclassificação do licitante, em razão dos danos causados ao processo. </w:t>
      </w:r>
    </w:p>
    <w:p w14:paraId="082F7EF2">
      <w:pPr>
        <w:jc w:val="both"/>
        <w:rPr>
          <w:rFonts w:ascii="Arial" w:hAnsi="Arial" w:eastAsia="Arial" w:cs="Arial"/>
          <w:b/>
        </w:rPr>
      </w:pPr>
    </w:p>
    <w:p w14:paraId="2125BAC5">
      <w:pPr>
        <w:jc w:val="both"/>
        <w:rPr>
          <w:rFonts w:ascii="Arial" w:hAnsi="Arial" w:eastAsia="Arial" w:cs="Arial"/>
          <w:highlight w:val="white"/>
        </w:rPr>
      </w:pPr>
      <w:r>
        <w:rPr>
          <w:rFonts w:ascii="Arial" w:hAnsi="Arial" w:eastAsia="Arial" w:cs="Arial"/>
          <w:b/>
        </w:rPr>
        <w:t>26.12.</w:t>
      </w:r>
      <w:r>
        <w:rPr>
          <w:rFonts w:ascii="Arial" w:hAnsi="Arial" w:eastAsia="Arial" w:cs="Arial"/>
        </w:rPr>
        <w:t xml:space="preserve"> O Edital está disponível, na íntegra, </w:t>
      </w:r>
      <w:r>
        <w:rPr>
          <w:rFonts w:ascii="Arial" w:hAnsi="Arial" w:eastAsia="Arial" w:cs="Arial"/>
          <w:b/>
        </w:rPr>
        <w:t xml:space="preserve">nos endereços eletrônico </w:t>
      </w:r>
    </w:p>
    <w:p w14:paraId="3F7ADB87">
      <w:pPr>
        <w:jc w:val="both"/>
        <w:rPr>
          <w:rFonts w:ascii="Arial" w:hAnsi="Arial" w:eastAsia="Arial" w:cs="Arial"/>
          <w:color w:val="0000FF"/>
          <w:highlight w:val="white"/>
          <w:u w:val="single"/>
        </w:rPr>
      </w:pPr>
      <w:r>
        <w:fldChar w:fldCharType="begin"/>
      </w:r>
      <w:r>
        <w:instrText xml:space="preserve"> HYPERLINK "about:blank" \h </w:instrText>
      </w:r>
      <w:r>
        <w:fldChar w:fldCharType="separate"/>
      </w:r>
      <w:r>
        <w:fldChar w:fldCharType="end"/>
      </w:r>
    </w:p>
    <w:p w14:paraId="67449A37">
      <w:pPr>
        <w:jc w:val="both"/>
        <w:rPr>
          <w:rFonts w:ascii="Arial" w:hAnsi="Arial" w:eastAsia="Arial" w:cs="Arial"/>
        </w:rPr>
      </w:pPr>
      <w:r>
        <w:fldChar w:fldCharType="begin"/>
      </w:r>
      <w:r>
        <w:instrText xml:space="preserve"> HYPERLINK "about:blank" \h </w:instrText>
      </w:r>
      <w:r>
        <w:fldChar w:fldCharType="separate"/>
      </w:r>
      <w:r>
        <w:rPr>
          <w:rFonts w:ascii="Arial" w:hAnsi="Arial" w:eastAsia="Arial" w:cs="Arial"/>
          <w:color w:val="0000FF"/>
          <w:highlight w:val="white"/>
          <w:u w:val="single"/>
        </w:rPr>
        <w:t>https://bllcompras.com›</w:t>
      </w:r>
      <w:r>
        <w:rPr>
          <w:rFonts w:ascii="Arial" w:hAnsi="Arial" w:eastAsia="Arial" w:cs="Arial"/>
          <w:color w:val="0000FF"/>
          <w:highlight w:val="white"/>
          <w:u w:val="single"/>
        </w:rPr>
        <w:fldChar w:fldCharType="end"/>
      </w:r>
      <w:r>
        <w:rPr>
          <w:rFonts w:ascii="Arial" w:hAnsi="Arial" w:eastAsia="Arial" w:cs="Arial"/>
          <w:b/>
        </w:rPr>
        <w:t xml:space="preserve">; </w:t>
      </w:r>
      <w:r>
        <w:fldChar w:fldCharType="begin"/>
      </w:r>
      <w:r>
        <w:instrText xml:space="preserve"> HYPERLINK "http://www.rondonopolis.mt.gov.br/" \h </w:instrText>
      </w:r>
      <w:r>
        <w:fldChar w:fldCharType="separate"/>
      </w:r>
      <w:r>
        <w:rPr>
          <w:rFonts w:ascii="Arial" w:hAnsi="Arial" w:eastAsia="Arial" w:cs="Arial"/>
          <w:b/>
          <w:color w:val="000000"/>
          <w:u w:val="single"/>
        </w:rPr>
        <w:t>www.rondonopolis.mt.gov.br</w:t>
      </w:r>
      <w:r>
        <w:rPr>
          <w:rFonts w:ascii="Arial" w:hAnsi="Arial" w:eastAsia="Arial" w:cs="Arial"/>
          <w:b/>
          <w:color w:val="000000"/>
          <w:u w:val="single"/>
        </w:rPr>
        <w:fldChar w:fldCharType="end"/>
      </w:r>
      <w:r>
        <w:rPr>
          <w:rFonts w:ascii="Arial" w:hAnsi="Arial" w:eastAsia="Arial" w:cs="Arial"/>
        </w:rPr>
        <w:t>, e também poderão ser lidos e/ou obtidos em dias úteis, no endereço e horário indicado no preambulo deste edital; no mesmo endereço e período no qual os autos do processo administrativo permanecerão com vista franqueada aos interessados.</w:t>
      </w:r>
    </w:p>
    <w:p w14:paraId="4DDD1775">
      <w:pPr>
        <w:jc w:val="both"/>
        <w:rPr>
          <w:rFonts w:ascii="Arial" w:hAnsi="Arial" w:eastAsia="Arial" w:cs="Arial"/>
        </w:rPr>
      </w:pPr>
    </w:p>
    <w:p w14:paraId="35D9B76D">
      <w:pPr>
        <w:jc w:val="both"/>
        <w:rPr>
          <w:rFonts w:ascii="Arial" w:hAnsi="Arial" w:eastAsia="Arial" w:cs="Arial"/>
        </w:rPr>
      </w:pPr>
      <w:r>
        <w:rPr>
          <w:rFonts w:ascii="Arial" w:hAnsi="Arial" w:eastAsia="Arial" w:cs="Arial"/>
          <w:b/>
        </w:rPr>
        <w:t>26.13.</w:t>
      </w:r>
      <w:r>
        <w:rPr>
          <w:rFonts w:ascii="Arial" w:hAnsi="Arial" w:eastAsia="Arial" w:cs="Arial"/>
        </w:rPr>
        <w:t xml:space="preserve"> Para dirimir as questões oriundas do presente Edital, não resolvidas na esfera administrativa, é competente o Foro da Comarca de Rondonópolis, por mais privilegiado que outro seja.</w:t>
      </w:r>
    </w:p>
    <w:p w14:paraId="7C5E94DB">
      <w:pPr>
        <w:jc w:val="both"/>
        <w:rPr>
          <w:rFonts w:ascii="Arial" w:hAnsi="Arial" w:eastAsia="Arial" w:cs="Arial"/>
          <w:b/>
        </w:rPr>
      </w:pPr>
    </w:p>
    <w:p w14:paraId="5381819B">
      <w:pPr>
        <w:pStyle w:val="2"/>
        <w:spacing w:before="0" w:after="0"/>
        <w:rPr>
          <w:sz w:val="20"/>
          <w:szCs w:val="20"/>
          <w:lang w:val="pt-BR"/>
        </w:rPr>
      </w:pPr>
      <w:bookmarkStart w:id="46" w:name="_heading=h.satg92jq7k4v"/>
      <w:bookmarkEnd w:id="46"/>
      <w:r>
        <w:rPr>
          <w:sz w:val="20"/>
          <w:szCs w:val="20"/>
          <w:lang w:val="pt-BR"/>
        </w:rPr>
        <w:t xml:space="preserve">27. INTEGRAM ESTE EDITAL, PARA TODOS OS FINS E EFEITOS, OS SEGUINTES ANEXOS: </w:t>
      </w:r>
    </w:p>
    <w:p w14:paraId="2A55EE74">
      <w:pPr>
        <w:jc w:val="both"/>
        <w:rPr>
          <w:rFonts w:ascii="Arial" w:hAnsi="Arial" w:eastAsia="Arial" w:cs="Arial"/>
          <w:b/>
        </w:rPr>
      </w:pPr>
    </w:p>
    <w:p w14:paraId="3DA99522">
      <w:pPr>
        <w:jc w:val="both"/>
        <w:rPr>
          <w:rFonts w:ascii="Arial" w:hAnsi="Arial" w:eastAsia="Arial" w:cs="Arial"/>
          <w:b/>
        </w:rPr>
      </w:pPr>
      <w:r>
        <w:rPr>
          <w:rFonts w:ascii="Arial" w:hAnsi="Arial" w:eastAsia="Arial" w:cs="Arial"/>
          <w:b/>
        </w:rPr>
        <w:t>27.1.</w:t>
      </w:r>
      <w:r>
        <w:rPr>
          <w:rFonts w:ascii="Arial" w:hAnsi="Arial" w:eastAsia="Arial" w:cs="Arial"/>
        </w:rPr>
        <w:t xml:space="preserve"> ANEXO I – </w:t>
      </w:r>
      <w:r>
        <w:rPr>
          <w:rFonts w:ascii="Arial" w:hAnsi="Arial" w:eastAsia="Arial" w:cs="Arial"/>
          <w:b/>
        </w:rPr>
        <w:t xml:space="preserve">TERMO DE REFERÊNCIA; </w:t>
      </w:r>
    </w:p>
    <w:p w14:paraId="2DCB0DA6">
      <w:pPr>
        <w:jc w:val="both"/>
        <w:rPr>
          <w:rFonts w:ascii="Arial" w:hAnsi="Arial" w:eastAsia="Arial" w:cs="Arial"/>
        </w:rPr>
      </w:pPr>
    </w:p>
    <w:p w14:paraId="61D75A0A">
      <w:pPr>
        <w:jc w:val="both"/>
      </w:pPr>
      <w:r>
        <w:rPr>
          <w:rFonts w:ascii="Arial" w:hAnsi="Arial" w:eastAsia="Arial" w:cs="Arial"/>
          <w:b/>
        </w:rPr>
        <w:t>27.2.</w:t>
      </w:r>
      <w:r>
        <w:rPr>
          <w:rFonts w:ascii="Arial" w:hAnsi="Arial" w:eastAsia="Arial" w:cs="Arial"/>
        </w:rPr>
        <w:t xml:space="preserve"> ANEXO II – </w:t>
      </w:r>
      <w:r>
        <w:rPr>
          <w:rFonts w:ascii="Arial" w:hAnsi="Arial" w:eastAsia="Arial" w:cs="Arial"/>
          <w:b/>
        </w:rPr>
        <w:t>MINUTA DA ATA DE REGISTRO DE PREÇOS;</w:t>
      </w:r>
    </w:p>
    <w:p w14:paraId="1DA62F71">
      <w:pPr>
        <w:jc w:val="both"/>
        <w:rPr>
          <w:rFonts w:ascii="Arial" w:hAnsi="Arial" w:eastAsia="Arial" w:cs="Arial"/>
        </w:rPr>
      </w:pPr>
    </w:p>
    <w:p w14:paraId="0B76B48E">
      <w:pPr>
        <w:jc w:val="both"/>
        <w:rPr>
          <w:rFonts w:ascii="Arial" w:hAnsi="Arial" w:eastAsia="Arial" w:cs="Arial"/>
          <w:b/>
        </w:rPr>
      </w:pPr>
      <w:r>
        <w:rPr>
          <w:rFonts w:ascii="Arial" w:hAnsi="Arial" w:eastAsia="Arial" w:cs="Arial"/>
          <w:b/>
        </w:rPr>
        <w:t>27.3.</w:t>
      </w:r>
      <w:r>
        <w:rPr>
          <w:rFonts w:ascii="Arial" w:hAnsi="Arial" w:eastAsia="Arial" w:cs="Arial"/>
        </w:rPr>
        <w:t xml:space="preserve"> ANEXO III – </w:t>
      </w:r>
      <w:r>
        <w:rPr>
          <w:rFonts w:ascii="Arial" w:hAnsi="Arial" w:eastAsia="Arial" w:cs="Arial"/>
          <w:b/>
        </w:rPr>
        <w:t>MINUTA DO CONTRATO;</w:t>
      </w:r>
    </w:p>
    <w:p w14:paraId="63F96F65">
      <w:pPr>
        <w:jc w:val="both"/>
        <w:rPr>
          <w:rFonts w:ascii="Arial" w:hAnsi="Arial" w:eastAsia="Arial" w:cs="Arial"/>
        </w:rPr>
      </w:pPr>
    </w:p>
    <w:p w14:paraId="73335E4A">
      <w:pPr>
        <w:jc w:val="both"/>
        <w:rPr>
          <w:rFonts w:ascii="Arial" w:hAnsi="Arial" w:eastAsia="Arial" w:cs="Arial"/>
        </w:rPr>
      </w:pPr>
      <w:r>
        <w:rPr>
          <w:rFonts w:ascii="Arial" w:hAnsi="Arial" w:eastAsia="Arial" w:cs="Arial"/>
          <w:b/>
        </w:rPr>
        <w:t>27.4.</w:t>
      </w:r>
      <w:r>
        <w:rPr>
          <w:rFonts w:ascii="Arial" w:hAnsi="Arial" w:eastAsia="Arial" w:cs="Arial"/>
        </w:rPr>
        <w:t xml:space="preserve"> ANEXO IV – </w:t>
      </w:r>
      <w:r>
        <w:rPr>
          <w:rFonts w:ascii="Arial" w:hAnsi="Arial" w:eastAsia="Arial" w:cs="Arial"/>
          <w:b/>
        </w:rPr>
        <w:t>MODELO DE PROPOSTA COMERCIAL</w:t>
      </w:r>
      <w:r>
        <w:rPr>
          <w:rFonts w:ascii="Arial" w:hAnsi="Arial" w:eastAsia="Arial" w:cs="Arial"/>
        </w:rPr>
        <w:t>;</w:t>
      </w:r>
    </w:p>
    <w:p w14:paraId="14B52C9B">
      <w:pPr>
        <w:jc w:val="both"/>
      </w:pPr>
    </w:p>
    <w:p w14:paraId="057CE332">
      <w:pPr>
        <w:jc w:val="both"/>
        <w:rPr>
          <w:rFonts w:ascii="Arial" w:hAnsi="Arial" w:eastAsia="Arial" w:cs="Arial"/>
        </w:rPr>
      </w:pPr>
      <w:r>
        <w:rPr>
          <w:rFonts w:ascii="Arial" w:hAnsi="Arial" w:eastAsia="Arial" w:cs="Arial"/>
          <w:b/>
        </w:rPr>
        <w:t>27.5.</w:t>
      </w:r>
      <w:r>
        <w:rPr>
          <w:rFonts w:ascii="Arial" w:hAnsi="Arial" w:eastAsia="Arial" w:cs="Arial"/>
        </w:rPr>
        <w:t xml:space="preserve"> ANEXO V – </w:t>
      </w:r>
      <w:r>
        <w:rPr>
          <w:rFonts w:ascii="Arial" w:hAnsi="Arial" w:eastAsia="Arial" w:cs="Arial"/>
          <w:b/>
        </w:rPr>
        <w:t>MODELO CREDENCIAMENTO E COMPROVAÇÕES COMPLEMENTARES ESPECIAIS</w:t>
      </w:r>
      <w:r>
        <w:rPr>
          <w:rFonts w:ascii="Arial" w:hAnsi="Arial" w:eastAsia="Arial" w:cs="Arial"/>
        </w:rPr>
        <w:t>;</w:t>
      </w:r>
    </w:p>
    <w:p w14:paraId="2324A113">
      <w:pPr>
        <w:jc w:val="both"/>
        <w:rPr>
          <w:rFonts w:ascii="Arial" w:hAnsi="Arial" w:eastAsia="Arial" w:cs="Arial"/>
        </w:rPr>
      </w:pPr>
    </w:p>
    <w:p w14:paraId="4F441A50">
      <w:pPr>
        <w:jc w:val="both"/>
        <w:rPr>
          <w:rFonts w:ascii="Arial" w:hAnsi="Arial" w:eastAsia="Arial" w:cs="Arial"/>
          <w:b/>
        </w:rPr>
      </w:pPr>
      <w:r>
        <w:rPr>
          <w:rFonts w:ascii="Arial" w:hAnsi="Arial" w:eastAsia="Arial" w:cs="Arial"/>
          <w:b/>
        </w:rPr>
        <w:t>27.5. ANEXO VI – MODELO DE ATESTADO DE VISTORIA/VISITA TÉCNICA</w:t>
      </w:r>
    </w:p>
    <w:p w14:paraId="02B242B0">
      <w:pPr>
        <w:jc w:val="both"/>
        <w:rPr>
          <w:rFonts w:ascii="Arial" w:hAnsi="Arial" w:eastAsia="Arial" w:cs="Arial"/>
          <w:b/>
        </w:rPr>
      </w:pPr>
    </w:p>
    <w:p w14:paraId="0BB50254">
      <w:pPr>
        <w:jc w:val="both"/>
        <w:rPr>
          <w:rFonts w:ascii="Arial" w:hAnsi="Arial" w:eastAsia="Arial" w:cs="Arial"/>
          <w:b/>
        </w:rPr>
      </w:pPr>
      <w:r>
        <w:rPr>
          <w:rFonts w:ascii="Arial" w:hAnsi="Arial" w:eastAsia="Arial" w:cs="Arial"/>
          <w:b/>
        </w:rPr>
        <w:t>27.6. ANEXO VII – FICHA DE ATUALIZAÇÃO CADASTRAL.</w:t>
      </w:r>
    </w:p>
    <w:p w14:paraId="3A270053">
      <w:pPr>
        <w:jc w:val="both"/>
        <w:rPr>
          <w:rFonts w:ascii="Arial" w:hAnsi="Arial" w:eastAsia="Arial" w:cs="Arial"/>
          <w:b/>
        </w:rPr>
      </w:pPr>
    </w:p>
    <w:p w14:paraId="05443648">
      <w:pPr>
        <w:jc w:val="both"/>
        <w:rPr>
          <w:rFonts w:ascii="Arial" w:hAnsi="Arial" w:eastAsia="Arial" w:cs="Arial"/>
          <w:b/>
        </w:rPr>
      </w:pPr>
      <w:r>
        <w:rPr>
          <w:rFonts w:ascii="Arial" w:hAnsi="Arial" w:eastAsia="Arial" w:cs="Arial"/>
          <w:b/>
        </w:rPr>
        <w:t>27.6. ANEXO VII – ANEXO FORMAÇÃO DE PREÇOS, FORMULÁRIO PADRÃO DA P.M.R.</w:t>
      </w:r>
    </w:p>
    <w:p w14:paraId="24E30CF3">
      <w:pPr>
        <w:jc w:val="both"/>
      </w:pPr>
    </w:p>
    <w:p w14:paraId="357480DF">
      <w:pPr>
        <w:jc w:val="right"/>
        <w:rPr>
          <w:rFonts w:ascii="Arial" w:hAnsi="Arial" w:eastAsia="Arial" w:cs="Arial"/>
        </w:rPr>
      </w:pPr>
      <w:r>
        <w:rPr>
          <w:rFonts w:ascii="Arial" w:hAnsi="Arial" w:eastAsia="Arial" w:cs="Arial"/>
        </w:rPr>
        <w:t xml:space="preserve">Rondonópolis-MT, 01 de de agosto de 2025. </w:t>
      </w:r>
    </w:p>
    <w:p w14:paraId="5180C680">
      <w:pPr>
        <w:tabs>
          <w:tab w:val="right" w:pos="9072"/>
        </w:tabs>
        <w:jc w:val="center"/>
        <w:rPr>
          <w:rFonts w:ascii="Arial" w:hAnsi="Arial" w:eastAsia="Arial" w:cs="Arial"/>
          <w:b/>
        </w:rPr>
      </w:pPr>
    </w:p>
    <w:p w14:paraId="544BEE05">
      <w:pPr>
        <w:tabs>
          <w:tab w:val="right" w:pos="9072"/>
        </w:tabs>
        <w:rPr>
          <w:rFonts w:ascii="Arial" w:hAnsi="Arial" w:eastAsia="Arial" w:cs="Arial"/>
          <w:b/>
        </w:rPr>
      </w:pPr>
    </w:p>
    <w:p w14:paraId="7FF727A1">
      <w:pPr>
        <w:tabs>
          <w:tab w:val="right" w:pos="9072"/>
        </w:tabs>
        <w:jc w:val="center"/>
        <w:rPr>
          <w:rFonts w:ascii="Arial" w:hAnsi="Arial" w:eastAsia="Arial" w:cs="Arial"/>
          <w:b/>
        </w:rPr>
      </w:pPr>
    </w:p>
    <w:p w14:paraId="47B84852">
      <w:pPr>
        <w:tabs>
          <w:tab w:val="right" w:pos="9072"/>
        </w:tabs>
        <w:jc w:val="center"/>
      </w:pPr>
      <w:r>
        <w:rPr>
          <w:rFonts w:ascii="Arial" w:hAnsi="Arial" w:eastAsia="Arial" w:cs="Arial"/>
          <w:b/>
        </w:rPr>
        <w:t>NICHOLAS ANDRÉ FERREIRA MARTINS</w:t>
      </w:r>
    </w:p>
    <w:p w14:paraId="03BB3CF2">
      <w:pPr>
        <w:tabs>
          <w:tab w:val="right" w:pos="9072"/>
        </w:tabs>
        <w:jc w:val="center"/>
      </w:pPr>
      <w:r>
        <w:rPr>
          <w:rFonts w:ascii="Arial" w:hAnsi="Arial" w:eastAsia="Arial" w:cs="Arial"/>
        </w:rPr>
        <w:t>Superintendente do Departamento de Compras</w:t>
      </w:r>
    </w:p>
    <w:p w14:paraId="411DCA82">
      <w:pPr>
        <w:tabs>
          <w:tab w:val="right" w:pos="9072"/>
        </w:tabs>
        <w:jc w:val="center"/>
        <w:rPr>
          <w:rFonts w:ascii="Arial" w:hAnsi="Arial" w:eastAsia="Arial" w:cs="Arial"/>
          <w:b/>
        </w:rPr>
      </w:pPr>
      <w:r>
        <w:rPr>
          <w:rFonts w:ascii="Arial" w:hAnsi="Arial" w:eastAsia="Arial" w:cs="Arial"/>
        </w:rPr>
        <w:t xml:space="preserve">Email: </w:t>
      </w:r>
      <w:r>
        <w:fldChar w:fldCharType="begin"/>
      </w:r>
      <w:r>
        <w:instrText xml:space="preserve"> HYPERLINK "mailto:pmrroo@hotmail.com" \h </w:instrText>
      </w:r>
      <w:r>
        <w:fldChar w:fldCharType="separate"/>
      </w:r>
      <w:r>
        <w:rPr>
          <w:rFonts w:ascii="Arial" w:hAnsi="Arial" w:eastAsia="Arial" w:cs="Arial"/>
          <w:b/>
          <w:color w:val="000000"/>
          <w:u w:val="single"/>
        </w:rPr>
        <w:t>pmrroo@hotmail.com</w:t>
      </w:r>
      <w:r>
        <w:rPr>
          <w:rFonts w:ascii="Arial" w:hAnsi="Arial" w:eastAsia="Arial" w:cs="Arial"/>
          <w:b/>
          <w:color w:val="000000"/>
          <w:u w:val="single"/>
        </w:rPr>
        <w:fldChar w:fldCharType="end"/>
      </w:r>
      <w:r>
        <w:rPr>
          <w:rFonts w:ascii="Arial" w:hAnsi="Arial" w:eastAsia="Arial" w:cs="Arial"/>
          <w:b/>
        </w:rPr>
        <w:t xml:space="preserve"> </w:t>
      </w:r>
    </w:p>
    <w:p w14:paraId="2EEEB8B7">
      <w:pPr>
        <w:tabs>
          <w:tab w:val="right" w:pos="9072"/>
        </w:tabs>
        <w:jc w:val="center"/>
        <w:rPr>
          <w:rFonts w:ascii="Arial" w:hAnsi="Arial" w:eastAsia="Arial" w:cs="Arial"/>
          <w:b/>
        </w:rPr>
      </w:pPr>
    </w:p>
    <w:p w14:paraId="17311601">
      <w:pPr>
        <w:tabs>
          <w:tab w:val="right" w:pos="9072"/>
        </w:tabs>
        <w:jc w:val="center"/>
        <w:rPr>
          <w:rFonts w:ascii="Arial" w:hAnsi="Arial" w:eastAsia="Arial" w:cs="Arial"/>
        </w:rPr>
      </w:pPr>
      <w:r>
        <w:br w:type="page"/>
      </w:r>
    </w:p>
    <w:p w14:paraId="5125EFD1">
      <w:pPr>
        <w:ind w:right="170"/>
        <w:jc w:val="center"/>
        <w:rPr>
          <w:sz w:val="32"/>
          <w:szCs w:val="32"/>
        </w:rPr>
      </w:pPr>
      <w:bookmarkStart w:id="47" w:name="_heading=h.al53oogeq01r"/>
      <w:bookmarkEnd w:id="47"/>
      <w:r>
        <w:rPr>
          <w:rFonts w:ascii="Century Gothic" w:hAnsi="Century Gothic"/>
          <w:b/>
          <w:bCs/>
          <w:sz w:val="32"/>
          <w:szCs w:val="32"/>
          <w:u w:val="single"/>
        </w:rPr>
        <w:t>TERMO DE REFERÊNCIA</w:t>
      </w:r>
      <w:r>
        <w:rPr>
          <w:rFonts w:ascii="Century Gothic" w:hAnsi="Century Gothic"/>
          <w:sz w:val="32"/>
          <w:szCs w:val="32"/>
        </w:rPr>
        <w:t xml:space="preserve"> </w:t>
      </w:r>
    </w:p>
    <w:p w14:paraId="376DFB65">
      <w:pPr>
        <w:ind w:left="-567" w:right="454"/>
        <w:jc w:val="center"/>
        <w:rPr>
          <w:sz w:val="10"/>
          <w:szCs w:val="10"/>
        </w:rPr>
      </w:pPr>
    </w:p>
    <w:tbl>
      <w:tblPr>
        <w:tblStyle w:val="12"/>
        <w:tblW w:w="9905" w:type="dxa"/>
        <w:tblInd w:w="62" w:type="dxa"/>
        <w:tblLayout w:type="fixed"/>
        <w:tblCellMar>
          <w:top w:w="55" w:type="dxa"/>
          <w:left w:w="55" w:type="dxa"/>
          <w:bottom w:w="55" w:type="dxa"/>
          <w:right w:w="55" w:type="dxa"/>
        </w:tblCellMar>
      </w:tblPr>
      <w:tblGrid>
        <w:gridCol w:w="3088"/>
        <w:gridCol w:w="6817"/>
      </w:tblGrid>
      <w:tr w14:paraId="12DC4D1D">
        <w:tblPrEx>
          <w:tblCellMar>
            <w:top w:w="55" w:type="dxa"/>
            <w:left w:w="55" w:type="dxa"/>
            <w:bottom w:w="55" w:type="dxa"/>
            <w:right w:w="55" w:type="dxa"/>
          </w:tblCellMar>
        </w:tblPrEx>
        <w:tc>
          <w:tcPr>
            <w:tcW w:w="3088" w:type="dxa"/>
            <w:tcBorders>
              <w:top w:val="single" w:color="000000" w:sz="4" w:space="0"/>
              <w:left w:val="single" w:color="000000" w:sz="4" w:space="0"/>
              <w:bottom w:val="single" w:color="000000" w:sz="4" w:space="0"/>
            </w:tcBorders>
            <w:shd w:val="clear" w:color="auto" w:fill="DDDDDD"/>
          </w:tcPr>
          <w:p w14:paraId="11521CB3">
            <w:pPr>
              <w:pStyle w:val="164"/>
              <w:widowControl w:val="0"/>
              <w:spacing w:line="216" w:lineRule="auto"/>
              <w:jc w:val="center"/>
            </w:pPr>
            <w:r>
              <w:rPr>
                <w:rFonts w:ascii="Century Gothic" w:hAnsi="Century Gothic"/>
                <w:b/>
                <w:bCs/>
              </w:rPr>
              <w:t>UNIDADE REQUISITANTE</w:t>
            </w:r>
          </w:p>
        </w:tc>
        <w:tc>
          <w:tcPr>
            <w:tcW w:w="6816" w:type="dxa"/>
            <w:tcBorders>
              <w:top w:val="single" w:color="000000" w:sz="4" w:space="0"/>
              <w:left w:val="single" w:color="000000" w:sz="4" w:space="0"/>
              <w:bottom w:val="single" w:color="000000" w:sz="4" w:space="0"/>
              <w:right w:val="single" w:color="000000" w:sz="4" w:space="0"/>
            </w:tcBorders>
          </w:tcPr>
          <w:p w14:paraId="1623ABB0">
            <w:pPr>
              <w:widowControl w:val="0"/>
              <w:overflowPunct w:val="0"/>
              <w:spacing w:line="216" w:lineRule="auto"/>
              <w:ind w:left="57" w:right="-57"/>
              <w:jc w:val="center"/>
            </w:pPr>
            <w:r>
              <w:rPr>
                <w:rFonts w:ascii="Century Gothic" w:hAnsi="Century Gothic"/>
                <w:b/>
                <w:bCs/>
                <w:color w:val="000000"/>
              </w:rPr>
              <w:t>SECRETARIA MUNICIPAL DE EDUCAÇÃO, CULTURA, ESPORTE E LAZER</w:t>
            </w:r>
          </w:p>
          <w:p w14:paraId="717E3C4D">
            <w:pPr>
              <w:pStyle w:val="164"/>
              <w:widowControl w:val="0"/>
              <w:spacing w:line="216" w:lineRule="auto"/>
              <w:jc w:val="center"/>
            </w:pPr>
            <w:r>
              <w:rPr>
                <w:rFonts w:ascii="Century Gothic" w:hAnsi="Century Gothic"/>
              </w:rPr>
              <w:t>SR. CARLOS ALBERTO PEREIRA JÚNIOR</w:t>
            </w:r>
          </w:p>
        </w:tc>
      </w:tr>
      <w:tr w14:paraId="485FFDBA">
        <w:tblPrEx>
          <w:tblCellMar>
            <w:top w:w="55" w:type="dxa"/>
            <w:left w:w="55" w:type="dxa"/>
            <w:bottom w:w="55" w:type="dxa"/>
            <w:right w:w="55" w:type="dxa"/>
          </w:tblCellMar>
        </w:tblPrEx>
        <w:tc>
          <w:tcPr>
            <w:tcW w:w="3088" w:type="dxa"/>
            <w:tcBorders>
              <w:left w:val="single" w:color="000000" w:sz="4" w:space="0"/>
              <w:bottom w:val="single" w:color="000000" w:sz="4" w:space="0"/>
            </w:tcBorders>
            <w:shd w:val="clear" w:color="auto" w:fill="DDDDDD"/>
          </w:tcPr>
          <w:p w14:paraId="2886FDD2">
            <w:pPr>
              <w:pStyle w:val="164"/>
              <w:widowControl w:val="0"/>
              <w:spacing w:line="216" w:lineRule="auto"/>
              <w:jc w:val="center"/>
            </w:pPr>
            <w:r>
              <w:rPr>
                <w:rFonts w:ascii="Century Gothic" w:hAnsi="Century Gothic"/>
                <w:b/>
                <w:bCs/>
              </w:rPr>
              <w:t>FUNDAMENTAÇÃO LEGAL</w:t>
            </w:r>
          </w:p>
        </w:tc>
        <w:tc>
          <w:tcPr>
            <w:tcW w:w="6816" w:type="dxa"/>
            <w:tcBorders>
              <w:left w:val="single" w:color="000000" w:sz="4" w:space="0"/>
              <w:bottom w:val="single" w:color="000000" w:sz="4" w:space="0"/>
              <w:right w:val="single" w:color="000000" w:sz="4" w:space="0"/>
            </w:tcBorders>
          </w:tcPr>
          <w:p w14:paraId="5DC4222D">
            <w:pPr>
              <w:pStyle w:val="164"/>
              <w:widowControl w:val="0"/>
              <w:spacing w:line="216" w:lineRule="auto"/>
              <w:jc w:val="center"/>
            </w:pPr>
            <w:r>
              <w:rPr>
                <w:rFonts w:ascii="Century Gothic" w:hAnsi="Century Gothic"/>
              </w:rPr>
              <w:t>Pregão Eletrônico para Registro de Preços, nos termos do artigo 28, inciso I c/c o art. 17, § 2º c/c art. 78, inciso IV da Lei 14.133/2021</w:t>
            </w:r>
          </w:p>
        </w:tc>
      </w:tr>
      <w:tr w14:paraId="0EBAB5C4">
        <w:tblPrEx>
          <w:tblCellMar>
            <w:top w:w="55" w:type="dxa"/>
            <w:left w:w="55" w:type="dxa"/>
            <w:bottom w:w="55" w:type="dxa"/>
            <w:right w:w="55" w:type="dxa"/>
          </w:tblCellMar>
        </w:tblPrEx>
        <w:tc>
          <w:tcPr>
            <w:tcW w:w="3088" w:type="dxa"/>
            <w:tcBorders>
              <w:left w:val="single" w:color="000000" w:sz="4" w:space="0"/>
              <w:bottom w:val="single" w:color="000000" w:sz="4" w:space="0"/>
            </w:tcBorders>
            <w:shd w:val="clear" w:color="auto" w:fill="DDDDDD"/>
          </w:tcPr>
          <w:p w14:paraId="25959932">
            <w:pPr>
              <w:pStyle w:val="164"/>
              <w:widowControl w:val="0"/>
              <w:spacing w:line="216" w:lineRule="auto"/>
              <w:jc w:val="center"/>
            </w:pPr>
            <w:r>
              <w:rPr>
                <w:rFonts w:ascii="Century Gothic" w:hAnsi="Century Gothic"/>
                <w:b/>
                <w:bCs/>
              </w:rPr>
              <w:t>TIPO</w:t>
            </w:r>
          </w:p>
        </w:tc>
        <w:tc>
          <w:tcPr>
            <w:tcW w:w="6816" w:type="dxa"/>
            <w:tcBorders>
              <w:left w:val="single" w:color="000000" w:sz="4" w:space="0"/>
              <w:bottom w:val="single" w:color="000000" w:sz="4" w:space="0"/>
              <w:right w:val="single" w:color="000000" w:sz="4" w:space="0"/>
            </w:tcBorders>
          </w:tcPr>
          <w:p w14:paraId="7722D7B8">
            <w:pPr>
              <w:pStyle w:val="164"/>
              <w:widowControl w:val="0"/>
              <w:spacing w:line="216" w:lineRule="auto"/>
              <w:jc w:val="center"/>
            </w:pPr>
            <w:r>
              <w:rPr>
                <w:rFonts w:ascii="Century Gothic" w:hAnsi="Century Gothic"/>
              </w:rPr>
              <w:t>Menor preço global, nos termos do art. 33, inciso I da Lei nº 14.133/2021</w:t>
            </w:r>
          </w:p>
        </w:tc>
      </w:tr>
    </w:tbl>
    <w:p w14:paraId="2BDBE6DD">
      <w:pPr>
        <w:ind w:right="170"/>
        <w:jc w:val="center"/>
        <w:rPr>
          <w:rFonts w:ascii="Century Gothic" w:hAnsi="Century Gothic" w:eastAsia="Arial" w:cs="Arial"/>
          <w:b/>
          <w:sz w:val="4"/>
          <w:szCs w:val="4"/>
        </w:rPr>
      </w:pPr>
    </w:p>
    <w:p w14:paraId="2E346AC7">
      <w:pPr>
        <w:ind w:right="170"/>
        <w:jc w:val="center"/>
        <w:rPr>
          <w:rFonts w:ascii="Century Gothic" w:hAnsi="Century Gothic" w:eastAsia="Arial" w:cs="Arial"/>
          <w:b/>
          <w:sz w:val="4"/>
          <w:szCs w:val="4"/>
        </w:rPr>
      </w:pPr>
    </w:p>
    <w:p w14:paraId="2BF11A81">
      <w:pPr>
        <w:ind w:right="170"/>
        <w:jc w:val="center"/>
        <w:rPr>
          <w:rFonts w:ascii="Century Gothic" w:hAnsi="Century Gothic" w:eastAsia="Arial" w:cs="Arial"/>
          <w:b/>
          <w:sz w:val="4"/>
          <w:szCs w:val="4"/>
        </w:rPr>
      </w:pPr>
    </w:p>
    <w:tbl>
      <w:tblPr>
        <w:tblStyle w:val="12"/>
        <w:tblW w:w="9900" w:type="dxa"/>
        <w:tblInd w:w="115" w:type="dxa"/>
        <w:tblLayout w:type="fixed"/>
        <w:tblCellMar>
          <w:top w:w="0" w:type="dxa"/>
          <w:left w:w="108" w:type="dxa"/>
          <w:bottom w:w="0" w:type="dxa"/>
          <w:right w:w="108" w:type="dxa"/>
        </w:tblCellMar>
      </w:tblPr>
      <w:tblGrid>
        <w:gridCol w:w="9900"/>
      </w:tblGrid>
      <w:tr w14:paraId="1E8E8038">
        <w:tblPrEx>
          <w:tblCellMar>
            <w:top w:w="0" w:type="dxa"/>
            <w:left w:w="108" w:type="dxa"/>
            <w:bottom w:w="0" w:type="dxa"/>
            <w:right w:w="108" w:type="dxa"/>
          </w:tblCellMar>
        </w:tblPrEx>
        <w:trPr>
          <w:trHeight w:val="290" w:hRule="atLeast"/>
        </w:trPr>
        <w:tc>
          <w:tcPr>
            <w:tcW w:w="9900" w:type="dxa"/>
            <w:tcBorders>
              <w:top w:val="single" w:color="000000" w:sz="4" w:space="0"/>
              <w:left w:val="single" w:color="000000" w:sz="4" w:space="0"/>
              <w:bottom w:val="single" w:color="000000" w:sz="4" w:space="0"/>
              <w:right w:val="single" w:color="000000" w:sz="4" w:space="0"/>
            </w:tcBorders>
            <w:shd w:val="clear" w:color="auto" w:fill="DDDDDD"/>
          </w:tcPr>
          <w:p w14:paraId="5B9281E8">
            <w:pPr>
              <w:pStyle w:val="229"/>
              <w:widowControl w:val="0"/>
              <w:tabs>
                <w:tab w:val="left" w:pos="9150"/>
              </w:tabs>
              <w:spacing w:before="57" w:after="57" w:line="240" w:lineRule="auto"/>
              <w:jc w:val="center"/>
              <w:rPr>
                <w:rFonts w:ascii="Times New Roman" w:hAnsi="Times New Roman"/>
                <w:b/>
                <w:bCs/>
                <w:color w:val="auto"/>
                <w:sz w:val="24"/>
              </w:rPr>
            </w:pPr>
            <w:r>
              <w:rPr>
                <w:rFonts w:ascii="Century Gothic" w:hAnsi="Century Gothic" w:cs="Caladea"/>
                <w:b/>
                <w:bCs/>
                <w:sz w:val="24"/>
                <w14:shadow w14:blurRad="50800" w14:dist="38100" w14:dir="2700000" w14:sx="100000" w14:sy="100000" w14:kx="0" w14:ky="0" w14:algn="tl">
                  <w14:srgbClr w14:val="000000">
                    <w14:alpha w14:val="60000"/>
                  </w14:srgbClr>
                </w14:shadow>
              </w:rPr>
              <w:t>1. DEFINIÇÃO E NATUREZA DO OBJETO E OBJETIVO – Art. 6º, XXIII, “a”</w:t>
            </w:r>
          </w:p>
        </w:tc>
      </w:tr>
    </w:tbl>
    <w:p w14:paraId="5BD99D23">
      <w:pPr>
        <w:ind w:left="-567" w:right="454"/>
        <w:jc w:val="both"/>
        <w:rPr>
          <w:rFonts w:ascii="Century Gothic" w:hAnsi="Century Gothic"/>
          <w:sz w:val="10"/>
          <w:szCs w:val="10"/>
        </w:rPr>
      </w:pPr>
    </w:p>
    <w:p w14:paraId="466E3BC7">
      <w:pPr>
        <w:ind w:right="113"/>
        <w:jc w:val="both"/>
      </w:pPr>
      <w:r>
        <w:rPr>
          <w:rFonts w:ascii="Century Gothic" w:hAnsi="Century Gothic" w:cs="Arial"/>
          <w:b/>
          <w:bCs/>
          <w:color w:val="000000"/>
        </w:rPr>
        <w:t xml:space="preserve">1.1. </w:t>
      </w:r>
      <w:r>
        <w:rPr>
          <w:rFonts w:ascii="Century Gothic" w:hAnsi="Century Gothic"/>
        </w:rPr>
        <w:t xml:space="preserve">O objeto da presente licitação é a </w:t>
      </w:r>
      <w:r>
        <w:rPr>
          <w:rStyle w:val="13"/>
          <w:rFonts w:ascii="Century Gothic" w:hAnsi="Century Gothic" w:eastAsia="Times New Romin;Times New Roman"/>
          <w:lang w:eastAsia="zh-CN"/>
        </w:rPr>
        <w:t>Contratação de empresa especializada na prestação de serviços de nutrição e fornecimento de alimentação escolar, abrangendo o fornecimento de gêneros alimentícios, preparo, cocção, transporte, armazenamento, distribuição das refeições, fornecimento de gás GLP, e todos os demais insumos, bem como a higienização e o acompanhamento nutricional, destinados ao atendimento dos alunos regularmente matriculados na rede pública municipal de ensino de Rondonópolis/MT</w:t>
      </w:r>
      <w:r>
        <w:rPr>
          <w:rFonts w:ascii="Century Gothic" w:hAnsi="Century Gothic"/>
        </w:rPr>
        <w:t xml:space="preserve">, por meio de licitações públicas para atender as necessidades da </w:t>
      </w:r>
      <w:r>
        <w:rPr>
          <w:rFonts w:ascii="Century Gothic" w:hAnsi="Century Gothic"/>
          <w:color w:val="000000"/>
        </w:rPr>
        <w:t xml:space="preserve">Secretaria Municipal de Educação, Cultura, Esporte e Lazer </w:t>
      </w:r>
      <w:r>
        <w:rPr>
          <w:rFonts w:ascii="Century Gothic" w:hAnsi="Century Gothic"/>
        </w:rPr>
        <w:t>de Rondonópolis-MT, conforme especificações e quantitativos estabelecidos no Edital e seus anexos.</w:t>
      </w:r>
    </w:p>
    <w:tbl>
      <w:tblPr>
        <w:tblStyle w:val="12"/>
        <w:tblW w:w="9975" w:type="dxa"/>
        <w:tblInd w:w="65" w:type="dxa"/>
        <w:tblLayout w:type="fixed"/>
        <w:tblCellMar>
          <w:top w:w="0" w:type="dxa"/>
          <w:left w:w="108" w:type="dxa"/>
          <w:bottom w:w="0" w:type="dxa"/>
          <w:right w:w="108" w:type="dxa"/>
        </w:tblCellMar>
      </w:tblPr>
      <w:tblGrid>
        <w:gridCol w:w="237"/>
        <w:gridCol w:w="731"/>
        <w:gridCol w:w="3434"/>
        <w:gridCol w:w="1661"/>
        <w:gridCol w:w="1398"/>
        <w:gridCol w:w="835"/>
        <w:gridCol w:w="1443"/>
        <w:gridCol w:w="236"/>
      </w:tblGrid>
      <w:tr w14:paraId="41C22B24">
        <w:tblPrEx>
          <w:tblCellMar>
            <w:top w:w="0" w:type="dxa"/>
            <w:left w:w="108" w:type="dxa"/>
            <w:bottom w:w="0" w:type="dxa"/>
            <w:right w:w="108" w:type="dxa"/>
          </w:tblCellMar>
        </w:tblPrEx>
        <w:tc>
          <w:tcPr>
            <w:tcW w:w="848" w:type="dxa"/>
            <w:gridSpan w:val="2"/>
            <w:tcBorders>
              <w:top w:val="single" w:color="000000" w:sz="4" w:space="0"/>
              <w:left w:val="single" w:color="000000" w:sz="4" w:space="0"/>
              <w:bottom w:val="single" w:color="000000" w:sz="4" w:space="0"/>
            </w:tcBorders>
            <w:shd w:val="clear" w:color="auto" w:fill="DDDDDD"/>
            <w:vAlign w:val="center"/>
          </w:tcPr>
          <w:p w14:paraId="0DF828FF">
            <w:pPr>
              <w:widowControl w:val="0"/>
              <w:spacing w:before="57" w:after="57" w:line="192" w:lineRule="auto"/>
              <w:jc w:val="center"/>
              <w:rPr>
                <w:rFonts w:ascii="Century Gothic" w:hAnsi="Century Gothic"/>
                <w:b/>
                <w:bCs/>
                <w:sz w:val="18"/>
                <w:szCs w:val="18"/>
              </w:rPr>
            </w:pPr>
            <w:r>
              <w:rPr>
                <w:rFonts w:ascii="Century Gothic" w:hAnsi="Century Gothic"/>
                <w:b/>
                <w:bCs/>
                <w:sz w:val="18"/>
                <w:szCs w:val="18"/>
              </w:rPr>
              <w:t>CÓD.</w:t>
            </w:r>
          </w:p>
        </w:tc>
        <w:tc>
          <w:tcPr>
            <w:tcW w:w="3516" w:type="dxa"/>
            <w:tcBorders>
              <w:top w:val="single" w:color="000000" w:sz="4" w:space="0"/>
              <w:left w:val="single" w:color="000000" w:sz="4" w:space="0"/>
              <w:bottom w:val="single" w:color="000000" w:sz="4" w:space="0"/>
            </w:tcBorders>
            <w:shd w:val="clear" w:color="auto" w:fill="DDDDDD"/>
            <w:vAlign w:val="center"/>
          </w:tcPr>
          <w:p w14:paraId="0449811A">
            <w:pPr>
              <w:widowControl w:val="0"/>
              <w:spacing w:before="57" w:after="57" w:line="192" w:lineRule="auto"/>
              <w:jc w:val="center"/>
              <w:rPr>
                <w:rFonts w:ascii="Century Gothic" w:hAnsi="Century Gothic"/>
                <w:b/>
                <w:bCs/>
                <w:sz w:val="18"/>
                <w:szCs w:val="18"/>
              </w:rPr>
            </w:pPr>
            <w:r>
              <w:rPr>
                <w:rFonts w:ascii="Century Gothic" w:hAnsi="Century Gothic"/>
                <w:b/>
                <w:bCs/>
                <w:sz w:val="18"/>
                <w:szCs w:val="18"/>
              </w:rPr>
              <w:t>Modalidade</w:t>
            </w:r>
          </w:p>
        </w:tc>
        <w:tc>
          <w:tcPr>
            <w:tcW w:w="1698" w:type="dxa"/>
            <w:tcBorders>
              <w:top w:val="single" w:color="000000" w:sz="4" w:space="0"/>
              <w:left w:val="single" w:color="000000" w:sz="4" w:space="0"/>
              <w:bottom w:val="single" w:color="000000" w:sz="4" w:space="0"/>
            </w:tcBorders>
            <w:shd w:val="clear" w:color="auto" w:fill="DDDDDD"/>
            <w:vAlign w:val="center"/>
          </w:tcPr>
          <w:p w14:paraId="12EA7A58">
            <w:pPr>
              <w:widowControl w:val="0"/>
              <w:spacing w:before="57" w:after="57" w:line="192" w:lineRule="auto"/>
              <w:jc w:val="center"/>
              <w:rPr>
                <w:rFonts w:ascii="Century Gothic" w:hAnsi="Century Gothic"/>
                <w:b/>
                <w:bCs/>
                <w:sz w:val="18"/>
                <w:szCs w:val="18"/>
              </w:rPr>
            </w:pPr>
            <w:r>
              <w:rPr>
                <w:rFonts w:ascii="Century Gothic" w:hAnsi="Century Gothic"/>
                <w:b/>
                <w:bCs/>
                <w:sz w:val="18"/>
                <w:szCs w:val="18"/>
              </w:rPr>
              <w:t>Refeição</w:t>
            </w:r>
          </w:p>
        </w:tc>
        <w:tc>
          <w:tcPr>
            <w:tcW w:w="1428" w:type="dxa"/>
            <w:tcBorders>
              <w:top w:val="single" w:color="000000" w:sz="4" w:space="0"/>
              <w:left w:val="single" w:color="000000" w:sz="4" w:space="0"/>
              <w:bottom w:val="single" w:color="000000" w:sz="4" w:space="0"/>
            </w:tcBorders>
            <w:shd w:val="clear" w:color="auto" w:fill="DDDDDD"/>
            <w:vAlign w:val="center"/>
          </w:tcPr>
          <w:p w14:paraId="486448C7">
            <w:pPr>
              <w:widowControl w:val="0"/>
              <w:spacing w:before="57" w:after="57" w:line="192" w:lineRule="auto"/>
              <w:ind w:left="-170" w:right="-170"/>
              <w:jc w:val="center"/>
              <w:rPr>
                <w:rFonts w:ascii="Century Gothic" w:hAnsi="Century Gothic"/>
                <w:b/>
                <w:bCs/>
                <w:sz w:val="18"/>
                <w:szCs w:val="18"/>
              </w:rPr>
            </w:pPr>
            <w:r>
              <w:rPr>
                <w:rFonts w:ascii="Century Gothic" w:hAnsi="Century Gothic"/>
                <w:b/>
                <w:bCs/>
                <w:sz w:val="18"/>
                <w:szCs w:val="18"/>
              </w:rPr>
              <w:t>Refeições / Ano</w:t>
            </w:r>
          </w:p>
        </w:tc>
        <w:tc>
          <w:tcPr>
            <w:tcW w:w="850" w:type="dxa"/>
            <w:tcBorders>
              <w:top w:val="single" w:color="000000" w:sz="4" w:space="0"/>
              <w:left w:val="single" w:color="000000" w:sz="4" w:space="0"/>
              <w:bottom w:val="single" w:color="000000" w:sz="4" w:space="0"/>
            </w:tcBorders>
            <w:shd w:val="clear" w:color="auto" w:fill="DDDDDD"/>
            <w:vAlign w:val="center"/>
          </w:tcPr>
          <w:p w14:paraId="4A48C6B8">
            <w:pPr>
              <w:widowControl w:val="0"/>
              <w:spacing w:before="57" w:after="57" w:line="192" w:lineRule="auto"/>
              <w:jc w:val="center"/>
              <w:rPr>
                <w:rFonts w:ascii="Century Gothic" w:hAnsi="Century Gothic"/>
                <w:b/>
                <w:bCs/>
                <w:sz w:val="18"/>
                <w:szCs w:val="18"/>
              </w:rPr>
            </w:pPr>
            <w:r>
              <w:rPr>
                <w:rFonts w:ascii="Century Gothic" w:hAnsi="Century Gothic"/>
                <w:b/>
                <w:bCs/>
                <w:sz w:val="18"/>
                <w:szCs w:val="18"/>
              </w:rPr>
              <w:t>V. Unit.</w:t>
            </w:r>
          </w:p>
        </w:tc>
        <w:tc>
          <w:tcPr>
            <w:tcW w:w="1634" w:type="dxa"/>
            <w:gridSpan w:val="2"/>
            <w:tcBorders>
              <w:top w:val="single" w:color="000000" w:sz="4" w:space="0"/>
              <w:left w:val="single" w:color="000000" w:sz="4" w:space="0"/>
              <w:bottom w:val="single" w:color="000000" w:sz="4" w:space="0"/>
              <w:right w:val="single" w:color="000000" w:sz="4" w:space="0"/>
            </w:tcBorders>
            <w:shd w:val="clear" w:color="auto" w:fill="DDDDDD"/>
            <w:vAlign w:val="center"/>
          </w:tcPr>
          <w:p w14:paraId="64FC652C">
            <w:pPr>
              <w:widowControl w:val="0"/>
              <w:spacing w:before="57" w:after="57" w:line="192" w:lineRule="auto"/>
              <w:jc w:val="center"/>
              <w:rPr>
                <w:rFonts w:ascii="Century Gothic" w:hAnsi="Century Gothic"/>
                <w:b/>
                <w:bCs/>
                <w:sz w:val="18"/>
                <w:szCs w:val="18"/>
              </w:rPr>
            </w:pPr>
            <w:r>
              <w:rPr>
                <w:rFonts w:ascii="Century Gothic" w:hAnsi="Century Gothic"/>
                <w:b/>
                <w:bCs/>
                <w:sz w:val="18"/>
                <w:szCs w:val="18"/>
              </w:rPr>
              <w:t>V. Total</w:t>
            </w:r>
          </w:p>
        </w:tc>
      </w:tr>
      <w:tr w14:paraId="67E8202D">
        <w:tblPrEx>
          <w:tblCellMar>
            <w:top w:w="0" w:type="dxa"/>
            <w:left w:w="108" w:type="dxa"/>
            <w:bottom w:w="0" w:type="dxa"/>
            <w:right w:w="108" w:type="dxa"/>
          </w:tblCellMar>
        </w:tblPrEx>
        <w:trPr>
          <w:trHeight w:val="269" w:hRule="atLeast"/>
        </w:trPr>
        <w:tc>
          <w:tcPr>
            <w:tcW w:w="848" w:type="dxa"/>
            <w:gridSpan w:val="2"/>
            <w:tcBorders>
              <w:top w:val="single" w:color="000000" w:sz="4" w:space="0"/>
              <w:left w:val="single" w:color="000000" w:sz="4" w:space="0"/>
              <w:bottom w:val="single" w:color="000000" w:sz="4" w:space="0"/>
            </w:tcBorders>
            <w:vAlign w:val="center"/>
          </w:tcPr>
          <w:p w14:paraId="50FDDBF8">
            <w:pPr>
              <w:widowControl w:val="0"/>
              <w:jc w:val="center"/>
              <w:rPr>
                <w:rFonts w:ascii="Century Gothic" w:hAnsi="Century Gothic"/>
                <w:b/>
                <w:bCs/>
                <w:sz w:val="17"/>
                <w:szCs w:val="17"/>
              </w:rPr>
            </w:pPr>
            <w:r>
              <w:rPr>
                <w:rFonts w:ascii="Century Gothic" w:hAnsi="Century Gothic"/>
                <w:b/>
                <w:bCs/>
                <w:sz w:val="17"/>
                <w:szCs w:val="17"/>
              </w:rPr>
              <w:t>127814</w:t>
            </w:r>
          </w:p>
        </w:tc>
        <w:tc>
          <w:tcPr>
            <w:tcW w:w="3516" w:type="dxa"/>
            <w:tcBorders>
              <w:top w:val="single" w:color="000000" w:sz="4" w:space="0"/>
              <w:left w:val="single" w:color="000000" w:sz="4" w:space="0"/>
              <w:bottom w:val="single" w:color="000000" w:sz="4" w:space="0"/>
            </w:tcBorders>
            <w:vAlign w:val="center"/>
          </w:tcPr>
          <w:p w14:paraId="35EC9568">
            <w:pPr>
              <w:widowControl w:val="0"/>
              <w:jc w:val="center"/>
              <w:rPr>
                <w:rFonts w:ascii="Century Gothic" w:hAnsi="Century Gothic"/>
                <w:sz w:val="17"/>
                <w:szCs w:val="17"/>
              </w:rPr>
            </w:pPr>
            <w:r>
              <w:rPr>
                <w:rFonts w:ascii="Century Gothic" w:hAnsi="Century Gothic"/>
                <w:sz w:val="17"/>
                <w:szCs w:val="17"/>
              </w:rPr>
              <w:t>Creche Parcial  (matutino)</w:t>
            </w:r>
          </w:p>
        </w:tc>
        <w:tc>
          <w:tcPr>
            <w:tcW w:w="1698" w:type="dxa"/>
            <w:tcBorders>
              <w:top w:val="single" w:color="000000" w:sz="4" w:space="0"/>
              <w:left w:val="single" w:color="000000" w:sz="4" w:space="0"/>
              <w:bottom w:val="single" w:color="000000" w:sz="4" w:space="0"/>
            </w:tcBorders>
            <w:vAlign w:val="center"/>
          </w:tcPr>
          <w:p w14:paraId="502C883A">
            <w:pPr>
              <w:widowControl w:val="0"/>
              <w:jc w:val="center"/>
              <w:rPr>
                <w:rFonts w:ascii="Century Gothic" w:hAnsi="Century Gothic"/>
                <w:sz w:val="17"/>
                <w:szCs w:val="17"/>
              </w:rPr>
            </w:pPr>
            <w:r>
              <w:rPr>
                <w:rFonts w:ascii="Century Gothic" w:hAnsi="Century Gothic"/>
                <w:sz w:val="17"/>
                <w:szCs w:val="17"/>
              </w:rPr>
              <w:t>Café da Manhã/Almoço</w:t>
            </w:r>
          </w:p>
        </w:tc>
        <w:tc>
          <w:tcPr>
            <w:tcW w:w="1428" w:type="dxa"/>
            <w:tcBorders>
              <w:top w:val="single" w:color="000000" w:sz="4" w:space="0"/>
              <w:left w:val="single" w:color="000000" w:sz="4" w:space="0"/>
              <w:bottom w:val="single" w:color="000000" w:sz="4" w:space="0"/>
            </w:tcBorders>
            <w:vAlign w:val="center"/>
          </w:tcPr>
          <w:p w14:paraId="577303EB">
            <w:pPr>
              <w:widowControl w:val="0"/>
              <w:jc w:val="center"/>
              <w:rPr>
                <w:rFonts w:ascii="Century Gothic" w:hAnsi="Century Gothic"/>
                <w:sz w:val="17"/>
                <w:szCs w:val="17"/>
              </w:rPr>
            </w:pPr>
            <w:r>
              <w:rPr>
                <w:rFonts w:ascii="Century Gothic" w:hAnsi="Century Gothic"/>
                <w:sz w:val="17"/>
                <w:szCs w:val="17"/>
              </w:rPr>
              <w:t>345600</w:t>
            </w:r>
          </w:p>
        </w:tc>
        <w:tc>
          <w:tcPr>
            <w:tcW w:w="850" w:type="dxa"/>
            <w:tcBorders>
              <w:top w:val="single" w:color="000000" w:sz="4" w:space="0"/>
              <w:left w:val="single" w:color="000000" w:sz="4" w:space="0"/>
              <w:bottom w:val="single" w:color="000000" w:sz="4" w:space="0"/>
            </w:tcBorders>
            <w:vAlign w:val="center"/>
          </w:tcPr>
          <w:p w14:paraId="726A28F5">
            <w:pPr>
              <w:widowControl w:val="0"/>
              <w:jc w:val="center"/>
              <w:rPr>
                <w:rFonts w:ascii="Century Gothic" w:hAnsi="Century Gothic"/>
                <w:sz w:val="17"/>
                <w:szCs w:val="17"/>
              </w:rPr>
            </w:pPr>
            <w:r>
              <w:rPr>
                <w:rFonts w:ascii="Century Gothic" w:hAnsi="Century Gothic"/>
                <w:sz w:val="17"/>
                <w:szCs w:val="17"/>
              </w:rPr>
              <w:t>R$ 5,47</w:t>
            </w:r>
          </w:p>
        </w:tc>
        <w:tc>
          <w:tcPr>
            <w:tcW w:w="1634" w:type="dxa"/>
            <w:gridSpan w:val="2"/>
            <w:tcBorders>
              <w:top w:val="single" w:color="000000" w:sz="4" w:space="0"/>
              <w:left w:val="single" w:color="000000" w:sz="4" w:space="0"/>
              <w:bottom w:val="single" w:color="000000" w:sz="4" w:space="0"/>
              <w:right w:val="single" w:color="000000" w:sz="4" w:space="0"/>
            </w:tcBorders>
            <w:vAlign w:val="center"/>
          </w:tcPr>
          <w:p w14:paraId="6DB22FFE">
            <w:pPr>
              <w:widowControl w:val="0"/>
              <w:jc w:val="center"/>
              <w:rPr>
                <w:rFonts w:ascii="Century Gothic" w:hAnsi="Century Gothic"/>
                <w:sz w:val="17"/>
                <w:szCs w:val="17"/>
              </w:rPr>
            </w:pPr>
            <w:r>
              <w:rPr>
                <w:rFonts w:ascii="Century Gothic" w:hAnsi="Century Gothic"/>
                <w:sz w:val="17"/>
                <w:szCs w:val="17"/>
              </w:rPr>
              <w:t>R$ 1.890.432,00</w:t>
            </w:r>
          </w:p>
        </w:tc>
      </w:tr>
      <w:tr w14:paraId="5E50C3F3">
        <w:tblPrEx>
          <w:tblCellMar>
            <w:top w:w="0" w:type="dxa"/>
            <w:left w:w="108" w:type="dxa"/>
            <w:bottom w:w="0" w:type="dxa"/>
            <w:right w:w="108" w:type="dxa"/>
          </w:tblCellMar>
        </w:tblPrEx>
        <w:trPr>
          <w:trHeight w:val="326" w:hRule="atLeast"/>
        </w:trPr>
        <w:tc>
          <w:tcPr>
            <w:tcW w:w="848" w:type="dxa"/>
            <w:gridSpan w:val="2"/>
            <w:tcBorders>
              <w:left w:val="single" w:color="000000" w:sz="4" w:space="0"/>
              <w:bottom w:val="single" w:color="000000" w:sz="4" w:space="0"/>
            </w:tcBorders>
            <w:vAlign w:val="center"/>
          </w:tcPr>
          <w:p w14:paraId="4F2756C2">
            <w:pPr>
              <w:widowControl w:val="0"/>
              <w:jc w:val="center"/>
              <w:rPr>
                <w:rFonts w:ascii="Century Gothic" w:hAnsi="Century Gothic"/>
                <w:b/>
                <w:bCs/>
                <w:sz w:val="17"/>
                <w:szCs w:val="17"/>
              </w:rPr>
            </w:pPr>
            <w:r>
              <w:rPr>
                <w:rFonts w:ascii="Century Gothic" w:hAnsi="Century Gothic"/>
                <w:b/>
                <w:bCs/>
                <w:sz w:val="17"/>
                <w:szCs w:val="17"/>
              </w:rPr>
              <w:t>127815</w:t>
            </w:r>
          </w:p>
        </w:tc>
        <w:tc>
          <w:tcPr>
            <w:tcW w:w="3516" w:type="dxa"/>
            <w:tcBorders>
              <w:left w:val="single" w:color="000000" w:sz="4" w:space="0"/>
              <w:bottom w:val="single" w:color="000000" w:sz="4" w:space="0"/>
            </w:tcBorders>
            <w:vAlign w:val="center"/>
          </w:tcPr>
          <w:p w14:paraId="33382658">
            <w:pPr>
              <w:widowControl w:val="0"/>
              <w:jc w:val="center"/>
              <w:rPr>
                <w:rFonts w:ascii="Century Gothic" w:hAnsi="Century Gothic"/>
                <w:sz w:val="17"/>
                <w:szCs w:val="17"/>
              </w:rPr>
            </w:pPr>
            <w:r>
              <w:rPr>
                <w:rFonts w:ascii="Century Gothic" w:hAnsi="Century Gothic"/>
                <w:sz w:val="17"/>
                <w:szCs w:val="17"/>
              </w:rPr>
              <w:t>Creche Parcial  (vespertino)</w:t>
            </w:r>
          </w:p>
        </w:tc>
        <w:tc>
          <w:tcPr>
            <w:tcW w:w="1698" w:type="dxa"/>
            <w:tcBorders>
              <w:left w:val="single" w:color="000000" w:sz="4" w:space="0"/>
              <w:bottom w:val="single" w:color="000000" w:sz="4" w:space="0"/>
            </w:tcBorders>
            <w:vAlign w:val="center"/>
          </w:tcPr>
          <w:p w14:paraId="0C23DDF5">
            <w:pPr>
              <w:widowControl w:val="0"/>
              <w:jc w:val="center"/>
              <w:rPr>
                <w:rFonts w:ascii="Century Gothic" w:hAnsi="Century Gothic"/>
                <w:sz w:val="17"/>
                <w:szCs w:val="17"/>
              </w:rPr>
            </w:pPr>
            <w:r>
              <w:rPr>
                <w:rFonts w:ascii="Century Gothic" w:hAnsi="Century Gothic"/>
                <w:sz w:val="17"/>
                <w:szCs w:val="17"/>
              </w:rPr>
              <w:t>Lanche da Tarde/Jantar</w:t>
            </w:r>
          </w:p>
        </w:tc>
        <w:tc>
          <w:tcPr>
            <w:tcW w:w="1428" w:type="dxa"/>
            <w:tcBorders>
              <w:left w:val="single" w:color="000000" w:sz="4" w:space="0"/>
              <w:bottom w:val="single" w:color="000000" w:sz="4" w:space="0"/>
            </w:tcBorders>
            <w:vAlign w:val="center"/>
          </w:tcPr>
          <w:p w14:paraId="5706A744">
            <w:pPr>
              <w:widowControl w:val="0"/>
              <w:jc w:val="center"/>
              <w:rPr>
                <w:rFonts w:ascii="Century Gothic" w:hAnsi="Century Gothic"/>
                <w:sz w:val="17"/>
                <w:szCs w:val="17"/>
              </w:rPr>
            </w:pPr>
            <w:r>
              <w:rPr>
                <w:rFonts w:ascii="Century Gothic" w:hAnsi="Century Gothic"/>
                <w:sz w:val="17"/>
                <w:szCs w:val="17"/>
              </w:rPr>
              <w:t>427200</w:t>
            </w:r>
          </w:p>
        </w:tc>
        <w:tc>
          <w:tcPr>
            <w:tcW w:w="850" w:type="dxa"/>
            <w:tcBorders>
              <w:left w:val="single" w:color="000000" w:sz="4" w:space="0"/>
              <w:bottom w:val="single" w:color="000000" w:sz="4" w:space="0"/>
            </w:tcBorders>
            <w:vAlign w:val="center"/>
          </w:tcPr>
          <w:p w14:paraId="354BBC70">
            <w:pPr>
              <w:widowControl w:val="0"/>
              <w:jc w:val="center"/>
              <w:rPr>
                <w:rFonts w:ascii="Century Gothic" w:hAnsi="Century Gothic"/>
                <w:sz w:val="17"/>
                <w:szCs w:val="17"/>
              </w:rPr>
            </w:pPr>
            <w:r>
              <w:rPr>
                <w:rFonts w:ascii="Century Gothic" w:hAnsi="Century Gothic"/>
                <w:sz w:val="17"/>
                <w:szCs w:val="17"/>
              </w:rPr>
              <w:t>R$ 5,45</w:t>
            </w:r>
          </w:p>
        </w:tc>
        <w:tc>
          <w:tcPr>
            <w:tcW w:w="1634" w:type="dxa"/>
            <w:gridSpan w:val="2"/>
            <w:tcBorders>
              <w:left w:val="single" w:color="000000" w:sz="4" w:space="0"/>
              <w:bottom w:val="single" w:color="000000" w:sz="4" w:space="0"/>
              <w:right w:val="single" w:color="000000" w:sz="4" w:space="0"/>
            </w:tcBorders>
            <w:vAlign w:val="center"/>
          </w:tcPr>
          <w:p w14:paraId="3588DB45">
            <w:pPr>
              <w:widowControl w:val="0"/>
              <w:jc w:val="center"/>
              <w:rPr>
                <w:rFonts w:ascii="Century Gothic" w:hAnsi="Century Gothic"/>
                <w:sz w:val="17"/>
                <w:szCs w:val="17"/>
              </w:rPr>
            </w:pPr>
            <w:r>
              <w:rPr>
                <w:rFonts w:ascii="Century Gothic" w:hAnsi="Century Gothic"/>
                <w:sz w:val="17"/>
                <w:szCs w:val="17"/>
              </w:rPr>
              <w:t>R$ 2.328.240,00</w:t>
            </w:r>
          </w:p>
        </w:tc>
      </w:tr>
      <w:tr w14:paraId="7D2215FC">
        <w:tblPrEx>
          <w:tblCellMar>
            <w:top w:w="0" w:type="dxa"/>
            <w:left w:w="108" w:type="dxa"/>
            <w:bottom w:w="0" w:type="dxa"/>
            <w:right w:w="108" w:type="dxa"/>
          </w:tblCellMar>
        </w:tblPrEx>
        <w:trPr>
          <w:trHeight w:val="260" w:hRule="atLeast"/>
        </w:trPr>
        <w:tc>
          <w:tcPr>
            <w:tcW w:w="848" w:type="dxa"/>
            <w:gridSpan w:val="2"/>
            <w:tcBorders>
              <w:left w:val="single" w:color="000000" w:sz="4" w:space="0"/>
              <w:bottom w:val="single" w:color="000000" w:sz="4" w:space="0"/>
            </w:tcBorders>
            <w:vAlign w:val="center"/>
          </w:tcPr>
          <w:p w14:paraId="5B7A31F8">
            <w:pPr>
              <w:widowControl w:val="0"/>
              <w:jc w:val="center"/>
              <w:rPr>
                <w:rFonts w:ascii="Century Gothic" w:hAnsi="Century Gothic"/>
                <w:b/>
                <w:bCs/>
                <w:sz w:val="17"/>
                <w:szCs w:val="17"/>
              </w:rPr>
            </w:pPr>
            <w:r>
              <w:rPr>
                <w:rFonts w:ascii="Century Gothic" w:hAnsi="Century Gothic"/>
                <w:b/>
                <w:bCs/>
                <w:sz w:val="17"/>
                <w:szCs w:val="17"/>
              </w:rPr>
              <w:t>127816</w:t>
            </w:r>
          </w:p>
        </w:tc>
        <w:tc>
          <w:tcPr>
            <w:tcW w:w="3516" w:type="dxa"/>
            <w:tcBorders>
              <w:left w:val="single" w:color="000000" w:sz="4" w:space="0"/>
              <w:bottom w:val="single" w:color="000000" w:sz="4" w:space="0"/>
            </w:tcBorders>
            <w:vAlign w:val="center"/>
          </w:tcPr>
          <w:p w14:paraId="79DBD81F">
            <w:pPr>
              <w:widowControl w:val="0"/>
              <w:jc w:val="center"/>
              <w:rPr>
                <w:rFonts w:ascii="Century Gothic" w:hAnsi="Century Gothic"/>
                <w:sz w:val="17"/>
                <w:szCs w:val="17"/>
              </w:rPr>
            </w:pPr>
            <w:r>
              <w:rPr>
                <w:rFonts w:ascii="Century Gothic" w:hAnsi="Century Gothic"/>
                <w:sz w:val="17"/>
                <w:szCs w:val="17"/>
              </w:rPr>
              <w:t>Creche Integral</w:t>
            </w:r>
          </w:p>
        </w:tc>
        <w:tc>
          <w:tcPr>
            <w:tcW w:w="1698" w:type="dxa"/>
            <w:tcBorders>
              <w:left w:val="single" w:color="000000" w:sz="4" w:space="0"/>
              <w:bottom w:val="single" w:color="000000" w:sz="4" w:space="0"/>
            </w:tcBorders>
            <w:vAlign w:val="center"/>
          </w:tcPr>
          <w:p w14:paraId="01FF2616">
            <w:pPr>
              <w:widowControl w:val="0"/>
              <w:jc w:val="center"/>
              <w:rPr>
                <w:rFonts w:ascii="Century Gothic" w:hAnsi="Century Gothic"/>
                <w:sz w:val="17"/>
                <w:szCs w:val="17"/>
              </w:rPr>
            </w:pPr>
            <w:r>
              <w:rPr>
                <w:rFonts w:ascii="Century Gothic" w:hAnsi="Century Gothic"/>
                <w:sz w:val="17"/>
                <w:szCs w:val="17"/>
              </w:rPr>
              <w:t>Café da Manhã</w:t>
            </w:r>
          </w:p>
        </w:tc>
        <w:tc>
          <w:tcPr>
            <w:tcW w:w="1428" w:type="dxa"/>
            <w:tcBorders>
              <w:left w:val="single" w:color="000000" w:sz="4" w:space="0"/>
              <w:bottom w:val="single" w:color="000000" w:sz="4" w:space="0"/>
            </w:tcBorders>
            <w:vAlign w:val="center"/>
          </w:tcPr>
          <w:p w14:paraId="3464C12E">
            <w:pPr>
              <w:widowControl w:val="0"/>
              <w:jc w:val="center"/>
              <w:rPr>
                <w:rFonts w:ascii="Century Gothic" w:hAnsi="Century Gothic"/>
                <w:sz w:val="17"/>
                <w:szCs w:val="17"/>
              </w:rPr>
            </w:pPr>
            <w:r>
              <w:rPr>
                <w:rFonts w:ascii="Century Gothic" w:hAnsi="Century Gothic"/>
                <w:sz w:val="17"/>
                <w:szCs w:val="17"/>
              </w:rPr>
              <w:t>440800</w:t>
            </w:r>
          </w:p>
        </w:tc>
        <w:tc>
          <w:tcPr>
            <w:tcW w:w="850" w:type="dxa"/>
            <w:tcBorders>
              <w:left w:val="single" w:color="000000" w:sz="4" w:space="0"/>
              <w:bottom w:val="single" w:color="000000" w:sz="4" w:space="0"/>
            </w:tcBorders>
            <w:vAlign w:val="center"/>
          </w:tcPr>
          <w:p w14:paraId="1853DB7B">
            <w:pPr>
              <w:widowControl w:val="0"/>
              <w:jc w:val="center"/>
              <w:rPr>
                <w:rFonts w:ascii="Century Gothic" w:hAnsi="Century Gothic"/>
                <w:sz w:val="17"/>
                <w:szCs w:val="17"/>
              </w:rPr>
            </w:pPr>
            <w:r>
              <w:rPr>
                <w:rFonts w:ascii="Century Gothic" w:hAnsi="Century Gothic"/>
                <w:sz w:val="17"/>
                <w:szCs w:val="17"/>
              </w:rPr>
              <w:t>R$ 6,01</w:t>
            </w:r>
          </w:p>
        </w:tc>
        <w:tc>
          <w:tcPr>
            <w:tcW w:w="1634" w:type="dxa"/>
            <w:gridSpan w:val="2"/>
            <w:tcBorders>
              <w:left w:val="single" w:color="000000" w:sz="4" w:space="0"/>
              <w:bottom w:val="single" w:color="000000" w:sz="4" w:space="0"/>
              <w:right w:val="single" w:color="000000" w:sz="4" w:space="0"/>
            </w:tcBorders>
            <w:vAlign w:val="center"/>
          </w:tcPr>
          <w:p w14:paraId="6417B906">
            <w:pPr>
              <w:widowControl w:val="0"/>
              <w:jc w:val="center"/>
              <w:rPr>
                <w:rFonts w:ascii="Century Gothic" w:hAnsi="Century Gothic"/>
                <w:sz w:val="17"/>
                <w:szCs w:val="17"/>
              </w:rPr>
            </w:pPr>
            <w:r>
              <w:rPr>
                <w:rFonts w:ascii="Century Gothic" w:hAnsi="Century Gothic"/>
                <w:sz w:val="17"/>
                <w:szCs w:val="17"/>
              </w:rPr>
              <w:t>R$ 2.649.208,00</w:t>
            </w:r>
          </w:p>
        </w:tc>
      </w:tr>
      <w:tr w14:paraId="7B938DCB">
        <w:tblPrEx>
          <w:tblCellMar>
            <w:top w:w="0" w:type="dxa"/>
            <w:left w:w="108" w:type="dxa"/>
            <w:bottom w:w="0" w:type="dxa"/>
            <w:right w:w="108" w:type="dxa"/>
          </w:tblCellMar>
        </w:tblPrEx>
        <w:trPr>
          <w:trHeight w:val="275" w:hRule="atLeast"/>
        </w:trPr>
        <w:tc>
          <w:tcPr>
            <w:tcW w:w="848" w:type="dxa"/>
            <w:gridSpan w:val="2"/>
            <w:tcBorders>
              <w:left w:val="single" w:color="000000" w:sz="4" w:space="0"/>
              <w:bottom w:val="single" w:color="000000" w:sz="4" w:space="0"/>
            </w:tcBorders>
            <w:vAlign w:val="center"/>
          </w:tcPr>
          <w:p w14:paraId="1FB25996">
            <w:pPr>
              <w:widowControl w:val="0"/>
              <w:jc w:val="center"/>
              <w:rPr>
                <w:rFonts w:ascii="Century Gothic" w:hAnsi="Century Gothic"/>
                <w:b/>
                <w:bCs/>
                <w:sz w:val="17"/>
                <w:szCs w:val="17"/>
              </w:rPr>
            </w:pPr>
            <w:r>
              <w:rPr>
                <w:rFonts w:ascii="Century Gothic" w:hAnsi="Century Gothic"/>
                <w:b/>
                <w:bCs/>
                <w:sz w:val="17"/>
                <w:szCs w:val="17"/>
              </w:rPr>
              <w:t>127817</w:t>
            </w:r>
          </w:p>
        </w:tc>
        <w:tc>
          <w:tcPr>
            <w:tcW w:w="3516" w:type="dxa"/>
            <w:tcBorders>
              <w:left w:val="single" w:color="000000" w:sz="4" w:space="0"/>
              <w:bottom w:val="single" w:color="000000" w:sz="4" w:space="0"/>
            </w:tcBorders>
            <w:vAlign w:val="center"/>
          </w:tcPr>
          <w:p w14:paraId="18239ED8">
            <w:pPr>
              <w:widowControl w:val="0"/>
              <w:jc w:val="center"/>
              <w:rPr>
                <w:rFonts w:ascii="Century Gothic" w:hAnsi="Century Gothic"/>
                <w:sz w:val="17"/>
                <w:szCs w:val="17"/>
              </w:rPr>
            </w:pPr>
            <w:r>
              <w:rPr>
                <w:rFonts w:ascii="Century Gothic" w:hAnsi="Century Gothic"/>
                <w:sz w:val="17"/>
                <w:szCs w:val="17"/>
              </w:rPr>
              <w:t>Creche Integral</w:t>
            </w:r>
          </w:p>
        </w:tc>
        <w:tc>
          <w:tcPr>
            <w:tcW w:w="1698" w:type="dxa"/>
            <w:tcBorders>
              <w:left w:val="single" w:color="000000" w:sz="4" w:space="0"/>
              <w:bottom w:val="single" w:color="000000" w:sz="4" w:space="0"/>
            </w:tcBorders>
            <w:vAlign w:val="center"/>
          </w:tcPr>
          <w:p w14:paraId="299185A8">
            <w:pPr>
              <w:widowControl w:val="0"/>
              <w:jc w:val="center"/>
              <w:rPr>
                <w:rFonts w:ascii="Century Gothic" w:hAnsi="Century Gothic"/>
                <w:sz w:val="17"/>
                <w:szCs w:val="17"/>
              </w:rPr>
            </w:pPr>
            <w:r>
              <w:rPr>
                <w:rFonts w:ascii="Century Gothic" w:hAnsi="Century Gothic"/>
                <w:sz w:val="17"/>
                <w:szCs w:val="17"/>
              </w:rPr>
              <w:t>Almoço</w:t>
            </w:r>
          </w:p>
        </w:tc>
        <w:tc>
          <w:tcPr>
            <w:tcW w:w="1428" w:type="dxa"/>
            <w:tcBorders>
              <w:left w:val="single" w:color="000000" w:sz="4" w:space="0"/>
              <w:bottom w:val="single" w:color="000000" w:sz="4" w:space="0"/>
            </w:tcBorders>
            <w:vAlign w:val="center"/>
          </w:tcPr>
          <w:p w14:paraId="4EC158EB">
            <w:pPr>
              <w:widowControl w:val="0"/>
              <w:jc w:val="center"/>
              <w:rPr>
                <w:rFonts w:ascii="Century Gothic" w:hAnsi="Century Gothic"/>
                <w:sz w:val="17"/>
                <w:szCs w:val="17"/>
              </w:rPr>
            </w:pPr>
            <w:r>
              <w:rPr>
                <w:rFonts w:ascii="Century Gothic" w:hAnsi="Century Gothic"/>
                <w:sz w:val="17"/>
                <w:szCs w:val="17"/>
              </w:rPr>
              <w:t>440800</w:t>
            </w:r>
          </w:p>
        </w:tc>
        <w:tc>
          <w:tcPr>
            <w:tcW w:w="850" w:type="dxa"/>
            <w:tcBorders>
              <w:left w:val="single" w:color="000000" w:sz="4" w:space="0"/>
              <w:bottom w:val="single" w:color="000000" w:sz="4" w:space="0"/>
            </w:tcBorders>
            <w:vAlign w:val="center"/>
          </w:tcPr>
          <w:p w14:paraId="6A7D15DF">
            <w:pPr>
              <w:widowControl w:val="0"/>
              <w:jc w:val="center"/>
              <w:rPr>
                <w:rFonts w:ascii="Century Gothic" w:hAnsi="Century Gothic"/>
                <w:sz w:val="17"/>
                <w:szCs w:val="17"/>
              </w:rPr>
            </w:pPr>
            <w:r>
              <w:rPr>
                <w:rFonts w:ascii="Century Gothic" w:hAnsi="Century Gothic"/>
                <w:sz w:val="17"/>
                <w:szCs w:val="17"/>
              </w:rPr>
              <w:t>R$ 6,02</w:t>
            </w:r>
          </w:p>
        </w:tc>
        <w:tc>
          <w:tcPr>
            <w:tcW w:w="1634" w:type="dxa"/>
            <w:gridSpan w:val="2"/>
            <w:tcBorders>
              <w:left w:val="single" w:color="000000" w:sz="4" w:space="0"/>
              <w:bottom w:val="single" w:color="000000" w:sz="4" w:space="0"/>
              <w:right w:val="single" w:color="000000" w:sz="4" w:space="0"/>
            </w:tcBorders>
            <w:vAlign w:val="center"/>
          </w:tcPr>
          <w:p w14:paraId="5BBCF86E">
            <w:pPr>
              <w:widowControl w:val="0"/>
              <w:jc w:val="center"/>
              <w:rPr>
                <w:rFonts w:ascii="Century Gothic" w:hAnsi="Century Gothic"/>
                <w:sz w:val="17"/>
                <w:szCs w:val="17"/>
              </w:rPr>
            </w:pPr>
            <w:r>
              <w:rPr>
                <w:rFonts w:ascii="Century Gothic" w:hAnsi="Century Gothic"/>
                <w:sz w:val="17"/>
                <w:szCs w:val="17"/>
              </w:rPr>
              <w:t>R$ 2.653.616,00</w:t>
            </w:r>
          </w:p>
        </w:tc>
      </w:tr>
      <w:tr w14:paraId="32F6235F">
        <w:tblPrEx>
          <w:tblCellMar>
            <w:top w:w="0" w:type="dxa"/>
            <w:left w:w="108" w:type="dxa"/>
            <w:bottom w:w="0" w:type="dxa"/>
            <w:right w:w="108" w:type="dxa"/>
          </w:tblCellMar>
        </w:tblPrEx>
        <w:trPr>
          <w:trHeight w:val="238" w:hRule="atLeast"/>
        </w:trPr>
        <w:tc>
          <w:tcPr>
            <w:tcW w:w="848" w:type="dxa"/>
            <w:gridSpan w:val="2"/>
            <w:tcBorders>
              <w:left w:val="single" w:color="000000" w:sz="4" w:space="0"/>
              <w:bottom w:val="single" w:color="000000" w:sz="4" w:space="0"/>
            </w:tcBorders>
            <w:vAlign w:val="center"/>
          </w:tcPr>
          <w:p w14:paraId="66B38BEC">
            <w:pPr>
              <w:widowControl w:val="0"/>
              <w:jc w:val="center"/>
              <w:rPr>
                <w:rFonts w:ascii="Century Gothic" w:hAnsi="Century Gothic"/>
                <w:b/>
                <w:bCs/>
                <w:sz w:val="17"/>
                <w:szCs w:val="17"/>
              </w:rPr>
            </w:pPr>
            <w:r>
              <w:rPr>
                <w:rFonts w:ascii="Century Gothic" w:hAnsi="Century Gothic"/>
                <w:b/>
                <w:bCs/>
                <w:sz w:val="17"/>
                <w:szCs w:val="17"/>
              </w:rPr>
              <w:t>127818</w:t>
            </w:r>
          </w:p>
        </w:tc>
        <w:tc>
          <w:tcPr>
            <w:tcW w:w="3516" w:type="dxa"/>
            <w:tcBorders>
              <w:left w:val="single" w:color="000000" w:sz="4" w:space="0"/>
              <w:bottom w:val="single" w:color="000000" w:sz="4" w:space="0"/>
            </w:tcBorders>
            <w:vAlign w:val="center"/>
          </w:tcPr>
          <w:p w14:paraId="110BBB39">
            <w:pPr>
              <w:widowControl w:val="0"/>
              <w:jc w:val="center"/>
              <w:rPr>
                <w:rFonts w:ascii="Century Gothic" w:hAnsi="Century Gothic"/>
                <w:sz w:val="17"/>
                <w:szCs w:val="17"/>
              </w:rPr>
            </w:pPr>
            <w:r>
              <w:rPr>
                <w:rFonts w:ascii="Century Gothic" w:hAnsi="Century Gothic"/>
                <w:sz w:val="17"/>
                <w:szCs w:val="17"/>
              </w:rPr>
              <w:t>Creche Integral</w:t>
            </w:r>
          </w:p>
        </w:tc>
        <w:tc>
          <w:tcPr>
            <w:tcW w:w="1698" w:type="dxa"/>
            <w:tcBorders>
              <w:left w:val="single" w:color="000000" w:sz="4" w:space="0"/>
              <w:bottom w:val="single" w:color="000000" w:sz="4" w:space="0"/>
            </w:tcBorders>
            <w:vAlign w:val="center"/>
          </w:tcPr>
          <w:p w14:paraId="0A1A2F0F">
            <w:pPr>
              <w:widowControl w:val="0"/>
              <w:jc w:val="center"/>
              <w:rPr>
                <w:rFonts w:ascii="Century Gothic" w:hAnsi="Century Gothic"/>
                <w:sz w:val="17"/>
                <w:szCs w:val="17"/>
              </w:rPr>
            </w:pPr>
            <w:r>
              <w:rPr>
                <w:rFonts w:ascii="Century Gothic" w:hAnsi="Century Gothic"/>
                <w:sz w:val="17"/>
                <w:szCs w:val="17"/>
              </w:rPr>
              <w:t>Lanche</w:t>
            </w:r>
          </w:p>
        </w:tc>
        <w:tc>
          <w:tcPr>
            <w:tcW w:w="1428" w:type="dxa"/>
            <w:tcBorders>
              <w:left w:val="single" w:color="000000" w:sz="4" w:space="0"/>
              <w:bottom w:val="single" w:color="000000" w:sz="4" w:space="0"/>
            </w:tcBorders>
            <w:vAlign w:val="center"/>
          </w:tcPr>
          <w:p w14:paraId="298C1284">
            <w:pPr>
              <w:widowControl w:val="0"/>
              <w:jc w:val="center"/>
              <w:rPr>
                <w:rFonts w:ascii="Century Gothic" w:hAnsi="Century Gothic"/>
                <w:sz w:val="17"/>
                <w:szCs w:val="17"/>
              </w:rPr>
            </w:pPr>
            <w:r>
              <w:rPr>
                <w:rFonts w:ascii="Century Gothic" w:hAnsi="Century Gothic"/>
                <w:sz w:val="17"/>
                <w:szCs w:val="17"/>
              </w:rPr>
              <w:t>440800</w:t>
            </w:r>
          </w:p>
        </w:tc>
        <w:tc>
          <w:tcPr>
            <w:tcW w:w="850" w:type="dxa"/>
            <w:tcBorders>
              <w:left w:val="single" w:color="000000" w:sz="4" w:space="0"/>
              <w:bottom w:val="single" w:color="000000" w:sz="4" w:space="0"/>
            </w:tcBorders>
            <w:vAlign w:val="center"/>
          </w:tcPr>
          <w:p w14:paraId="7DAF110A">
            <w:pPr>
              <w:widowControl w:val="0"/>
              <w:jc w:val="center"/>
              <w:rPr>
                <w:rFonts w:ascii="Century Gothic" w:hAnsi="Century Gothic"/>
                <w:sz w:val="17"/>
                <w:szCs w:val="17"/>
              </w:rPr>
            </w:pPr>
            <w:r>
              <w:rPr>
                <w:rFonts w:ascii="Century Gothic" w:hAnsi="Century Gothic"/>
                <w:sz w:val="17"/>
                <w:szCs w:val="17"/>
              </w:rPr>
              <w:t>R$ 6,00</w:t>
            </w:r>
          </w:p>
        </w:tc>
        <w:tc>
          <w:tcPr>
            <w:tcW w:w="1634" w:type="dxa"/>
            <w:gridSpan w:val="2"/>
            <w:tcBorders>
              <w:left w:val="single" w:color="000000" w:sz="4" w:space="0"/>
              <w:bottom w:val="single" w:color="000000" w:sz="4" w:space="0"/>
              <w:right w:val="single" w:color="000000" w:sz="4" w:space="0"/>
            </w:tcBorders>
            <w:vAlign w:val="center"/>
          </w:tcPr>
          <w:p w14:paraId="402DAA96">
            <w:pPr>
              <w:widowControl w:val="0"/>
              <w:jc w:val="center"/>
              <w:rPr>
                <w:rFonts w:ascii="Century Gothic" w:hAnsi="Century Gothic"/>
                <w:sz w:val="17"/>
                <w:szCs w:val="17"/>
              </w:rPr>
            </w:pPr>
            <w:r>
              <w:rPr>
                <w:rFonts w:ascii="Century Gothic" w:hAnsi="Century Gothic"/>
                <w:sz w:val="17"/>
                <w:szCs w:val="17"/>
              </w:rPr>
              <w:t>R$ 2.644.800,00</w:t>
            </w:r>
          </w:p>
        </w:tc>
      </w:tr>
      <w:tr w14:paraId="452BC600">
        <w:tblPrEx>
          <w:tblCellMar>
            <w:top w:w="0" w:type="dxa"/>
            <w:left w:w="108" w:type="dxa"/>
            <w:bottom w:w="0" w:type="dxa"/>
            <w:right w:w="108" w:type="dxa"/>
          </w:tblCellMar>
        </w:tblPrEx>
        <w:trPr>
          <w:trHeight w:val="275" w:hRule="atLeast"/>
        </w:trPr>
        <w:tc>
          <w:tcPr>
            <w:tcW w:w="848" w:type="dxa"/>
            <w:gridSpan w:val="2"/>
            <w:tcBorders>
              <w:left w:val="single" w:color="000000" w:sz="4" w:space="0"/>
              <w:bottom w:val="single" w:color="000000" w:sz="4" w:space="0"/>
            </w:tcBorders>
            <w:vAlign w:val="center"/>
          </w:tcPr>
          <w:p w14:paraId="27B7B60D">
            <w:pPr>
              <w:widowControl w:val="0"/>
              <w:jc w:val="center"/>
              <w:rPr>
                <w:rFonts w:ascii="Century Gothic" w:hAnsi="Century Gothic"/>
                <w:b/>
                <w:bCs/>
                <w:sz w:val="17"/>
                <w:szCs w:val="17"/>
              </w:rPr>
            </w:pPr>
            <w:r>
              <w:rPr>
                <w:rFonts w:ascii="Century Gothic" w:hAnsi="Century Gothic"/>
                <w:b/>
                <w:bCs/>
                <w:sz w:val="17"/>
                <w:szCs w:val="17"/>
              </w:rPr>
              <w:t>127819</w:t>
            </w:r>
          </w:p>
        </w:tc>
        <w:tc>
          <w:tcPr>
            <w:tcW w:w="3516" w:type="dxa"/>
            <w:tcBorders>
              <w:left w:val="single" w:color="000000" w:sz="4" w:space="0"/>
              <w:bottom w:val="single" w:color="000000" w:sz="4" w:space="0"/>
            </w:tcBorders>
            <w:vAlign w:val="center"/>
          </w:tcPr>
          <w:p w14:paraId="4DCFCF96">
            <w:pPr>
              <w:widowControl w:val="0"/>
              <w:jc w:val="center"/>
              <w:rPr>
                <w:rFonts w:ascii="Century Gothic" w:hAnsi="Century Gothic"/>
                <w:sz w:val="17"/>
                <w:szCs w:val="17"/>
              </w:rPr>
            </w:pPr>
            <w:r>
              <w:rPr>
                <w:rFonts w:ascii="Century Gothic" w:hAnsi="Century Gothic"/>
                <w:sz w:val="17"/>
                <w:szCs w:val="17"/>
              </w:rPr>
              <w:t>Creche Integral</w:t>
            </w:r>
          </w:p>
        </w:tc>
        <w:tc>
          <w:tcPr>
            <w:tcW w:w="1698" w:type="dxa"/>
            <w:tcBorders>
              <w:left w:val="single" w:color="000000" w:sz="4" w:space="0"/>
              <w:bottom w:val="single" w:color="000000" w:sz="4" w:space="0"/>
            </w:tcBorders>
            <w:vAlign w:val="center"/>
          </w:tcPr>
          <w:p w14:paraId="385B968B">
            <w:pPr>
              <w:widowControl w:val="0"/>
              <w:jc w:val="center"/>
              <w:rPr>
                <w:rFonts w:ascii="Century Gothic" w:hAnsi="Century Gothic"/>
                <w:sz w:val="17"/>
                <w:szCs w:val="17"/>
              </w:rPr>
            </w:pPr>
            <w:r>
              <w:rPr>
                <w:rFonts w:ascii="Century Gothic" w:hAnsi="Century Gothic"/>
                <w:sz w:val="17"/>
                <w:szCs w:val="17"/>
              </w:rPr>
              <w:t>Jantar</w:t>
            </w:r>
          </w:p>
        </w:tc>
        <w:tc>
          <w:tcPr>
            <w:tcW w:w="1428" w:type="dxa"/>
            <w:tcBorders>
              <w:left w:val="single" w:color="000000" w:sz="4" w:space="0"/>
              <w:bottom w:val="single" w:color="000000" w:sz="4" w:space="0"/>
            </w:tcBorders>
            <w:vAlign w:val="center"/>
          </w:tcPr>
          <w:p w14:paraId="2CAB1F4D">
            <w:pPr>
              <w:widowControl w:val="0"/>
              <w:jc w:val="center"/>
              <w:rPr>
                <w:rFonts w:ascii="Century Gothic" w:hAnsi="Century Gothic"/>
                <w:sz w:val="17"/>
                <w:szCs w:val="17"/>
              </w:rPr>
            </w:pPr>
            <w:r>
              <w:rPr>
                <w:rFonts w:ascii="Century Gothic" w:hAnsi="Century Gothic"/>
                <w:sz w:val="17"/>
                <w:szCs w:val="17"/>
              </w:rPr>
              <w:t>440800</w:t>
            </w:r>
          </w:p>
        </w:tc>
        <w:tc>
          <w:tcPr>
            <w:tcW w:w="850" w:type="dxa"/>
            <w:tcBorders>
              <w:left w:val="single" w:color="000000" w:sz="4" w:space="0"/>
              <w:bottom w:val="single" w:color="000000" w:sz="4" w:space="0"/>
            </w:tcBorders>
            <w:vAlign w:val="center"/>
          </w:tcPr>
          <w:p w14:paraId="3BDC876B">
            <w:pPr>
              <w:widowControl w:val="0"/>
              <w:jc w:val="center"/>
              <w:rPr>
                <w:rFonts w:ascii="Century Gothic" w:hAnsi="Century Gothic"/>
                <w:sz w:val="17"/>
                <w:szCs w:val="17"/>
              </w:rPr>
            </w:pPr>
            <w:r>
              <w:rPr>
                <w:rFonts w:ascii="Century Gothic" w:hAnsi="Century Gothic"/>
                <w:sz w:val="17"/>
                <w:szCs w:val="17"/>
              </w:rPr>
              <w:t>R$ 6,00</w:t>
            </w:r>
          </w:p>
        </w:tc>
        <w:tc>
          <w:tcPr>
            <w:tcW w:w="1634" w:type="dxa"/>
            <w:gridSpan w:val="2"/>
            <w:tcBorders>
              <w:left w:val="single" w:color="000000" w:sz="4" w:space="0"/>
              <w:bottom w:val="single" w:color="000000" w:sz="4" w:space="0"/>
              <w:right w:val="single" w:color="000000" w:sz="4" w:space="0"/>
            </w:tcBorders>
            <w:vAlign w:val="center"/>
          </w:tcPr>
          <w:p w14:paraId="1643E16D">
            <w:pPr>
              <w:widowControl w:val="0"/>
              <w:jc w:val="center"/>
              <w:rPr>
                <w:rFonts w:ascii="Century Gothic" w:hAnsi="Century Gothic"/>
                <w:sz w:val="17"/>
                <w:szCs w:val="17"/>
              </w:rPr>
            </w:pPr>
            <w:r>
              <w:rPr>
                <w:rFonts w:ascii="Century Gothic" w:hAnsi="Century Gothic"/>
                <w:sz w:val="17"/>
                <w:szCs w:val="17"/>
              </w:rPr>
              <w:t>R$ 2.644.800,00</w:t>
            </w:r>
          </w:p>
        </w:tc>
      </w:tr>
      <w:tr w14:paraId="52179D0A">
        <w:tblPrEx>
          <w:tblCellMar>
            <w:top w:w="0" w:type="dxa"/>
            <w:left w:w="108" w:type="dxa"/>
            <w:bottom w:w="0" w:type="dxa"/>
            <w:right w:w="108" w:type="dxa"/>
          </w:tblCellMar>
        </w:tblPrEx>
        <w:trPr>
          <w:trHeight w:val="225" w:hRule="atLeast"/>
        </w:trPr>
        <w:tc>
          <w:tcPr>
            <w:tcW w:w="848" w:type="dxa"/>
            <w:gridSpan w:val="2"/>
            <w:tcBorders>
              <w:left w:val="single" w:color="000000" w:sz="4" w:space="0"/>
              <w:bottom w:val="single" w:color="000000" w:sz="4" w:space="0"/>
            </w:tcBorders>
            <w:vAlign w:val="center"/>
          </w:tcPr>
          <w:p w14:paraId="3B57B8B4">
            <w:pPr>
              <w:widowControl w:val="0"/>
              <w:jc w:val="center"/>
              <w:rPr>
                <w:rFonts w:ascii="Century Gothic" w:hAnsi="Century Gothic"/>
                <w:b/>
                <w:bCs/>
                <w:sz w:val="17"/>
                <w:szCs w:val="17"/>
              </w:rPr>
            </w:pPr>
            <w:r>
              <w:rPr>
                <w:rFonts w:ascii="Century Gothic" w:hAnsi="Century Gothic"/>
                <w:b/>
                <w:bCs/>
                <w:sz w:val="17"/>
                <w:szCs w:val="17"/>
              </w:rPr>
              <w:t>127820</w:t>
            </w:r>
          </w:p>
        </w:tc>
        <w:tc>
          <w:tcPr>
            <w:tcW w:w="3516" w:type="dxa"/>
            <w:tcBorders>
              <w:left w:val="single" w:color="000000" w:sz="4" w:space="0"/>
              <w:bottom w:val="single" w:color="000000" w:sz="4" w:space="0"/>
            </w:tcBorders>
            <w:vAlign w:val="center"/>
          </w:tcPr>
          <w:p w14:paraId="2F55AEE7">
            <w:pPr>
              <w:widowControl w:val="0"/>
              <w:jc w:val="center"/>
              <w:rPr>
                <w:rFonts w:ascii="Century Gothic" w:hAnsi="Century Gothic"/>
                <w:sz w:val="17"/>
                <w:szCs w:val="17"/>
              </w:rPr>
            </w:pPr>
            <w:r>
              <w:rPr>
                <w:rFonts w:ascii="Century Gothic" w:hAnsi="Century Gothic"/>
                <w:sz w:val="17"/>
                <w:szCs w:val="17"/>
              </w:rPr>
              <w:t>Pré-Escola Parcial (matutino)</w:t>
            </w:r>
          </w:p>
        </w:tc>
        <w:tc>
          <w:tcPr>
            <w:tcW w:w="1698" w:type="dxa"/>
            <w:tcBorders>
              <w:left w:val="single" w:color="000000" w:sz="4" w:space="0"/>
              <w:bottom w:val="single" w:color="000000" w:sz="4" w:space="0"/>
            </w:tcBorders>
            <w:vAlign w:val="center"/>
          </w:tcPr>
          <w:p w14:paraId="0523A1C6">
            <w:pPr>
              <w:widowControl w:val="0"/>
              <w:jc w:val="center"/>
              <w:rPr>
                <w:rFonts w:ascii="Century Gothic" w:hAnsi="Century Gothic"/>
                <w:sz w:val="17"/>
                <w:szCs w:val="17"/>
              </w:rPr>
            </w:pPr>
            <w:r>
              <w:rPr>
                <w:rFonts w:ascii="Century Gothic" w:hAnsi="Century Gothic"/>
                <w:sz w:val="17"/>
                <w:szCs w:val="17"/>
              </w:rPr>
              <w:t>Lanche (Manhã)</w:t>
            </w:r>
          </w:p>
        </w:tc>
        <w:tc>
          <w:tcPr>
            <w:tcW w:w="1428" w:type="dxa"/>
            <w:tcBorders>
              <w:left w:val="single" w:color="000000" w:sz="4" w:space="0"/>
              <w:bottom w:val="single" w:color="000000" w:sz="4" w:space="0"/>
            </w:tcBorders>
            <w:vAlign w:val="center"/>
          </w:tcPr>
          <w:p w14:paraId="4301D1D7">
            <w:pPr>
              <w:widowControl w:val="0"/>
              <w:jc w:val="center"/>
              <w:rPr>
                <w:rFonts w:ascii="Century Gothic" w:hAnsi="Century Gothic"/>
                <w:sz w:val="17"/>
                <w:szCs w:val="17"/>
              </w:rPr>
            </w:pPr>
            <w:r>
              <w:rPr>
                <w:rFonts w:ascii="Century Gothic" w:hAnsi="Century Gothic"/>
                <w:sz w:val="17"/>
                <w:szCs w:val="17"/>
              </w:rPr>
              <w:t>541200</w:t>
            </w:r>
          </w:p>
        </w:tc>
        <w:tc>
          <w:tcPr>
            <w:tcW w:w="850" w:type="dxa"/>
            <w:tcBorders>
              <w:left w:val="single" w:color="000000" w:sz="4" w:space="0"/>
              <w:bottom w:val="single" w:color="000000" w:sz="4" w:space="0"/>
            </w:tcBorders>
            <w:vAlign w:val="center"/>
          </w:tcPr>
          <w:p w14:paraId="37DC05B0">
            <w:pPr>
              <w:widowControl w:val="0"/>
              <w:jc w:val="center"/>
              <w:rPr>
                <w:rFonts w:ascii="Century Gothic" w:hAnsi="Century Gothic"/>
                <w:sz w:val="17"/>
                <w:szCs w:val="17"/>
              </w:rPr>
            </w:pPr>
            <w:r>
              <w:rPr>
                <w:rFonts w:ascii="Century Gothic" w:hAnsi="Century Gothic"/>
                <w:sz w:val="17"/>
                <w:szCs w:val="17"/>
              </w:rPr>
              <w:t>R$ 6,03</w:t>
            </w:r>
          </w:p>
        </w:tc>
        <w:tc>
          <w:tcPr>
            <w:tcW w:w="1634" w:type="dxa"/>
            <w:gridSpan w:val="2"/>
            <w:tcBorders>
              <w:left w:val="single" w:color="000000" w:sz="4" w:space="0"/>
              <w:bottom w:val="single" w:color="000000" w:sz="4" w:space="0"/>
              <w:right w:val="single" w:color="000000" w:sz="4" w:space="0"/>
            </w:tcBorders>
            <w:vAlign w:val="center"/>
          </w:tcPr>
          <w:p w14:paraId="0ED30FF3">
            <w:pPr>
              <w:widowControl w:val="0"/>
              <w:jc w:val="center"/>
              <w:rPr>
                <w:rFonts w:ascii="Century Gothic" w:hAnsi="Century Gothic"/>
                <w:sz w:val="17"/>
                <w:szCs w:val="17"/>
              </w:rPr>
            </w:pPr>
            <w:r>
              <w:rPr>
                <w:rFonts w:ascii="Century Gothic" w:hAnsi="Century Gothic"/>
                <w:sz w:val="17"/>
                <w:szCs w:val="17"/>
              </w:rPr>
              <w:t>R$ 3.263.436,00</w:t>
            </w:r>
          </w:p>
        </w:tc>
      </w:tr>
      <w:tr w14:paraId="41B91ADE">
        <w:tblPrEx>
          <w:tblCellMar>
            <w:top w:w="0" w:type="dxa"/>
            <w:left w:w="108" w:type="dxa"/>
            <w:bottom w:w="0" w:type="dxa"/>
            <w:right w:w="108" w:type="dxa"/>
          </w:tblCellMar>
        </w:tblPrEx>
        <w:trPr>
          <w:trHeight w:val="287" w:hRule="atLeast"/>
        </w:trPr>
        <w:tc>
          <w:tcPr>
            <w:tcW w:w="848" w:type="dxa"/>
            <w:gridSpan w:val="2"/>
            <w:tcBorders>
              <w:left w:val="single" w:color="000000" w:sz="4" w:space="0"/>
              <w:bottom w:val="single" w:color="000000" w:sz="4" w:space="0"/>
            </w:tcBorders>
            <w:vAlign w:val="center"/>
          </w:tcPr>
          <w:p w14:paraId="6EF07893">
            <w:pPr>
              <w:widowControl w:val="0"/>
              <w:jc w:val="center"/>
              <w:rPr>
                <w:rFonts w:ascii="Century Gothic" w:hAnsi="Century Gothic"/>
                <w:b/>
                <w:bCs/>
                <w:sz w:val="17"/>
                <w:szCs w:val="17"/>
              </w:rPr>
            </w:pPr>
            <w:r>
              <w:rPr>
                <w:rFonts w:ascii="Century Gothic" w:hAnsi="Century Gothic"/>
                <w:b/>
                <w:bCs/>
                <w:sz w:val="17"/>
                <w:szCs w:val="17"/>
              </w:rPr>
              <w:t>127821</w:t>
            </w:r>
          </w:p>
        </w:tc>
        <w:tc>
          <w:tcPr>
            <w:tcW w:w="3516" w:type="dxa"/>
            <w:tcBorders>
              <w:left w:val="single" w:color="000000" w:sz="4" w:space="0"/>
              <w:bottom w:val="single" w:color="000000" w:sz="4" w:space="0"/>
            </w:tcBorders>
            <w:vAlign w:val="center"/>
          </w:tcPr>
          <w:p w14:paraId="1A4E877B">
            <w:pPr>
              <w:widowControl w:val="0"/>
              <w:jc w:val="center"/>
              <w:rPr>
                <w:rFonts w:ascii="Century Gothic" w:hAnsi="Century Gothic"/>
                <w:sz w:val="17"/>
                <w:szCs w:val="17"/>
              </w:rPr>
            </w:pPr>
            <w:r>
              <w:rPr>
                <w:rFonts w:ascii="Century Gothic" w:hAnsi="Century Gothic"/>
                <w:sz w:val="17"/>
                <w:szCs w:val="17"/>
              </w:rPr>
              <w:t>Pré-Escola Parcial (vespertino)</w:t>
            </w:r>
          </w:p>
        </w:tc>
        <w:tc>
          <w:tcPr>
            <w:tcW w:w="1698" w:type="dxa"/>
            <w:tcBorders>
              <w:left w:val="single" w:color="000000" w:sz="4" w:space="0"/>
              <w:bottom w:val="single" w:color="000000" w:sz="4" w:space="0"/>
            </w:tcBorders>
            <w:vAlign w:val="center"/>
          </w:tcPr>
          <w:p w14:paraId="51B038B3">
            <w:pPr>
              <w:widowControl w:val="0"/>
              <w:jc w:val="center"/>
              <w:rPr>
                <w:rFonts w:ascii="Century Gothic" w:hAnsi="Century Gothic"/>
                <w:sz w:val="17"/>
                <w:szCs w:val="17"/>
              </w:rPr>
            </w:pPr>
            <w:r>
              <w:rPr>
                <w:rFonts w:ascii="Century Gothic" w:hAnsi="Century Gothic"/>
                <w:sz w:val="17"/>
                <w:szCs w:val="17"/>
              </w:rPr>
              <w:t>Lanche (Tarde)</w:t>
            </w:r>
          </w:p>
        </w:tc>
        <w:tc>
          <w:tcPr>
            <w:tcW w:w="1428" w:type="dxa"/>
            <w:tcBorders>
              <w:left w:val="single" w:color="000000" w:sz="4" w:space="0"/>
              <w:bottom w:val="single" w:color="000000" w:sz="4" w:space="0"/>
            </w:tcBorders>
            <w:vAlign w:val="center"/>
          </w:tcPr>
          <w:p w14:paraId="707BFBA6">
            <w:pPr>
              <w:widowControl w:val="0"/>
              <w:jc w:val="center"/>
              <w:rPr>
                <w:rFonts w:ascii="Century Gothic" w:hAnsi="Century Gothic"/>
                <w:sz w:val="17"/>
                <w:szCs w:val="17"/>
              </w:rPr>
            </w:pPr>
            <w:r>
              <w:rPr>
                <w:rFonts w:ascii="Century Gothic" w:hAnsi="Century Gothic"/>
                <w:sz w:val="17"/>
                <w:szCs w:val="17"/>
              </w:rPr>
              <w:t>612200</w:t>
            </w:r>
          </w:p>
        </w:tc>
        <w:tc>
          <w:tcPr>
            <w:tcW w:w="850" w:type="dxa"/>
            <w:tcBorders>
              <w:left w:val="single" w:color="000000" w:sz="4" w:space="0"/>
              <w:bottom w:val="single" w:color="000000" w:sz="4" w:space="0"/>
            </w:tcBorders>
            <w:vAlign w:val="center"/>
          </w:tcPr>
          <w:p w14:paraId="5F71FA3A">
            <w:pPr>
              <w:widowControl w:val="0"/>
              <w:jc w:val="center"/>
              <w:rPr>
                <w:rFonts w:ascii="Century Gothic" w:hAnsi="Century Gothic"/>
                <w:sz w:val="17"/>
                <w:szCs w:val="17"/>
              </w:rPr>
            </w:pPr>
            <w:r>
              <w:rPr>
                <w:rFonts w:ascii="Century Gothic" w:hAnsi="Century Gothic"/>
                <w:sz w:val="17"/>
                <w:szCs w:val="17"/>
              </w:rPr>
              <w:t>R$ 6,03</w:t>
            </w:r>
          </w:p>
        </w:tc>
        <w:tc>
          <w:tcPr>
            <w:tcW w:w="1634" w:type="dxa"/>
            <w:gridSpan w:val="2"/>
            <w:tcBorders>
              <w:left w:val="single" w:color="000000" w:sz="4" w:space="0"/>
              <w:bottom w:val="single" w:color="000000" w:sz="4" w:space="0"/>
              <w:right w:val="single" w:color="000000" w:sz="4" w:space="0"/>
            </w:tcBorders>
            <w:vAlign w:val="center"/>
          </w:tcPr>
          <w:p w14:paraId="329964B4">
            <w:pPr>
              <w:widowControl w:val="0"/>
              <w:jc w:val="center"/>
              <w:rPr>
                <w:rFonts w:ascii="Century Gothic" w:hAnsi="Century Gothic"/>
                <w:sz w:val="17"/>
                <w:szCs w:val="17"/>
              </w:rPr>
            </w:pPr>
            <w:r>
              <w:rPr>
                <w:rFonts w:ascii="Century Gothic" w:hAnsi="Century Gothic"/>
                <w:sz w:val="17"/>
                <w:szCs w:val="17"/>
              </w:rPr>
              <w:t>R$ 3.691.566,00</w:t>
            </w:r>
          </w:p>
        </w:tc>
      </w:tr>
      <w:tr w14:paraId="13ED7624">
        <w:tblPrEx>
          <w:tblCellMar>
            <w:top w:w="0" w:type="dxa"/>
            <w:left w:w="108" w:type="dxa"/>
            <w:bottom w:w="0" w:type="dxa"/>
            <w:right w:w="108" w:type="dxa"/>
          </w:tblCellMar>
        </w:tblPrEx>
        <w:trPr>
          <w:trHeight w:val="246" w:hRule="atLeast"/>
        </w:trPr>
        <w:tc>
          <w:tcPr>
            <w:tcW w:w="848" w:type="dxa"/>
            <w:gridSpan w:val="2"/>
            <w:tcBorders>
              <w:left w:val="single" w:color="000000" w:sz="4" w:space="0"/>
              <w:bottom w:val="single" w:color="000000" w:sz="4" w:space="0"/>
            </w:tcBorders>
            <w:vAlign w:val="center"/>
          </w:tcPr>
          <w:p w14:paraId="75488971">
            <w:pPr>
              <w:widowControl w:val="0"/>
              <w:jc w:val="center"/>
              <w:rPr>
                <w:rFonts w:ascii="Century Gothic" w:hAnsi="Century Gothic"/>
                <w:b/>
                <w:bCs/>
                <w:sz w:val="17"/>
                <w:szCs w:val="17"/>
              </w:rPr>
            </w:pPr>
            <w:r>
              <w:rPr>
                <w:rFonts w:ascii="Century Gothic" w:hAnsi="Century Gothic"/>
                <w:b/>
                <w:bCs/>
                <w:sz w:val="17"/>
                <w:szCs w:val="17"/>
              </w:rPr>
              <w:t>127822</w:t>
            </w:r>
          </w:p>
        </w:tc>
        <w:tc>
          <w:tcPr>
            <w:tcW w:w="3516" w:type="dxa"/>
            <w:tcBorders>
              <w:left w:val="single" w:color="000000" w:sz="4" w:space="0"/>
              <w:bottom w:val="single" w:color="000000" w:sz="4" w:space="0"/>
            </w:tcBorders>
            <w:vAlign w:val="center"/>
          </w:tcPr>
          <w:p w14:paraId="7ACDA93C">
            <w:pPr>
              <w:widowControl w:val="0"/>
              <w:jc w:val="center"/>
              <w:rPr>
                <w:rFonts w:ascii="Century Gothic" w:hAnsi="Century Gothic"/>
                <w:sz w:val="17"/>
                <w:szCs w:val="17"/>
              </w:rPr>
            </w:pPr>
            <w:r>
              <w:rPr>
                <w:rFonts w:ascii="Century Gothic" w:hAnsi="Century Gothic"/>
                <w:sz w:val="17"/>
                <w:szCs w:val="17"/>
              </w:rPr>
              <w:t>Pré-Escola Integral</w:t>
            </w:r>
          </w:p>
        </w:tc>
        <w:tc>
          <w:tcPr>
            <w:tcW w:w="1698" w:type="dxa"/>
            <w:tcBorders>
              <w:left w:val="single" w:color="000000" w:sz="4" w:space="0"/>
              <w:bottom w:val="single" w:color="000000" w:sz="4" w:space="0"/>
            </w:tcBorders>
            <w:vAlign w:val="center"/>
          </w:tcPr>
          <w:p w14:paraId="3EE2664C">
            <w:pPr>
              <w:widowControl w:val="0"/>
              <w:jc w:val="center"/>
              <w:rPr>
                <w:rFonts w:ascii="Century Gothic" w:hAnsi="Century Gothic"/>
                <w:sz w:val="17"/>
                <w:szCs w:val="17"/>
              </w:rPr>
            </w:pPr>
            <w:r>
              <w:rPr>
                <w:rFonts w:ascii="Century Gothic" w:hAnsi="Century Gothic"/>
                <w:sz w:val="17"/>
                <w:szCs w:val="17"/>
              </w:rPr>
              <w:t>Café da Manhã</w:t>
            </w:r>
          </w:p>
        </w:tc>
        <w:tc>
          <w:tcPr>
            <w:tcW w:w="1428" w:type="dxa"/>
            <w:tcBorders>
              <w:left w:val="single" w:color="000000" w:sz="4" w:space="0"/>
              <w:bottom w:val="single" w:color="000000" w:sz="4" w:space="0"/>
            </w:tcBorders>
            <w:vAlign w:val="center"/>
          </w:tcPr>
          <w:p w14:paraId="0E7B430F">
            <w:pPr>
              <w:widowControl w:val="0"/>
              <w:jc w:val="center"/>
              <w:rPr>
                <w:rFonts w:ascii="Century Gothic" w:hAnsi="Century Gothic"/>
                <w:sz w:val="17"/>
                <w:szCs w:val="17"/>
              </w:rPr>
            </w:pPr>
            <w:r>
              <w:rPr>
                <w:rFonts w:ascii="Century Gothic" w:hAnsi="Century Gothic"/>
                <w:sz w:val="17"/>
                <w:szCs w:val="17"/>
              </w:rPr>
              <w:t>115600</w:t>
            </w:r>
          </w:p>
        </w:tc>
        <w:tc>
          <w:tcPr>
            <w:tcW w:w="850" w:type="dxa"/>
            <w:tcBorders>
              <w:left w:val="single" w:color="000000" w:sz="4" w:space="0"/>
              <w:bottom w:val="single" w:color="000000" w:sz="4" w:space="0"/>
            </w:tcBorders>
            <w:vAlign w:val="center"/>
          </w:tcPr>
          <w:p w14:paraId="29C85AEF">
            <w:pPr>
              <w:widowControl w:val="0"/>
              <w:jc w:val="center"/>
              <w:rPr>
                <w:rFonts w:ascii="Century Gothic" w:hAnsi="Century Gothic"/>
                <w:sz w:val="17"/>
                <w:szCs w:val="17"/>
              </w:rPr>
            </w:pPr>
            <w:r>
              <w:rPr>
                <w:rFonts w:ascii="Century Gothic" w:hAnsi="Century Gothic"/>
                <w:sz w:val="17"/>
                <w:szCs w:val="17"/>
              </w:rPr>
              <w:t>R$ 5,18</w:t>
            </w:r>
          </w:p>
        </w:tc>
        <w:tc>
          <w:tcPr>
            <w:tcW w:w="1634" w:type="dxa"/>
            <w:gridSpan w:val="2"/>
            <w:tcBorders>
              <w:left w:val="single" w:color="000000" w:sz="4" w:space="0"/>
              <w:bottom w:val="single" w:color="000000" w:sz="4" w:space="0"/>
              <w:right w:val="single" w:color="000000" w:sz="4" w:space="0"/>
            </w:tcBorders>
            <w:vAlign w:val="center"/>
          </w:tcPr>
          <w:p w14:paraId="06555D6B">
            <w:pPr>
              <w:widowControl w:val="0"/>
              <w:jc w:val="center"/>
              <w:rPr>
                <w:rFonts w:ascii="Century Gothic" w:hAnsi="Century Gothic"/>
                <w:sz w:val="17"/>
                <w:szCs w:val="17"/>
              </w:rPr>
            </w:pPr>
            <w:r>
              <w:rPr>
                <w:rFonts w:ascii="Century Gothic" w:hAnsi="Century Gothic"/>
                <w:sz w:val="17"/>
                <w:szCs w:val="17"/>
              </w:rPr>
              <w:t>R$ 598.808,00</w:t>
            </w:r>
          </w:p>
        </w:tc>
      </w:tr>
      <w:tr w14:paraId="30A47551">
        <w:tblPrEx>
          <w:tblCellMar>
            <w:top w:w="0" w:type="dxa"/>
            <w:left w:w="108" w:type="dxa"/>
            <w:bottom w:w="0" w:type="dxa"/>
            <w:right w:w="108" w:type="dxa"/>
          </w:tblCellMar>
        </w:tblPrEx>
        <w:trPr>
          <w:trHeight w:val="287" w:hRule="atLeast"/>
        </w:trPr>
        <w:tc>
          <w:tcPr>
            <w:tcW w:w="848" w:type="dxa"/>
            <w:gridSpan w:val="2"/>
            <w:tcBorders>
              <w:left w:val="single" w:color="000000" w:sz="4" w:space="0"/>
              <w:bottom w:val="single" w:color="000000" w:sz="4" w:space="0"/>
            </w:tcBorders>
            <w:vAlign w:val="center"/>
          </w:tcPr>
          <w:p w14:paraId="17D9F343">
            <w:pPr>
              <w:widowControl w:val="0"/>
              <w:jc w:val="center"/>
              <w:rPr>
                <w:rFonts w:ascii="Century Gothic" w:hAnsi="Century Gothic"/>
                <w:b/>
                <w:bCs/>
                <w:sz w:val="17"/>
                <w:szCs w:val="17"/>
              </w:rPr>
            </w:pPr>
            <w:r>
              <w:rPr>
                <w:rFonts w:ascii="Century Gothic" w:hAnsi="Century Gothic"/>
                <w:b/>
                <w:bCs/>
                <w:sz w:val="17"/>
                <w:szCs w:val="17"/>
              </w:rPr>
              <w:t>127823</w:t>
            </w:r>
          </w:p>
        </w:tc>
        <w:tc>
          <w:tcPr>
            <w:tcW w:w="3516" w:type="dxa"/>
            <w:tcBorders>
              <w:left w:val="single" w:color="000000" w:sz="4" w:space="0"/>
              <w:bottom w:val="single" w:color="000000" w:sz="4" w:space="0"/>
            </w:tcBorders>
            <w:vAlign w:val="center"/>
          </w:tcPr>
          <w:p w14:paraId="1F55FCF3">
            <w:pPr>
              <w:widowControl w:val="0"/>
              <w:jc w:val="center"/>
              <w:rPr>
                <w:rFonts w:ascii="Century Gothic" w:hAnsi="Century Gothic"/>
                <w:sz w:val="17"/>
                <w:szCs w:val="17"/>
              </w:rPr>
            </w:pPr>
            <w:r>
              <w:rPr>
                <w:rFonts w:ascii="Century Gothic" w:hAnsi="Century Gothic"/>
                <w:sz w:val="17"/>
                <w:szCs w:val="17"/>
              </w:rPr>
              <w:t>Pré-Escola Integral</w:t>
            </w:r>
          </w:p>
        </w:tc>
        <w:tc>
          <w:tcPr>
            <w:tcW w:w="1698" w:type="dxa"/>
            <w:tcBorders>
              <w:left w:val="single" w:color="000000" w:sz="4" w:space="0"/>
              <w:bottom w:val="single" w:color="000000" w:sz="4" w:space="0"/>
            </w:tcBorders>
            <w:vAlign w:val="center"/>
          </w:tcPr>
          <w:p w14:paraId="40D5C52D">
            <w:pPr>
              <w:widowControl w:val="0"/>
              <w:jc w:val="center"/>
              <w:rPr>
                <w:rFonts w:ascii="Century Gothic" w:hAnsi="Century Gothic"/>
                <w:sz w:val="17"/>
                <w:szCs w:val="17"/>
              </w:rPr>
            </w:pPr>
            <w:r>
              <w:rPr>
                <w:rFonts w:ascii="Century Gothic" w:hAnsi="Century Gothic"/>
                <w:sz w:val="17"/>
                <w:szCs w:val="17"/>
              </w:rPr>
              <w:t>Almoço</w:t>
            </w:r>
          </w:p>
        </w:tc>
        <w:tc>
          <w:tcPr>
            <w:tcW w:w="1428" w:type="dxa"/>
            <w:tcBorders>
              <w:left w:val="single" w:color="000000" w:sz="4" w:space="0"/>
              <w:bottom w:val="single" w:color="000000" w:sz="4" w:space="0"/>
            </w:tcBorders>
            <w:vAlign w:val="center"/>
          </w:tcPr>
          <w:p w14:paraId="63FA3373">
            <w:pPr>
              <w:widowControl w:val="0"/>
              <w:jc w:val="center"/>
              <w:rPr>
                <w:rFonts w:ascii="Century Gothic" w:hAnsi="Century Gothic"/>
                <w:sz w:val="17"/>
                <w:szCs w:val="17"/>
              </w:rPr>
            </w:pPr>
            <w:r>
              <w:rPr>
                <w:rFonts w:ascii="Century Gothic" w:hAnsi="Century Gothic"/>
                <w:sz w:val="17"/>
                <w:szCs w:val="17"/>
              </w:rPr>
              <w:t>115600</w:t>
            </w:r>
          </w:p>
        </w:tc>
        <w:tc>
          <w:tcPr>
            <w:tcW w:w="850" w:type="dxa"/>
            <w:tcBorders>
              <w:left w:val="single" w:color="000000" w:sz="4" w:space="0"/>
              <w:bottom w:val="single" w:color="000000" w:sz="4" w:space="0"/>
            </w:tcBorders>
            <w:vAlign w:val="center"/>
          </w:tcPr>
          <w:p w14:paraId="1094B665">
            <w:pPr>
              <w:widowControl w:val="0"/>
              <w:jc w:val="center"/>
              <w:rPr>
                <w:rFonts w:ascii="Century Gothic" w:hAnsi="Century Gothic"/>
                <w:sz w:val="17"/>
                <w:szCs w:val="17"/>
              </w:rPr>
            </w:pPr>
            <w:r>
              <w:rPr>
                <w:rFonts w:ascii="Century Gothic" w:hAnsi="Century Gothic"/>
                <w:sz w:val="17"/>
                <w:szCs w:val="17"/>
              </w:rPr>
              <w:t>R$ 5,17</w:t>
            </w:r>
          </w:p>
        </w:tc>
        <w:tc>
          <w:tcPr>
            <w:tcW w:w="1634" w:type="dxa"/>
            <w:gridSpan w:val="2"/>
            <w:tcBorders>
              <w:left w:val="single" w:color="000000" w:sz="4" w:space="0"/>
              <w:bottom w:val="single" w:color="000000" w:sz="4" w:space="0"/>
              <w:right w:val="single" w:color="000000" w:sz="4" w:space="0"/>
            </w:tcBorders>
            <w:vAlign w:val="center"/>
          </w:tcPr>
          <w:p w14:paraId="3425FE95">
            <w:pPr>
              <w:widowControl w:val="0"/>
              <w:jc w:val="center"/>
              <w:rPr>
                <w:rFonts w:ascii="Century Gothic" w:hAnsi="Century Gothic"/>
                <w:sz w:val="17"/>
                <w:szCs w:val="17"/>
              </w:rPr>
            </w:pPr>
            <w:r>
              <w:rPr>
                <w:rFonts w:ascii="Century Gothic" w:hAnsi="Century Gothic"/>
                <w:sz w:val="17"/>
                <w:szCs w:val="17"/>
              </w:rPr>
              <w:t>R$ 597.652,00</w:t>
            </w:r>
          </w:p>
        </w:tc>
      </w:tr>
      <w:tr w14:paraId="1251615E">
        <w:tblPrEx>
          <w:tblCellMar>
            <w:top w:w="0" w:type="dxa"/>
            <w:left w:w="108" w:type="dxa"/>
            <w:bottom w:w="0" w:type="dxa"/>
            <w:right w:w="108" w:type="dxa"/>
          </w:tblCellMar>
        </w:tblPrEx>
        <w:trPr>
          <w:trHeight w:val="275" w:hRule="atLeast"/>
        </w:trPr>
        <w:tc>
          <w:tcPr>
            <w:tcW w:w="848" w:type="dxa"/>
            <w:gridSpan w:val="2"/>
            <w:tcBorders>
              <w:left w:val="single" w:color="000000" w:sz="4" w:space="0"/>
              <w:bottom w:val="single" w:color="000000" w:sz="4" w:space="0"/>
            </w:tcBorders>
            <w:vAlign w:val="center"/>
          </w:tcPr>
          <w:p w14:paraId="30358070">
            <w:pPr>
              <w:widowControl w:val="0"/>
              <w:jc w:val="center"/>
              <w:rPr>
                <w:rFonts w:ascii="Century Gothic" w:hAnsi="Century Gothic"/>
                <w:b/>
                <w:bCs/>
                <w:sz w:val="17"/>
                <w:szCs w:val="17"/>
              </w:rPr>
            </w:pPr>
            <w:r>
              <w:rPr>
                <w:rFonts w:ascii="Century Gothic" w:hAnsi="Century Gothic"/>
                <w:b/>
                <w:bCs/>
                <w:sz w:val="17"/>
                <w:szCs w:val="17"/>
              </w:rPr>
              <w:t>127824</w:t>
            </w:r>
          </w:p>
        </w:tc>
        <w:tc>
          <w:tcPr>
            <w:tcW w:w="3516" w:type="dxa"/>
            <w:tcBorders>
              <w:left w:val="single" w:color="000000" w:sz="4" w:space="0"/>
              <w:bottom w:val="single" w:color="000000" w:sz="4" w:space="0"/>
            </w:tcBorders>
            <w:vAlign w:val="center"/>
          </w:tcPr>
          <w:p w14:paraId="0F8D24A1">
            <w:pPr>
              <w:widowControl w:val="0"/>
              <w:jc w:val="center"/>
              <w:rPr>
                <w:rFonts w:ascii="Century Gothic" w:hAnsi="Century Gothic"/>
                <w:sz w:val="17"/>
                <w:szCs w:val="17"/>
              </w:rPr>
            </w:pPr>
            <w:r>
              <w:rPr>
                <w:rFonts w:ascii="Century Gothic" w:hAnsi="Century Gothic"/>
                <w:sz w:val="17"/>
                <w:szCs w:val="17"/>
              </w:rPr>
              <w:t>Pré-Escola Integral</w:t>
            </w:r>
          </w:p>
        </w:tc>
        <w:tc>
          <w:tcPr>
            <w:tcW w:w="1698" w:type="dxa"/>
            <w:tcBorders>
              <w:left w:val="single" w:color="000000" w:sz="4" w:space="0"/>
              <w:bottom w:val="single" w:color="000000" w:sz="4" w:space="0"/>
            </w:tcBorders>
            <w:vAlign w:val="center"/>
          </w:tcPr>
          <w:p w14:paraId="34C2E318">
            <w:pPr>
              <w:widowControl w:val="0"/>
              <w:jc w:val="center"/>
              <w:rPr>
                <w:rFonts w:ascii="Century Gothic" w:hAnsi="Century Gothic"/>
                <w:sz w:val="17"/>
                <w:szCs w:val="17"/>
              </w:rPr>
            </w:pPr>
            <w:r>
              <w:rPr>
                <w:rFonts w:ascii="Century Gothic" w:hAnsi="Century Gothic"/>
                <w:sz w:val="17"/>
                <w:szCs w:val="17"/>
              </w:rPr>
              <w:t>Lanche</w:t>
            </w:r>
          </w:p>
        </w:tc>
        <w:tc>
          <w:tcPr>
            <w:tcW w:w="1428" w:type="dxa"/>
            <w:tcBorders>
              <w:left w:val="single" w:color="000000" w:sz="4" w:space="0"/>
              <w:bottom w:val="single" w:color="000000" w:sz="4" w:space="0"/>
            </w:tcBorders>
            <w:vAlign w:val="center"/>
          </w:tcPr>
          <w:p w14:paraId="338EE8CF">
            <w:pPr>
              <w:widowControl w:val="0"/>
              <w:jc w:val="center"/>
              <w:rPr>
                <w:rFonts w:ascii="Century Gothic" w:hAnsi="Century Gothic"/>
                <w:sz w:val="17"/>
                <w:szCs w:val="17"/>
              </w:rPr>
            </w:pPr>
            <w:r>
              <w:rPr>
                <w:rFonts w:ascii="Century Gothic" w:hAnsi="Century Gothic"/>
                <w:sz w:val="17"/>
                <w:szCs w:val="17"/>
              </w:rPr>
              <w:t>115600</w:t>
            </w:r>
          </w:p>
        </w:tc>
        <w:tc>
          <w:tcPr>
            <w:tcW w:w="850" w:type="dxa"/>
            <w:tcBorders>
              <w:left w:val="single" w:color="000000" w:sz="4" w:space="0"/>
              <w:bottom w:val="single" w:color="000000" w:sz="4" w:space="0"/>
            </w:tcBorders>
            <w:vAlign w:val="center"/>
          </w:tcPr>
          <w:p w14:paraId="0C8625EB">
            <w:pPr>
              <w:widowControl w:val="0"/>
              <w:jc w:val="center"/>
              <w:rPr>
                <w:rFonts w:ascii="Century Gothic" w:hAnsi="Century Gothic"/>
                <w:sz w:val="17"/>
                <w:szCs w:val="17"/>
              </w:rPr>
            </w:pPr>
            <w:r>
              <w:rPr>
                <w:rFonts w:ascii="Century Gothic" w:hAnsi="Century Gothic"/>
                <w:sz w:val="17"/>
                <w:szCs w:val="17"/>
              </w:rPr>
              <w:t>R$ 5,18</w:t>
            </w:r>
          </w:p>
        </w:tc>
        <w:tc>
          <w:tcPr>
            <w:tcW w:w="1634" w:type="dxa"/>
            <w:gridSpan w:val="2"/>
            <w:tcBorders>
              <w:left w:val="single" w:color="000000" w:sz="4" w:space="0"/>
              <w:bottom w:val="single" w:color="000000" w:sz="4" w:space="0"/>
              <w:right w:val="single" w:color="000000" w:sz="4" w:space="0"/>
            </w:tcBorders>
            <w:vAlign w:val="center"/>
          </w:tcPr>
          <w:p w14:paraId="11695E3F">
            <w:pPr>
              <w:widowControl w:val="0"/>
              <w:jc w:val="center"/>
              <w:rPr>
                <w:rFonts w:ascii="Century Gothic" w:hAnsi="Century Gothic"/>
                <w:sz w:val="17"/>
                <w:szCs w:val="17"/>
              </w:rPr>
            </w:pPr>
            <w:r>
              <w:rPr>
                <w:rFonts w:ascii="Century Gothic" w:hAnsi="Century Gothic"/>
                <w:sz w:val="17"/>
                <w:szCs w:val="17"/>
              </w:rPr>
              <w:t>R$ 598.808,00</w:t>
            </w:r>
          </w:p>
        </w:tc>
      </w:tr>
      <w:tr w14:paraId="07DD394E">
        <w:tblPrEx>
          <w:tblCellMar>
            <w:top w:w="0" w:type="dxa"/>
            <w:left w:w="108" w:type="dxa"/>
            <w:bottom w:w="0" w:type="dxa"/>
            <w:right w:w="108" w:type="dxa"/>
          </w:tblCellMar>
        </w:tblPrEx>
        <w:trPr>
          <w:trHeight w:val="350" w:hRule="atLeast"/>
        </w:trPr>
        <w:tc>
          <w:tcPr>
            <w:tcW w:w="848" w:type="dxa"/>
            <w:gridSpan w:val="2"/>
            <w:tcBorders>
              <w:left w:val="single" w:color="000000" w:sz="4" w:space="0"/>
              <w:bottom w:val="single" w:color="000000" w:sz="4" w:space="0"/>
            </w:tcBorders>
            <w:vAlign w:val="center"/>
          </w:tcPr>
          <w:p w14:paraId="57111BC1">
            <w:pPr>
              <w:widowControl w:val="0"/>
              <w:jc w:val="center"/>
              <w:rPr>
                <w:rFonts w:ascii="Century Gothic" w:hAnsi="Century Gothic"/>
                <w:b/>
                <w:bCs/>
                <w:sz w:val="17"/>
                <w:szCs w:val="17"/>
              </w:rPr>
            </w:pPr>
            <w:r>
              <w:rPr>
                <w:rFonts w:ascii="Century Gothic" w:hAnsi="Century Gothic"/>
                <w:b/>
                <w:bCs/>
                <w:sz w:val="17"/>
                <w:szCs w:val="17"/>
              </w:rPr>
              <w:t>127825</w:t>
            </w:r>
          </w:p>
        </w:tc>
        <w:tc>
          <w:tcPr>
            <w:tcW w:w="3516" w:type="dxa"/>
            <w:tcBorders>
              <w:left w:val="single" w:color="000000" w:sz="4" w:space="0"/>
              <w:bottom w:val="single" w:color="000000" w:sz="4" w:space="0"/>
            </w:tcBorders>
            <w:vAlign w:val="center"/>
          </w:tcPr>
          <w:p w14:paraId="46629554">
            <w:pPr>
              <w:widowControl w:val="0"/>
              <w:jc w:val="center"/>
              <w:rPr>
                <w:rFonts w:ascii="Century Gothic" w:hAnsi="Century Gothic"/>
                <w:sz w:val="17"/>
                <w:szCs w:val="17"/>
              </w:rPr>
            </w:pPr>
            <w:r>
              <w:rPr>
                <w:rFonts w:ascii="Century Gothic" w:hAnsi="Century Gothic"/>
                <w:sz w:val="17"/>
                <w:szCs w:val="17"/>
              </w:rPr>
              <w:t>Pré-Escola Integral</w:t>
            </w:r>
          </w:p>
        </w:tc>
        <w:tc>
          <w:tcPr>
            <w:tcW w:w="1698" w:type="dxa"/>
            <w:tcBorders>
              <w:left w:val="single" w:color="000000" w:sz="4" w:space="0"/>
              <w:bottom w:val="single" w:color="000000" w:sz="4" w:space="0"/>
            </w:tcBorders>
            <w:vAlign w:val="center"/>
          </w:tcPr>
          <w:p w14:paraId="4F0785AA">
            <w:pPr>
              <w:widowControl w:val="0"/>
              <w:jc w:val="center"/>
              <w:rPr>
                <w:rFonts w:ascii="Century Gothic" w:hAnsi="Century Gothic"/>
                <w:sz w:val="17"/>
                <w:szCs w:val="17"/>
              </w:rPr>
            </w:pPr>
            <w:r>
              <w:rPr>
                <w:rFonts w:ascii="Century Gothic" w:hAnsi="Century Gothic"/>
                <w:sz w:val="17"/>
                <w:szCs w:val="17"/>
              </w:rPr>
              <w:t>Jantar</w:t>
            </w:r>
          </w:p>
        </w:tc>
        <w:tc>
          <w:tcPr>
            <w:tcW w:w="1428" w:type="dxa"/>
            <w:tcBorders>
              <w:left w:val="single" w:color="000000" w:sz="4" w:space="0"/>
              <w:bottom w:val="single" w:color="000000" w:sz="4" w:space="0"/>
            </w:tcBorders>
            <w:vAlign w:val="center"/>
          </w:tcPr>
          <w:p w14:paraId="6E9FB5E7">
            <w:pPr>
              <w:widowControl w:val="0"/>
              <w:jc w:val="center"/>
              <w:rPr>
                <w:rFonts w:ascii="Century Gothic" w:hAnsi="Century Gothic"/>
                <w:sz w:val="17"/>
                <w:szCs w:val="17"/>
              </w:rPr>
            </w:pPr>
            <w:r>
              <w:rPr>
                <w:rFonts w:ascii="Century Gothic" w:hAnsi="Century Gothic"/>
                <w:sz w:val="17"/>
                <w:szCs w:val="17"/>
              </w:rPr>
              <w:t>115600</w:t>
            </w:r>
          </w:p>
        </w:tc>
        <w:tc>
          <w:tcPr>
            <w:tcW w:w="850" w:type="dxa"/>
            <w:tcBorders>
              <w:left w:val="single" w:color="000000" w:sz="4" w:space="0"/>
              <w:bottom w:val="single" w:color="000000" w:sz="4" w:space="0"/>
            </w:tcBorders>
            <w:vAlign w:val="center"/>
          </w:tcPr>
          <w:p w14:paraId="00125562">
            <w:pPr>
              <w:widowControl w:val="0"/>
              <w:jc w:val="center"/>
              <w:rPr>
                <w:rFonts w:ascii="Century Gothic" w:hAnsi="Century Gothic"/>
                <w:sz w:val="17"/>
                <w:szCs w:val="17"/>
              </w:rPr>
            </w:pPr>
            <w:r>
              <w:rPr>
                <w:rFonts w:ascii="Century Gothic" w:hAnsi="Century Gothic"/>
                <w:sz w:val="17"/>
                <w:szCs w:val="17"/>
              </w:rPr>
              <w:t>R$ 5,17</w:t>
            </w:r>
          </w:p>
        </w:tc>
        <w:tc>
          <w:tcPr>
            <w:tcW w:w="1634" w:type="dxa"/>
            <w:gridSpan w:val="2"/>
            <w:tcBorders>
              <w:left w:val="single" w:color="000000" w:sz="4" w:space="0"/>
              <w:bottom w:val="single" w:color="000000" w:sz="4" w:space="0"/>
              <w:right w:val="single" w:color="000000" w:sz="4" w:space="0"/>
            </w:tcBorders>
            <w:vAlign w:val="center"/>
          </w:tcPr>
          <w:p w14:paraId="5A624AD2">
            <w:pPr>
              <w:widowControl w:val="0"/>
              <w:jc w:val="center"/>
              <w:rPr>
                <w:rFonts w:ascii="Century Gothic" w:hAnsi="Century Gothic"/>
                <w:sz w:val="17"/>
                <w:szCs w:val="17"/>
              </w:rPr>
            </w:pPr>
            <w:r>
              <w:rPr>
                <w:rFonts w:ascii="Century Gothic" w:hAnsi="Century Gothic"/>
                <w:sz w:val="17"/>
                <w:szCs w:val="17"/>
              </w:rPr>
              <w:t>R$ 597.652,00</w:t>
            </w:r>
          </w:p>
        </w:tc>
      </w:tr>
      <w:tr w14:paraId="57A5DAEB">
        <w:tblPrEx>
          <w:tblCellMar>
            <w:top w:w="0" w:type="dxa"/>
            <w:left w:w="108" w:type="dxa"/>
            <w:bottom w:w="0" w:type="dxa"/>
            <w:right w:w="108" w:type="dxa"/>
          </w:tblCellMar>
        </w:tblPrEx>
        <w:trPr>
          <w:trHeight w:val="255" w:hRule="atLeast"/>
        </w:trPr>
        <w:tc>
          <w:tcPr>
            <w:tcW w:w="848" w:type="dxa"/>
            <w:gridSpan w:val="2"/>
            <w:tcBorders>
              <w:left w:val="single" w:color="000000" w:sz="4" w:space="0"/>
              <w:bottom w:val="single" w:color="000000" w:sz="4" w:space="0"/>
            </w:tcBorders>
            <w:vAlign w:val="center"/>
          </w:tcPr>
          <w:p w14:paraId="4CEC0C60">
            <w:pPr>
              <w:widowControl w:val="0"/>
              <w:jc w:val="center"/>
              <w:rPr>
                <w:rFonts w:ascii="Century Gothic" w:hAnsi="Century Gothic"/>
                <w:b/>
                <w:bCs/>
                <w:sz w:val="17"/>
                <w:szCs w:val="17"/>
              </w:rPr>
            </w:pPr>
            <w:r>
              <w:rPr>
                <w:rFonts w:ascii="Century Gothic" w:hAnsi="Century Gothic"/>
                <w:b/>
                <w:bCs/>
                <w:sz w:val="17"/>
                <w:szCs w:val="17"/>
              </w:rPr>
              <w:t>127828</w:t>
            </w:r>
          </w:p>
        </w:tc>
        <w:tc>
          <w:tcPr>
            <w:tcW w:w="3516" w:type="dxa"/>
            <w:tcBorders>
              <w:left w:val="single" w:color="000000" w:sz="4" w:space="0"/>
              <w:bottom w:val="single" w:color="000000" w:sz="4" w:space="0"/>
            </w:tcBorders>
            <w:vAlign w:val="center"/>
          </w:tcPr>
          <w:p w14:paraId="16A38AB5">
            <w:pPr>
              <w:widowControl w:val="0"/>
              <w:jc w:val="center"/>
              <w:rPr>
                <w:rFonts w:ascii="Century Gothic" w:hAnsi="Century Gothic"/>
                <w:sz w:val="17"/>
                <w:szCs w:val="17"/>
              </w:rPr>
            </w:pPr>
            <w:r>
              <w:rPr>
                <w:rFonts w:ascii="Century Gothic" w:hAnsi="Century Gothic"/>
                <w:sz w:val="17"/>
                <w:szCs w:val="17"/>
              </w:rPr>
              <w:t>Ensino Fund. Parcial (matutino)</w:t>
            </w:r>
          </w:p>
        </w:tc>
        <w:tc>
          <w:tcPr>
            <w:tcW w:w="1698" w:type="dxa"/>
            <w:tcBorders>
              <w:left w:val="single" w:color="000000" w:sz="4" w:space="0"/>
              <w:bottom w:val="single" w:color="000000" w:sz="4" w:space="0"/>
            </w:tcBorders>
            <w:vAlign w:val="center"/>
          </w:tcPr>
          <w:p w14:paraId="1B0CEE57">
            <w:pPr>
              <w:widowControl w:val="0"/>
              <w:jc w:val="center"/>
              <w:rPr>
                <w:rFonts w:ascii="Century Gothic" w:hAnsi="Century Gothic"/>
                <w:sz w:val="17"/>
                <w:szCs w:val="17"/>
              </w:rPr>
            </w:pPr>
            <w:r>
              <w:rPr>
                <w:rFonts w:ascii="Century Gothic" w:hAnsi="Century Gothic"/>
                <w:sz w:val="17"/>
                <w:szCs w:val="17"/>
              </w:rPr>
              <w:t>Merenda Escolar</w:t>
            </w:r>
          </w:p>
        </w:tc>
        <w:tc>
          <w:tcPr>
            <w:tcW w:w="1428" w:type="dxa"/>
            <w:tcBorders>
              <w:left w:val="single" w:color="000000" w:sz="4" w:space="0"/>
              <w:bottom w:val="single" w:color="000000" w:sz="4" w:space="0"/>
            </w:tcBorders>
            <w:vAlign w:val="center"/>
          </w:tcPr>
          <w:p w14:paraId="5A203601">
            <w:pPr>
              <w:widowControl w:val="0"/>
              <w:jc w:val="center"/>
              <w:rPr>
                <w:rFonts w:ascii="Century Gothic" w:hAnsi="Century Gothic"/>
                <w:sz w:val="17"/>
                <w:szCs w:val="17"/>
              </w:rPr>
            </w:pPr>
            <w:r>
              <w:rPr>
                <w:rFonts w:ascii="Century Gothic" w:hAnsi="Century Gothic"/>
                <w:sz w:val="17"/>
                <w:szCs w:val="17"/>
              </w:rPr>
              <w:t>1958800</w:t>
            </w:r>
          </w:p>
        </w:tc>
        <w:tc>
          <w:tcPr>
            <w:tcW w:w="850" w:type="dxa"/>
            <w:tcBorders>
              <w:left w:val="single" w:color="000000" w:sz="4" w:space="0"/>
              <w:bottom w:val="single" w:color="000000" w:sz="4" w:space="0"/>
            </w:tcBorders>
            <w:vAlign w:val="center"/>
          </w:tcPr>
          <w:p w14:paraId="20C49942">
            <w:pPr>
              <w:widowControl w:val="0"/>
              <w:jc w:val="center"/>
              <w:rPr>
                <w:rFonts w:ascii="Century Gothic" w:hAnsi="Century Gothic"/>
                <w:sz w:val="17"/>
                <w:szCs w:val="17"/>
              </w:rPr>
            </w:pPr>
            <w:r>
              <w:rPr>
                <w:rFonts w:ascii="Century Gothic" w:hAnsi="Century Gothic"/>
                <w:sz w:val="17"/>
                <w:szCs w:val="17"/>
              </w:rPr>
              <w:t>R$ 6,70</w:t>
            </w:r>
          </w:p>
        </w:tc>
        <w:tc>
          <w:tcPr>
            <w:tcW w:w="1634" w:type="dxa"/>
            <w:gridSpan w:val="2"/>
            <w:tcBorders>
              <w:left w:val="single" w:color="000000" w:sz="4" w:space="0"/>
              <w:bottom w:val="single" w:color="000000" w:sz="4" w:space="0"/>
              <w:right w:val="single" w:color="000000" w:sz="4" w:space="0"/>
            </w:tcBorders>
            <w:vAlign w:val="center"/>
          </w:tcPr>
          <w:p w14:paraId="31384B19">
            <w:pPr>
              <w:widowControl w:val="0"/>
              <w:jc w:val="center"/>
              <w:rPr>
                <w:rFonts w:ascii="Century Gothic" w:hAnsi="Century Gothic"/>
                <w:sz w:val="17"/>
                <w:szCs w:val="17"/>
              </w:rPr>
            </w:pPr>
            <w:r>
              <w:rPr>
                <w:rFonts w:ascii="Century Gothic" w:hAnsi="Century Gothic"/>
                <w:sz w:val="17"/>
                <w:szCs w:val="17"/>
              </w:rPr>
              <w:t>R$ 13.123.960,00</w:t>
            </w:r>
          </w:p>
        </w:tc>
      </w:tr>
      <w:tr w14:paraId="349FBCB1">
        <w:tblPrEx>
          <w:tblCellMar>
            <w:top w:w="0" w:type="dxa"/>
            <w:left w:w="108" w:type="dxa"/>
            <w:bottom w:w="0" w:type="dxa"/>
            <w:right w:w="108" w:type="dxa"/>
          </w:tblCellMar>
        </w:tblPrEx>
        <w:trPr>
          <w:trHeight w:val="287" w:hRule="atLeast"/>
        </w:trPr>
        <w:tc>
          <w:tcPr>
            <w:tcW w:w="848" w:type="dxa"/>
            <w:gridSpan w:val="2"/>
            <w:tcBorders>
              <w:left w:val="single" w:color="000000" w:sz="4" w:space="0"/>
              <w:bottom w:val="single" w:color="000000" w:sz="4" w:space="0"/>
            </w:tcBorders>
            <w:vAlign w:val="center"/>
          </w:tcPr>
          <w:p w14:paraId="10CC453D">
            <w:pPr>
              <w:widowControl w:val="0"/>
              <w:jc w:val="center"/>
              <w:rPr>
                <w:rFonts w:ascii="Century Gothic" w:hAnsi="Century Gothic"/>
                <w:b/>
                <w:bCs/>
                <w:sz w:val="17"/>
                <w:szCs w:val="17"/>
              </w:rPr>
            </w:pPr>
            <w:r>
              <w:rPr>
                <w:rFonts w:ascii="Century Gothic" w:hAnsi="Century Gothic"/>
                <w:b/>
                <w:bCs/>
                <w:sz w:val="17"/>
                <w:szCs w:val="17"/>
              </w:rPr>
              <w:t>127829</w:t>
            </w:r>
          </w:p>
        </w:tc>
        <w:tc>
          <w:tcPr>
            <w:tcW w:w="3516" w:type="dxa"/>
            <w:tcBorders>
              <w:left w:val="single" w:color="000000" w:sz="4" w:space="0"/>
              <w:bottom w:val="single" w:color="000000" w:sz="4" w:space="0"/>
            </w:tcBorders>
            <w:vAlign w:val="center"/>
          </w:tcPr>
          <w:p w14:paraId="0788DCCD">
            <w:pPr>
              <w:widowControl w:val="0"/>
              <w:jc w:val="center"/>
              <w:rPr>
                <w:rFonts w:ascii="Century Gothic" w:hAnsi="Century Gothic"/>
                <w:sz w:val="17"/>
                <w:szCs w:val="17"/>
              </w:rPr>
            </w:pPr>
            <w:r>
              <w:rPr>
                <w:rFonts w:ascii="Century Gothic" w:hAnsi="Century Gothic"/>
                <w:sz w:val="17"/>
                <w:szCs w:val="17"/>
              </w:rPr>
              <w:t>Ensino Fund. Parcial (vespertino)</w:t>
            </w:r>
          </w:p>
        </w:tc>
        <w:tc>
          <w:tcPr>
            <w:tcW w:w="1698" w:type="dxa"/>
            <w:tcBorders>
              <w:left w:val="single" w:color="000000" w:sz="4" w:space="0"/>
              <w:bottom w:val="single" w:color="000000" w:sz="4" w:space="0"/>
            </w:tcBorders>
            <w:vAlign w:val="center"/>
          </w:tcPr>
          <w:p w14:paraId="288B5B52">
            <w:pPr>
              <w:widowControl w:val="0"/>
              <w:jc w:val="center"/>
              <w:rPr>
                <w:rFonts w:ascii="Century Gothic" w:hAnsi="Century Gothic"/>
                <w:sz w:val="17"/>
                <w:szCs w:val="17"/>
              </w:rPr>
            </w:pPr>
            <w:r>
              <w:rPr>
                <w:rFonts w:ascii="Century Gothic" w:hAnsi="Century Gothic"/>
                <w:sz w:val="17"/>
                <w:szCs w:val="17"/>
              </w:rPr>
              <w:t>Merenda Escolar</w:t>
            </w:r>
          </w:p>
        </w:tc>
        <w:tc>
          <w:tcPr>
            <w:tcW w:w="1428" w:type="dxa"/>
            <w:tcBorders>
              <w:left w:val="single" w:color="000000" w:sz="4" w:space="0"/>
              <w:bottom w:val="single" w:color="000000" w:sz="4" w:space="0"/>
            </w:tcBorders>
            <w:vAlign w:val="center"/>
          </w:tcPr>
          <w:p w14:paraId="053B3122">
            <w:pPr>
              <w:widowControl w:val="0"/>
              <w:jc w:val="center"/>
              <w:rPr>
                <w:rFonts w:ascii="Century Gothic" w:hAnsi="Century Gothic"/>
                <w:sz w:val="17"/>
                <w:szCs w:val="17"/>
              </w:rPr>
            </w:pPr>
            <w:r>
              <w:rPr>
                <w:rFonts w:ascii="Century Gothic" w:hAnsi="Century Gothic"/>
                <w:sz w:val="17"/>
                <w:szCs w:val="17"/>
              </w:rPr>
              <w:t>1970200</w:t>
            </w:r>
          </w:p>
        </w:tc>
        <w:tc>
          <w:tcPr>
            <w:tcW w:w="850" w:type="dxa"/>
            <w:tcBorders>
              <w:left w:val="single" w:color="000000" w:sz="4" w:space="0"/>
              <w:bottom w:val="single" w:color="000000" w:sz="4" w:space="0"/>
            </w:tcBorders>
            <w:vAlign w:val="center"/>
          </w:tcPr>
          <w:p w14:paraId="4AD89EBF">
            <w:pPr>
              <w:widowControl w:val="0"/>
              <w:jc w:val="center"/>
              <w:rPr>
                <w:rFonts w:ascii="Century Gothic" w:hAnsi="Century Gothic"/>
                <w:sz w:val="17"/>
                <w:szCs w:val="17"/>
              </w:rPr>
            </w:pPr>
            <w:r>
              <w:rPr>
                <w:rFonts w:ascii="Century Gothic" w:hAnsi="Century Gothic"/>
                <w:sz w:val="17"/>
                <w:szCs w:val="17"/>
              </w:rPr>
              <w:t>R$ 6,70</w:t>
            </w:r>
          </w:p>
        </w:tc>
        <w:tc>
          <w:tcPr>
            <w:tcW w:w="1634" w:type="dxa"/>
            <w:gridSpan w:val="2"/>
            <w:tcBorders>
              <w:left w:val="single" w:color="000000" w:sz="4" w:space="0"/>
              <w:bottom w:val="single" w:color="000000" w:sz="4" w:space="0"/>
              <w:right w:val="single" w:color="000000" w:sz="4" w:space="0"/>
            </w:tcBorders>
            <w:vAlign w:val="center"/>
          </w:tcPr>
          <w:p w14:paraId="734EE478">
            <w:pPr>
              <w:widowControl w:val="0"/>
              <w:jc w:val="center"/>
              <w:rPr>
                <w:rFonts w:ascii="Century Gothic" w:hAnsi="Century Gothic"/>
                <w:sz w:val="17"/>
                <w:szCs w:val="17"/>
              </w:rPr>
            </w:pPr>
            <w:r>
              <w:rPr>
                <w:rFonts w:ascii="Century Gothic" w:hAnsi="Century Gothic"/>
                <w:sz w:val="17"/>
                <w:szCs w:val="17"/>
              </w:rPr>
              <w:t>R$ 13.200.340,00</w:t>
            </w:r>
          </w:p>
        </w:tc>
      </w:tr>
      <w:tr w14:paraId="56D09C7C">
        <w:tblPrEx>
          <w:tblCellMar>
            <w:top w:w="0" w:type="dxa"/>
            <w:left w:w="108" w:type="dxa"/>
            <w:bottom w:w="0" w:type="dxa"/>
            <w:right w:w="108" w:type="dxa"/>
          </w:tblCellMar>
        </w:tblPrEx>
        <w:trPr>
          <w:trHeight w:val="288" w:hRule="atLeast"/>
        </w:trPr>
        <w:tc>
          <w:tcPr>
            <w:tcW w:w="848" w:type="dxa"/>
            <w:gridSpan w:val="2"/>
            <w:tcBorders>
              <w:left w:val="single" w:color="000000" w:sz="4" w:space="0"/>
              <w:bottom w:val="single" w:color="000000" w:sz="4" w:space="0"/>
            </w:tcBorders>
            <w:vAlign w:val="center"/>
          </w:tcPr>
          <w:p w14:paraId="6F1697C2">
            <w:pPr>
              <w:widowControl w:val="0"/>
              <w:jc w:val="center"/>
              <w:rPr>
                <w:rFonts w:ascii="Century Gothic" w:hAnsi="Century Gothic"/>
                <w:b/>
                <w:bCs/>
                <w:sz w:val="17"/>
                <w:szCs w:val="17"/>
              </w:rPr>
            </w:pPr>
            <w:r>
              <w:rPr>
                <w:rFonts w:ascii="Century Gothic" w:hAnsi="Century Gothic"/>
                <w:b/>
                <w:bCs/>
                <w:sz w:val="17"/>
                <w:szCs w:val="17"/>
              </w:rPr>
              <w:t>127830</w:t>
            </w:r>
          </w:p>
        </w:tc>
        <w:tc>
          <w:tcPr>
            <w:tcW w:w="3516" w:type="dxa"/>
            <w:tcBorders>
              <w:left w:val="single" w:color="000000" w:sz="4" w:space="0"/>
              <w:bottom w:val="single" w:color="000000" w:sz="4" w:space="0"/>
            </w:tcBorders>
            <w:vAlign w:val="center"/>
          </w:tcPr>
          <w:p w14:paraId="50C8D5ED">
            <w:pPr>
              <w:widowControl w:val="0"/>
              <w:jc w:val="center"/>
              <w:rPr>
                <w:rFonts w:ascii="Century Gothic" w:hAnsi="Century Gothic"/>
                <w:sz w:val="17"/>
                <w:szCs w:val="17"/>
              </w:rPr>
            </w:pPr>
            <w:r>
              <w:rPr>
                <w:rFonts w:ascii="Century Gothic" w:hAnsi="Century Gothic"/>
                <w:sz w:val="17"/>
                <w:szCs w:val="17"/>
              </w:rPr>
              <w:t>Ensino Fundamental Integral</w:t>
            </w:r>
          </w:p>
        </w:tc>
        <w:tc>
          <w:tcPr>
            <w:tcW w:w="1698" w:type="dxa"/>
            <w:tcBorders>
              <w:left w:val="single" w:color="000000" w:sz="4" w:space="0"/>
              <w:bottom w:val="single" w:color="000000" w:sz="4" w:space="0"/>
            </w:tcBorders>
            <w:vAlign w:val="center"/>
          </w:tcPr>
          <w:p w14:paraId="43C3C707">
            <w:pPr>
              <w:widowControl w:val="0"/>
              <w:jc w:val="center"/>
              <w:rPr>
                <w:rFonts w:ascii="Century Gothic" w:hAnsi="Century Gothic"/>
                <w:sz w:val="17"/>
                <w:szCs w:val="17"/>
              </w:rPr>
            </w:pPr>
            <w:r>
              <w:rPr>
                <w:rFonts w:ascii="Century Gothic" w:hAnsi="Century Gothic"/>
                <w:sz w:val="17"/>
                <w:szCs w:val="17"/>
              </w:rPr>
              <w:t>Café da Manhã</w:t>
            </w:r>
          </w:p>
        </w:tc>
        <w:tc>
          <w:tcPr>
            <w:tcW w:w="1428" w:type="dxa"/>
            <w:tcBorders>
              <w:left w:val="single" w:color="000000" w:sz="4" w:space="0"/>
              <w:bottom w:val="single" w:color="000000" w:sz="4" w:space="0"/>
            </w:tcBorders>
            <w:vAlign w:val="center"/>
          </w:tcPr>
          <w:p w14:paraId="48B740E4">
            <w:pPr>
              <w:widowControl w:val="0"/>
              <w:jc w:val="center"/>
              <w:rPr>
                <w:rFonts w:ascii="Century Gothic" w:hAnsi="Century Gothic"/>
                <w:sz w:val="17"/>
                <w:szCs w:val="17"/>
              </w:rPr>
            </w:pPr>
            <w:r>
              <w:rPr>
                <w:rFonts w:ascii="Century Gothic" w:hAnsi="Century Gothic"/>
                <w:sz w:val="17"/>
                <w:szCs w:val="17"/>
              </w:rPr>
              <w:t>51000</w:t>
            </w:r>
          </w:p>
        </w:tc>
        <w:tc>
          <w:tcPr>
            <w:tcW w:w="850" w:type="dxa"/>
            <w:tcBorders>
              <w:left w:val="single" w:color="000000" w:sz="4" w:space="0"/>
              <w:bottom w:val="single" w:color="000000" w:sz="4" w:space="0"/>
            </w:tcBorders>
            <w:vAlign w:val="center"/>
          </w:tcPr>
          <w:p w14:paraId="39415381">
            <w:pPr>
              <w:widowControl w:val="0"/>
              <w:jc w:val="center"/>
              <w:rPr>
                <w:rFonts w:ascii="Century Gothic" w:hAnsi="Century Gothic"/>
                <w:sz w:val="17"/>
                <w:szCs w:val="17"/>
              </w:rPr>
            </w:pPr>
            <w:r>
              <w:rPr>
                <w:rFonts w:ascii="Century Gothic" w:hAnsi="Century Gothic"/>
                <w:sz w:val="17"/>
                <w:szCs w:val="17"/>
              </w:rPr>
              <w:t>R$ 6,02</w:t>
            </w:r>
          </w:p>
        </w:tc>
        <w:tc>
          <w:tcPr>
            <w:tcW w:w="1634" w:type="dxa"/>
            <w:gridSpan w:val="2"/>
            <w:tcBorders>
              <w:left w:val="single" w:color="000000" w:sz="4" w:space="0"/>
              <w:bottom w:val="single" w:color="000000" w:sz="4" w:space="0"/>
              <w:right w:val="single" w:color="000000" w:sz="4" w:space="0"/>
            </w:tcBorders>
            <w:vAlign w:val="center"/>
          </w:tcPr>
          <w:p w14:paraId="1A2D4C30">
            <w:pPr>
              <w:widowControl w:val="0"/>
              <w:jc w:val="center"/>
              <w:rPr>
                <w:rFonts w:ascii="Century Gothic" w:hAnsi="Century Gothic"/>
                <w:sz w:val="17"/>
                <w:szCs w:val="17"/>
              </w:rPr>
            </w:pPr>
            <w:r>
              <w:rPr>
                <w:rFonts w:ascii="Century Gothic" w:hAnsi="Century Gothic"/>
                <w:sz w:val="17"/>
                <w:szCs w:val="17"/>
              </w:rPr>
              <w:t>R$ 307.020,00</w:t>
            </w:r>
          </w:p>
        </w:tc>
      </w:tr>
      <w:tr w14:paraId="26614A1F">
        <w:tblPrEx>
          <w:tblCellMar>
            <w:top w:w="0" w:type="dxa"/>
            <w:left w:w="108" w:type="dxa"/>
            <w:bottom w:w="0" w:type="dxa"/>
            <w:right w:w="108" w:type="dxa"/>
          </w:tblCellMar>
        </w:tblPrEx>
        <w:trPr>
          <w:trHeight w:val="338" w:hRule="atLeast"/>
        </w:trPr>
        <w:tc>
          <w:tcPr>
            <w:tcW w:w="848" w:type="dxa"/>
            <w:gridSpan w:val="2"/>
            <w:tcBorders>
              <w:left w:val="single" w:color="000000" w:sz="4" w:space="0"/>
              <w:bottom w:val="single" w:color="000000" w:sz="4" w:space="0"/>
            </w:tcBorders>
            <w:vAlign w:val="center"/>
          </w:tcPr>
          <w:p w14:paraId="1C103317">
            <w:pPr>
              <w:widowControl w:val="0"/>
              <w:jc w:val="center"/>
              <w:rPr>
                <w:rFonts w:ascii="Century Gothic" w:hAnsi="Century Gothic"/>
                <w:b/>
                <w:bCs/>
                <w:sz w:val="17"/>
                <w:szCs w:val="17"/>
              </w:rPr>
            </w:pPr>
            <w:r>
              <w:rPr>
                <w:rFonts w:ascii="Century Gothic" w:hAnsi="Century Gothic"/>
                <w:b/>
                <w:bCs/>
                <w:sz w:val="17"/>
                <w:szCs w:val="17"/>
              </w:rPr>
              <w:t>127831</w:t>
            </w:r>
          </w:p>
        </w:tc>
        <w:tc>
          <w:tcPr>
            <w:tcW w:w="3516" w:type="dxa"/>
            <w:tcBorders>
              <w:left w:val="single" w:color="000000" w:sz="4" w:space="0"/>
              <w:bottom w:val="single" w:color="000000" w:sz="4" w:space="0"/>
            </w:tcBorders>
            <w:vAlign w:val="center"/>
          </w:tcPr>
          <w:p w14:paraId="3484BE5E">
            <w:pPr>
              <w:widowControl w:val="0"/>
              <w:jc w:val="center"/>
              <w:rPr>
                <w:rFonts w:ascii="Century Gothic" w:hAnsi="Century Gothic"/>
                <w:sz w:val="17"/>
                <w:szCs w:val="17"/>
              </w:rPr>
            </w:pPr>
            <w:r>
              <w:rPr>
                <w:rFonts w:ascii="Century Gothic" w:hAnsi="Century Gothic"/>
                <w:sz w:val="17"/>
                <w:szCs w:val="17"/>
              </w:rPr>
              <w:t>Ensino Fundamental Integral</w:t>
            </w:r>
          </w:p>
        </w:tc>
        <w:tc>
          <w:tcPr>
            <w:tcW w:w="1698" w:type="dxa"/>
            <w:tcBorders>
              <w:left w:val="single" w:color="000000" w:sz="4" w:space="0"/>
              <w:bottom w:val="single" w:color="000000" w:sz="4" w:space="0"/>
            </w:tcBorders>
            <w:vAlign w:val="center"/>
          </w:tcPr>
          <w:p w14:paraId="6387DAC9">
            <w:pPr>
              <w:widowControl w:val="0"/>
              <w:jc w:val="center"/>
              <w:rPr>
                <w:rFonts w:ascii="Century Gothic" w:hAnsi="Century Gothic"/>
                <w:sz w:val="17"/>
                <w:szCs w:val="17"/>
              </w:rPr>
            </w:pPr>
            <w:r>
              <w:rPr>
                <w:rFonts w:ascii="Century Gothic" w:hAnsi="Century Gothic"/>
                <w:sz w:val="17"/>
                <w:szCs w:val="17"/>
              </w:rPr>
              <w:t>Almoço</w:t>
            </w:r>
          </w:p>
        </w:tc>
        <w:tc>
          <w:tcPr>
            <w:tcW w:w="1428" w:type="dxa"/>
            <w:tcBorders>
              <w:left w:val="single" w:color="000000" w:sz="4" w:space="0"/>
              <w:bottom w:val="single" w:color="000000" w:sz="4" w:space="0"/>
            </w:tcBorders>
            <w:vAlign w:val="center"/>
          </w:tcPr>
          <w:p w14:paraId="6DE14B86">
            <w:pPr>
              <w:widowControl w:val="0"/>
              <w:jc w:val="center"/>
              <w:rPr>
                <w:rFonts w:ascii="Century Gothic" w:hAnsi="Century Gothic"/>
                <w:sz w:val="17"/>
                <w:szCs w:val="17"/>
              </w:rPr>
            </w:pPr>
            <w:r>
              <w:rPr>
                <w:rFonts w:ascii="Century Gothic" w:hAnsi="Century Gothic"/>
                <w:sz w:val="17"/>
                <w:szCs w:val="17"/>
              </w:rPr>
              <w:t>51000</w:t>
            </w:r>
          </w:p>
        </w:tc>
        <w:tc>
          <w:tcPr>
            <w:tcW w:w="850" w:type="dxa"/>
            <w:tcBorders>
              <w:left w:val="single" w:color="000000" w:sz="4" w:space="0"/>
              <w:bottom w:val="single" w:color="000000" w:sz="4" w:space="0"/>
            </w:tcBorders>
            <w:vAlign w:val="center"/>
          </w:tcPr>
          <w:p w14:paraId="771B5334">
            <w:pPr>
              <w:widowControl w:val="0"/>
              <w:jc w:val="center"/>
              <w:rPr>
                <w:rFonts w:ascii="Century Gothic" w:hAnsi="Century Gothic"/>
                <w:sz w:val="17"/>
                <w:szCs w:val="17"/>
              </w:rPr>
            </w:pPr>
            <w:r>
              <w:rPr>
                <w:rFonts w:ascii="Century Gothic" w:hAnsi="Century Gothic"/>
                <w:sz w:val="17"/>
                <w:szCs w:val="17"/>
              </w:rPr>
              <w:t>R$ 5,98</w:t>
            </w:r>
          </w:p>
        </w:tc>
        <w:tc>
          <w:tcPr>
            <w:tcW w:w="1634" w:type="dxa"/>
            <w:gridSpan w:val="2"/>
            <w:tcBorders>
              <w:left w:val="single" w:color="000000" w:sz="4" w:space="0"/>
              <w:bottom w:val="single" w:color="000000" w:sz="4" w:space="0"/>
              <w:right w:val="single" w:color="000000" w:sz="4" w:space="0"/>
            </w:tcBorders>
            <w:vAlign w:val="center"/>
          </w:tcPr>
          <w:p w14:paraId="6E53F816">
            <w:pPr>
              <w:widowControl w:val="0"/>
              <w:jc w:val="center"/>
              <w:rPr>
                <w:rFonts w:ascii="Century Gothic" w:hAnsi="Century Gothic"/>
                <w:sz w:val="17"/>
                <w:szCs w:val="17"/>
              </w:rPr>
            </w:pPr>
            <w:r>
              <w:rPr>
                <w:rFonts w:ascii="Century Gothic" w:hAnsi="Century Gothic"/>
                <w:sz w:val="17"/>
                <w:szCs w:val="17"/>
              </w:rPr>
              <w:t>R$ 304.980,00</w:t>
            </w:r>
          </w:p>
        </w:tc>
      </w:tr>
      <w:tr w14:paraId="27E31108">
        <w:tblPrEx>
          <w:tblCellMar>
            <w:top w:w="0" w:type="dxa"/>
            <w:left w:w="108" w:type="dxa"/>
            <w:bottom w:w="0" w:type="dxa"/>
            <w:right w:w="108" w:type="dxa"/>
          </w:tblCellMar>
        </w:tblPrEx>
        <w:trPr>
          <w:trHeight w:val="287" w:hRule="atLeast"/>
        </w:trPr>
        <w:tc>
          <w:tcPr>
            <w:tcW w:w="848" w:type="dxa"/>
            <w:gridSpan w:val="2"/>
            <w:tcBorders>
              <w:left w:val="single" w:color="000000" w:sz="4" w:space="0"/>
              <w:bottom w:val="single" w:color="000000" w:sz="4" w:space="0"/>
            </w:tcBorders>
            <w:vAlign w:val="center"/>
          </w:tcPr>
          <w:p w14:paraId="7D6550EA">
            <w:pPr>
              <w:widowControl w:val="0"/>
              <w:jc w:val="center"/>
              <w:rPr>
                <w:rFonts w:ascii="Century Gothic" w:hAnsi="Century Gothic"/>
                <w:b/>
                <w:bCs/>
                <w:sz w:val="17"/>
                <w:szCs w:val="17"/>
              </w:rPr>
            </w:pPr>
            <w:r>
              <w:rPr>
                <w:rFonts w:ascii="Century Gothic" w:hAnsi="Century Gothic"/>
                <w:b/>
                <w:bCs/>
                <w:sz w:val="17"/>
                <w:szCs w:val="17"/>
              </w:rPr>
              <w:t>127832</w:t>
            </w:r>
          </w:p>
        </w:tc>
        <w:tc>
          <w:tcPr>
            <w:tcW w:w="3516" w:type="dxa"/>
            <w:tcBorders>
              <w:left w:val="single" w:color="000000" w:sz="4" w:space="0"/>
              <w:bottom w:val="single" w:color="000000" w:sz="4" w:space="0"/>
            </w:tcBorders>
            <w:vAlign w:val="center"/>
          </w:tcPr>
          <w:p w14:paraId="32DE100D">
            <w:pPr>
              <w:widowControl w:val="0"/>
              <w:jc w:val="center"/>
              <w:rPr>
                <w:rFonts w:ascii="Century Gothic" w:hAnsi="Century Gothic"/>
                <w:sz w:val="17"/>
                <w:szCs w:val="17"/>
              </w:rPr>
            </w:pPr>
            <w:r>
              <w:rPr>
                <w:rFonts w:ascii="Century Gothic" w:hAnsi="Century Gothic"/>
                <w:sz w:val="17"/>
                <w:szCs w:val="17"/>
              </w:rPr>
              <w:t>Ensino Fundamental Integral</w:t>
            </w:r>
          </w:p>
        </w:tc>
        <w:tc>
          <w:tcPr>
            <w:tcW w:w="1698" w:type="dxa"/>
            <w:tcBorders>
              <w:left w:val="single" w:color="000000" w:sz="4" w:space="0"/>
              <w:bottom w:val="single" w:color="000000" w:sz="4" w:space="0"/>
            </w:tcBorders>
            <w:vAlign w:val="center"/>
          </w:tcPr>
          <w:p w14:paraId="0C1AA40F">
            <w:pPr>
              <w:widowControl w:val="0"/>
              <w:jc w:val="center"/>
              <w:rPr>
                <w:rFonts w:ascii="Century Gothic" w:hAnsi="Century Gothic"/>
                <w:sz w:val="17"/>
                <w:szCs w:val="17"/>
              </w:rPr>
            </w:pPr>
            <w:r>
              <w:rPr>
                <w:rFonts w:ascii="Century Gothic" w:hAnsi="Century Gothic"/>
                <w:sz w:val="17"/>
                <w:szCs w:val="17"/>
              </w:rPr>
              <w:t>Lanche</w:t>
            </w:r>
          </w:p>
        </w:tc>
        <w:tc>
          <w:tcPr>
            <w:tcW w:w="1428" w:type="dxa"/>
            <w:tcBorders>
              <w:left w:val="single" w:color="000000" w:sz="4" w:space="0"/>
              <w:bottom w:val="single" w:color="000000" w:sz="4" w:space="0"/>
            </w:tcBorders>
            <w:vAlign w:val="center"/>
          </w:tcPr>
          <w:p w14:paraId="7514850D">
            <w:pPr>
              <w:widowControl w:val="0"/>
              <w:jc w:val="center"/>
              <w:rPr>
                <w:rFonts w:ascii="Century Gothic" w:hAnsi="Century Gothic"/>
                <w:sz w:val="17"/>
                <w:szCs w:val="17"/>
              </w:rPr>
            </w:pPr>
            <w:r>
              <w:rPr>
                <w:rFonts w:ascii="Century Gothic" w:hAnsi="Century Gothic"/>
                <w:sz w:val="17"/>
                <w:szCs w:val="17"/>
              </w:rPr>
              <w:t>51000</w:t>
            </w:r>
          </w:p>
        </w:tc>
        <w:tc>
          <w:tcPr>
            <w:tcW w:w="850" w:type="dxa"/>
            <w:tcBorders>
              <w:left w:val="single" w:color="000000" w:sz="4" w:space="0"/>
              <w:bottom w:val="single" w:color="000000" w:sz="4" w:space="0"/>
            </w:tcBorders>
            <w:vAlign w:val="center"/>
          </w:tcPr>
          <w:p w14:paraId="2F412701">
            <w:pPr>
              <w:widowControl w:val="0"/>
              <w:jc w:val="center"/>
              <w:rPr>
                <w:rFonts w:ascii="Century Gothic" w:hAnsi="Century Gothic"/>
                <w:sz w:val="17"/>
                <w:szCs w:val="17"/>
              </w:rPr>
            </w:pPr>
            <w:r>
              <w:rPr>
                <w:rFonts w:ascii="Century Gothic" w:hAnsi="Century Gothic"/>
                <w:sz w:val="17"/>
                <w:szCs w:val="17"/>
              </w:rPr>
              <w:t>R$ 6,02</w:t>
            </w:r>
          </w:p>
        </w:tc>
        <w:tc>
          <w:tcPr>
            <w:tcW w:w="1634" w:type="dxa"/>
            <w:gridSpan w:val="2"/>
            <w:tcBorders>
              <w:left w:val="single" w:color="000000" w:sz="4" w:space="0"/>
              <w:bottom w:val="single" w:color="000000" w:sz="4" w:space="0"/>
              <w:right w:val="single" w:color="000000" w:sz="4" w:space="0"/>
            </w:tcBorders>
            <w:vAlign w:val="center"/>
          </w:tcPr>
          <w:p w14:paraId="71821EC3">
            <w:pPr>
              <w:widowControl w:val="0"/>
              <w:jc w:val="center"/>
              <w:rPr>
                <w:rFonts w:ascii="Century Gothic" w:hAnsi="Century Gothic"/>
                <w:sz w:val="17"/>
                <w:szCs w:val="17"/>
              </w:rPr>
            </w:pPr>
            <w:r>
              <w:rPr>
                <w:rFonts w:ascii="Century Gothic" w:hAnsi="Century Gothic"/>
                <w:sz w:val="17"/>
                <w:szCs w:val="17"/>
              </w:rPr>
              <w:t>R$ 307.020,00</w:t>
            </w:r>
          </w:p>
        </w:tc>
      </w:tr>
      <w:tr w14:paraId="2A32CDB1">
        <w:tblPrEx>
          <w:tblCellMar>
            <w:top w:w="0" w:type="dxa"/>
            <w:left w:w="108" w:type="dxa"/>
            <w:bottom w:w="0" w:type="dxa"/>
            <w:right w:w="108" w:type="dxa"/>
          </w:tblCellMar>
        </w:tblPrEx>
        <w:trPr>
          <w:trHeight w:val="338" w:hRule="atLeast"/>
        </w:trPr>
        <w:tc>
          <w:tcPr>
            <w:tcW w:w="848" w:type="dxa"/>
            <w:gridSpan w:val="2"/>
            <w:tcBorders>
              <w:left w:val="single" w:color="000000" w:sz="4" w:space="0"/>
              <w:bottom w:val="single" w:color="000000" w:sz="4" w:space="0"/>
            </w:tcBorders>
            <w:vAlign w:val="center"/>
          </w:tcPr>
          <w:p w14:paraId="4D1132DA">
            <w:pPr>
              <w:widowControl w:val="0"/>
              <w:jc w:val="center"/>
              <w:rPr>
                <w:rFonts w:ascii="Century Gothic" w:hAnsi="Century Gothic"/>
                <w:b/>
                <w:bCs/>
                <w:sz w:val="17"/>
                <w:szCs w:val="17"/>
              </w:rPr>
            </w:pPr>
            <w:r>
              <w:rPr>
                <w:rFonts w:ascii="Century Gothic" w:hAnsi="Century Gothic"/>
                <w:b/>
                <w:bCs/>
                <w:sz w:val="17"/>
                <w:szCs w:val="17"/>
              </w:rPr>
              <w:t>127833</w:t>
            </w:r>
          </w:p>
        </w:tc>
        <w:tc>
          <w:tcPr>
            <w:tcW w:w="3516" w:type="dxa"/>
            <w:tcBorders>
              <w:left w:val="single" w:color="000000" w:sz="4" w:space="0"/>
              <w:bottom w:val="single" w:color="000000" w:sz="4" w:space="0"/>
            </w:tcBorders>
            <w:vAlign w:val="center"/>
          </w:tcPr>
          <w:p w14:paraId="27D8B1F5">
            <w:pPr>
              <w:widowControl w:val="0"/>
              <w:jc w:val="center"/>
              <w:rPr>
                <w:rFonts w:ascii="Century Gothic" w:hAnsi="Century Gothic"/>
                <w:sz w:val="17"/>
                <w:szCs w:val="17"/>
              </w:rPr>
            </w:pPr>
            <w:r>
              <w:rPr>
                <w:rFonts w:ascii="Century Gothic" w:hAnsi="Century Gothic"/>
                <w:sz w:val="17"/>
                <w:szCs w:val="17"/>
              </w:rPr>
              <w:t>Ensino Fundamental Integral</w:t>
            </w:r>
          </w:p>
        </w:tc>
        <w:tc>
          <w:tcPr>
            <w:tcW w:w="1698" w:type="dxa"/>
            <w:tcBorders>
              <w:left w:val="single" w:color="000000" w:sz="4" w:space="0"/>
              <w:bottom w:val="single" w:color="000000" w:sz="4" w:space="0"/>
            </w:tcBorders>
            <w:vAlign w:val="center"/>
          </w:tcPr>
          <w:p w14:paraId="3F2FD8E6">
            <w:pPr>
              <w:widowControl w:val="0"/>
              <w:jc w:val="center"/>
              <w:rPr>
                <w:rFonts w:ascii="Century Gothic" w:hAnsi="Century Gothic"/>
                <w:sz w:val="17"/>
                <w:szCs w:val="17"/>
              </w:rPr>
            </w:pPr>
            <w:r>
              <w:rPr>
                <w:rFonts w:ascii="Century Gothic" w:hAnsi="Century Gothic"/>
                <w:sz w:val="17"/>
                <w:szCs w:val="17"/>
              </w:rPr>
              <w:t>Jantar</w:t>
            </w:r>
          </w:p>
        </w:tc>
        <w:tc>
          <w:tcPr>
            <w:tcW w:w="1428" w:type="dxa"/>
            <w:tcBorders>
              <w:left w:val="single" w:color="000000" w:sz="4" w:space="0"/>
              <w:bottom w:val="single" w:color="000000" w:sz="4" w:space="0"/>
            </w:tcBorders>
            <w:vAlign w:val="center"/>
          </w:tcPr>
          <w:p w14:paraId="29A0C1AE">
            <w:pPr>
              <w:widowControl w:val="0"/>
              <w:jc w:val="center"/>
              <w:rPr>
                <w:rFonts w:ascii="Century Gothic" w:hAnsi="Century Gothic"/>
                <w:sz w:val="17"/>
                <w:szCs w:val="17"/>
              </w:rPr>
            </w:pPr>
            <w:r>
              <w:rPr>
                <w:rFonts w:ascii="Century Gothic" w:hAnsi="Century Gothic"/>
                <w:sz w:val="17"/>
                <w:szCs w:val="17"/>
              </w:rPr>
              <w:t>51000</w:t>
            </w:r>
          </w:p>
        </w:tc>
        <w:tc>
          <w:tcPr>
            <w:tcW w:w="850" w:type="dxa"/>
            <w:tcBorders>
              <w:left w:val="single" w:color="000000" w:sz="4" w:space="0"/>
              <w:bottom w:val="single" w:color="000000" w:sz="4" w:space="0"/>
            </w:tcBorders>
            <w:vAlign w:val="center"/>
          </w:tcPr>
          <w:p w14:paraId="1732E6B0">
            <w:pPr>
              <w:widowControl w:val="0"/>
              <w:jc w:val="center"/>
              <w:rPr>
                <w:rFonts w:ascii="Century Gothic" w:hAnsi="Century Gothic"/>
                <w:sz w:val="17"/>
                <w:szCs w:val="17"/>
              </w:rPr>
            </w:pPr>
            <w:r>
              <w:rPr>
                <w:rFonts w:ascii="Century Gothic" w:hAnsi="Century Gothic"/>
                <w:sz w:val="17"/>
                <w:szCs w:val="17"/>
              </w:rPr>
              <w:t>R$ 5,98</w:t>
            </w:r>
          </w:p>
        </w:tc>
        <w:tc>
          <w:tcPr>
            <w:tcW w:w="1634" w:type="dxa"/>
            <w:gridSpan w:val="2"/>
            <w:tcBorders>
              <w:left w:val="single" w:color="000000" w:sz="4" w:space="0"/>
              <w:bottom w:val="single" w:color="000000" w:sz="4" w:space="0"/>
              <w:right w:val="single" w:color="000000" w:sz="4" w:space="0"/>
            </w:tcBorders>
            <w:vAlign w:val="center"/>
          </w:tcPr>
          <w:p w14:paraId="16C8A370">
            <w:pPr>
              <w:widowControl w:val="0"/>
              <w:jc w:val="center"/>
              <w:rPr>
                <w:rFonts w:ascii="Century Gothic" w:hAnsi="Century Gothic"/>
                <w:sz w:val="17"/>
                <w:szCs w:val="17"/>
              </w:rPr>
            </w:pPr>
            <w:r>
              <w:rPr>
                <w:rFonts w:ascii="Century Gothic" w:hAnsi="Century Gothic"/>
                <w:sz w:val="17"/>
                <w:szCs w:val="17"/>
              </w:rPr>
              <w:t>R$ 304.980,00</w:t>
            </w:r>
          </w:p>
        </w:tc>
      </w:tr>
      <w:tr w14:paraId="733D9FC7">
        <w:tblPrEx>
          <w:tblCellMar>
            <w:top w:w="0" w:type="dxa"/>
            <w:left w:w="108" w:type="dxa"/>
            <w:bottom w:w="0" w:type="dxa"/>
            <w:right w:w="108" w:type="dxa"/>
          </w:tblCellMar>
        </w:tblPrEx>
        <w:trPr>
          <w:trHeight w:val="288" w:hRule="atLeast"/>
        </w:trPr>
        <w:tc>
          <w:tcPr>
            <w:tcW w:w="848" w:type="dxa"/>
            <w:gridSpan w:val="2"/>
            <w:tcBorders>
              <w:left w:val="single" w:color="000000" w:sz="4" w:space="0"/>
              <w:bottom w:val="single" w:color="000000" w:sz="4" w:space="0"/>
            </w:tcBorders>
            <w:vAlign w:val="center"/>
          </w:tcPr>
          <w:p w14:paraId="7A09B625">
            <w:pPr>
              <w:widowControl w:val="0"/>
              <w:jc w:val="center"/>
              <w:rPr>
                <w:rFonts w:ascii="Century Gothic" w:hAnsi="Century Gothic"/>
                <w:b/>
                <w:bCs/>
                <w:sz w:val="17"/>
                <w:szCs w:val="17"/>
              </w:rPr>
            </w:pPr>
            <w:r>
              <w:rPr>
                <w:rFonts w:ascii="Century Gothic" w:hAnsi="Century Gothic"/>
                <w:b/>
                <w:bCs/>
                <w:sz w:val="17"/>
                <w:szCs w:val="17"/>
              </w:rPr>
              <w:t>127834</w:t>
            </w:r>
          </w:p>
        </w:tc>
        <w:tc>
          <w:tcPr>
            <w:tcW w:w="3516" w:type="dxa"/>
            <w:tcBorders>
              <w:left w:val="single" w:color="000000" w:sz="4" w:space="0"/>
              <w:bottom w:val="single" w:color="000000" w:sz="4" w:space="0"/>
            </w:tcBorders>
            <w:vAlign w:val="center"/>
          </w:tcPr>
          <w:p w14:paraId="619DA825">
            <w:pPr>
              <w:widowControl w:val="0"/>
              <w:jc w:val="center"/>
              <w:rPr>
                <w:rFonts w:ascii="Century Gothic" w:hAnsi="Century Gothic"/>
                <w:sz w:val="17"/>
                <w:szCs w:val="17"/>
              </w:rPr>
            </w:pPr>
            <w:r>
              <w:rPr>
                <w:rFonts w:ascii="Century Gothic" w:hAnsi="Century Gothic"/>
                <w:sz w:val="17"/>
                <w:szCs w:val="17"/>
              </w:rPr>
              <w:t>EJA – Educação de Jovens e Adultos</w:t>
            </w:r>
          </w:p>
        </w:tc>
        <w:tc>
          <w:tcPr>
            <w:tcW w:w="1698" w:type="dxa"/>
            <w:tcBorders>
              <w:left w:val="single" w:color="000000" w:sz="4" w:space="0"/>
              <w:bottom w:val="single" w:color="000000" w:sz="4" w:space="0"/>
            </w:tcBorders>
            <w:vAlign w:val="center"/>
          </w:tcPr>
          <w:p w14:paraId="78487346">
            <w:pPr>
              <w:widowControl w:val="0"/>
              <w:jc w:val="center"/>
              <w:rPr>
                <w:rFonts w:ascii="Century Gothic" w:hAnsi="Century Gothic"/>
                <w:sz w:val="17"/>
                <w:szCs w:val="17"/>
              </w:rPr>
            </w:pPr>
            <w:r>
              <w:rPr>
                <w:rFonts w:ascii="Century Gothic" w:hAnsi="Century Gothic"/>
                <w:sz w:val="17"/>
                <w:szCs w:val="17"/>
              </w:rPr>
              <w:t>Lanche Noturno</w:t>
            </w:r>
          </w:p>
        </w:tc>
        <w:tc>
          <w:tcPr>
            <w:tcW w:w="1428" w:type="dxa"/>
            <w:tcBorders>
              <w:left w:val="single" w:color="000000" w:sz="4" w:space="0"/>
              <w:bottom w:val="single" w:color="000000" w:sz="4" w:space="0"/>
            </w:tcBorders>
            <w:vAlign w:val="center"/>
          </w:tcPr>
          <w:p w14:paraId="0E7B2A7C">
            <w:pPr>
              <w:widowControl w:val="0"/>
              <w:jc w:val="center"/>
              <w:rPr>
                <w:rFonts w:ascii="Century Gothic" w:hAnsi="Century Gothic"/>
                <w:sz w:val="17"/>
                <w:szCs w:val="17"/>
              </w:rPr>
            </w:pPr>
            <w:r>
              <w:rPr>
                <w:rFonts w:ascii="Century Gothic" w:hAnsi="Century Gothic"/>
                <w:sz w:val="17"/>
                <w:szCs w:val="17"/>
              </w:rPr>
              <w:t>79200</w:t>
            </w:r>
          </w:p>
        </w:tc>
        <w:tc>
          <w:tcPr>
            <w:tcW w:w="850" w:type="dxa"/>
            <w:tcBorders>
              <w:left w:val="single" w:color="000000" w:sz="4" w:space="0"/>
              <w:bottom w:val="single" w:color="000000" w:sz="4" w:space="0"/>
            </w:tcBorders>
            <w:vAlign w:val="center"/>
          </w:tcPr>
          <w:p w14:paraId="261999CF">
            <w:pPr>
              <w:widowControl w:val="0"/>
              <w:jc w:val="center"/>
              <w:rPr>
                <w:rFonts w:ascii="Century Gothic" w:hAnsi="Century Gothic"/>
                <w:sz w:val="17"/>
                <w:szCs w:val="17"/>
              </w:rPr>
            </w:pPr>
            <w:r>
              <w:rPr>
                <w:rFonts w:ascii="Century Gothic" w:hAnsi="Century Gothic"/>
                <w:sz w:val="17"/>
                <w:szCs w:val="17"/>
              </w:rPr>
              <w:t>R$ 6,13</w:t>
            </w:r>
          </w:p>
        </w:tc>
        <w:tc>
          <w:tcPr>
            <w:tcW w:w="1634" w:type="dxa"/>
            <w:gridSpan w:val="2"/>
            <w:tcBorders>
              <w:left w:val="single" w:color="000000" w:sz="4" w:space="0"/>
              <w:bottom w:val="single" w:color="000000" w:sz="4" w:space="0"/>
              <w:right w:val="single" w:color="000000" w:sz="4" w:space="0"/>
            </w:tcBorders>
            <w:vAlign w:val="center"/>
          </w:tcPr>
          <w:p w14:paraId="3F2E6DF8">
            <w:pPr>
              <w:widowControl w:val="0"/>
              <w:jc w:val="center"/>
              <w:rPr>
                <w:rFonts w:ascii="Century Gothic" w:hAnsi="Century Gothic"/>
                <w:sz w:val="17"/>
                <w:szCs w:val="17"/>
              </w:rPr>
            </w:pPr>
            <w:r>
              <w:rPr>
                <w:rFonts w:ascii="Century Gothic" w:hAnsi="Century Gothic"/>
                <w:sz w:val="17"/>
                <w:szCs w:val="17"/>
              </w:rPr>
              <w:t>R$ 485.496,00</w:t>
            </w:r>
          </w:p>
        </w:tc>
      </w:tr>
      <w:tr w14:paraId="3ADDD93D">
        <w:tblPrEx>
          <w:tblCellMar>
            <w:top w:w="0" w:type="dxa"/>
            <w:left w:w="108" w:type="dxa"/>
            <w:bottom w:w="0" w:type="dxa"/>
            <w:right w:w="108" w:type="dxa"/>
          </w:tblCellMar>
        </w:tblPrEx>
        <w:trPr>
          <w:trHeight w:val="262" w:hRule="atLeast"/>
        </w:trPr>
        <w:tc>
          <w:tcPr>
            <w:tcW w:w="848" w:type="dxa"/>
            <w:gridSpan w:val="2"/>
            <w:tcBorders>
              <w:left w:val="single" w:color="000000" w:sz="4" w:space="0"/>
              <w:bottom w:val="single" w:color="000000" w:sz="4" w:space="0"/>
            </w:tcBorders>
            <w:vAlign w:val="center"/>
          </w:tcPr>
          <w:p w14:paraId="1E278996">
            <w:pPr>
              <w:widowControl w:val="0"/>
              <w:jc w:val="center"/>
              <w:rPr>
                <w:rFonts w:ascii="Century Gothic" w:hAnsi="Century Gothic"/>
                <w:b/>
                <w:bCs/>
                <w:sz w:val="17"/>
                <w:szCs w:val="17"/>
              </w:rPr>
            </w:pPr>
            <w:r>
              <w:rPr>
                <w:rFonts w:ascii="Century Gothic" w:hAnsi="Century Gothic"/>
                <w:b/>
                <w:bCs/>
                <w:sz w:val="17"/>
                <w:szCs w:val="17"/>
              </w:rPr>
              <w:t>127835</w:t>
            </w:r>
          </w:p>
        </w:tc>
        <w:tc>
          <w:tcPr>
            <w:tcW w:w="3516" w:type="dxa"/>
            <w:tcBorders>
              <w:left w:val="single" w:color="000000" w:sz="4" w:space="0"/>
              <w:bottom w:val="single" w:color="000000" w:sz="4" w:space="0"/>
            </w:tcBorders>
            <w:vAlign w:val="center"/>
          </w:tcPr>
          <w:p w14:paraId="6DD5EF5E">
            <w:pPr>
              <w:widowControl w:val="0"/>
              <w:jc w:val="center"/>
              <w:rPr>
                <w:rFonts w:ascii="Century Gothic" w:hAnsi="Century Gothic"/>
                <w:sz w:val="17"/>
                <w:szCs w:val="17"/>
              </w:rPr>
            </w:pPr>
            <w:r>
              <w:rPr>
                <w:rFonts w:ascii="Century Gothic" w:hAnsi="Century Gothic"/>
                <w:sz w:val="17"/>
                <w:szCs w:val="17"/>
              </w:rPr>
              <w:t>AEE – Pré-Escola e Fundamental</w:t>
            </w:r>
          </w:p>
        </w:tc>
        <w:tc>
          <w:tcPr>
            <w:tcW w:w="1698" w:type="dxa"/>
            <w:tcBorders>
              <w:left w:val="single" w:color="000000" w:sz="4" w:space="0"/>
              <w:bottom w:val="single" w:color="000000" w:sz="4" w:space="0"/>
            </w:tcBorders>
            <w:vAlign w:val="center"/>
          </w:tcPr>
          <w:p w14:paraId="434CEBF9">
            <w:pPr>
              <w:widowControl w:val="0"/>
              <w:jc w:val="center"/>
              <w:rPr>
                <w:rFonts w:ascii="Century Gothic" w:hAnsi="Century Gothic"/>
                <w:sz w:val="17"/>
                <w:szCs w:val="17"/>
              </w:rPr>
            </w:pPr>
            <w:r>
              <w:rPr>
                <w:rFonts w:ascii="Century Gothic" w:hAnsi="Century Gothic"/>
                <w:sz w:val="17"/>
                <w:szCs w:val="17"/>
              </w:rPr>
              <w:t>Merenda suplementar</w:t>
            </w:r>
          </w:p>
        </w:tc>
        <w:tc>
          <w:tcPr>
            <w:tcW w:w="1428" w:type="dxa"/>
            <w:tcBorders>
              <w:left w:val="single" w:color="000000" w:sz="4" w:space="0"/>
              <w:bottom w:val="single" w:color="000000" w:sz="4" w:space="0"/>
            </w:tcBorders>
            <w:vAlign w:val="center"/>
          </w:tcPr>
          <w:p w14:paraId="79058EFD">
            <w:pPr>
              <w:widowControl w:val="0"/>
              <w:jc w:val="center"/>
              <w:rPr>
                <w:rFonts w:ascii="Century Gothic" w:hAnsi="Century Gothic"/>
                <w:sz w:val="17"/>
                <w:szCs w:val="17"/>
              </w:rPr>
            </w:pPr>
            <w:r>
              <w:rPr>
                <w:rFonts w:ascii="Century Gothic" w:hAnsi="Century Gothic"/>
                <w:sz w:val="17"/>
                <w:szCs w:val="17"/>
              </w:rPr>
              <w:t>126800</w:t>
            </w:r>
          </w:p>
        </w:tc>
        <w:tc>
          <w:tcPr>
            <w:tcW w:w="850" w:type="dxa"/>
            <w:tcBorders>
              <w:left w:val="single" w:color="000000" w:sz="4" w:space="0"/>
              <w:bottom w:val="single" w:color="000000" w:sz="4" w:space="0"/>
            </w:tcBorders>
            <w:vAlign w:val="center"/>
          </w:tcPr>
          <w:p w14:paraId="654B7073">
            <w:pPr>
              <w:widowControl w:val="0"/>
              <w:jc w:val="center"/>
              <w:rPr>
                <w:rFonts w:ascii="Century Gothic" w:hAnsi="Century Gothic"/>
                <w:sz w:val="17"/>
                <w:szCs w:val="17"/>
              </w:rPr>
            </w:pPr>
            <w:r>
              <w:rPr>
                <w:rFonts w:ascii="Century Gothic" w:hAnsi="Century Gothic"/>
                <w:sz w:val="17"/>
                <w:szCs w:val="17"/>
              </w:rPr>
              <w:t>R$ 6,28</w:t>
            </w:r>
          </w:p>
        </w:tc>
        <w:tc>
          <w:tcPr>
            <w:tcW w:w="1634" w:type="dxa"/>
            <w:gridSpan w:val="2"/>
            <w:tcBorders>
              <w:left w:val="single" w:color="000000" w:sz="4" w:space="0"/>
              <w:bottom w:val="single" w:color="000000" w:sz="4" w:space="0"/>
              <w:right w:val="single" w:color="000000" w:sz="4" w:space="0"/>
            </w:tcBorders>
            <w:vAlign w:val="center"/>
          </w:tcPr>
          <w:p w14:paraId="1A25E563">
            <w:pPr>
              <w:widowControl w:val="0"/>
              <w:jc w:val="center"/>
              <w:rPr>
                <w:rFonts w:ascii="Century Gothic" w:hAnsi="Century Gothic"/>
                <w:sz w:val="17"/>
                <w:szCs w:val="17"/>
              </w:rPr>
            </w:pPr>
            <w:r>
              <w:rPr>
                <w:rFonts w:ascii="Century Gothic" w:hAnsi="Century Gothic"/>
                <w:sz w:val="17"/>
                <w:szCs w:val="17"/>
              </w:rPr>
              <w:t>R$ 796.304,00</w:t>
            </w:r>
          </w:p>
        </w:tc>
      </w:tr>
      <w:tr w14:paraId="4AE0CADA">
        <w:tblPrEx>
          <w:tblCellMar>
            <w:top w:w="0" w:type="dxa"/>
            <w:left w:w="108" w:type="dxa"/>
            <w:bottom w:w="0" w:type="dxa"/>
            <w:right w:w="108" w:type="dxa"/>
          </w:tblCellMar>
        </w:tblPrEx>
        <w:trPr>
          <w:trHeight w:val="349" w:hRule="atLeast"/>
        </w:trPr>
        <w:tc>
          <w:tcPr>
            <w:tcW w:w="848" w:type="dxa"/>
            <w:gridSpan w:val="2"/>
            <w:tcBorders>
              <w:left w:val="single" w:color="000000" w:sz="4" w:space="0"/>
              <w:bottom w:val="single" w:color="000000" w:sz="4" w:space="0"/>
            </w:tcBorders>
            <w:vAlign w:val="center"/>
          </w:tcPr>
          <w:p w14:paraId="6BE3BD91">
            <w:pPr>
              <w:widowControl w:val="0"/>
              <w:jc w:val="center"/>
              <w:rPr>
                <w:rFonts w:ascii="Century Gothic" w:hAnsi="Century Gothic"/>
                <w:b/>
                <w:bCs/>
                <w:sz w:val="17"/>
                <w:szCs w:val="17"/>
              </w:rPr>
            </w:pPr>
            <w:r>
              <w:rPr>
                <w:rFonts w:ascii="Century Gothic" w:hAnsi="Century Gothic"/>
                <w:b/>
                <w:bCs/>
                <w:sz w:val="17"/>
                <w:szCs w:val="17"/>
              </w:rPr>
              <w:t>127836</w:t>
            </w:r>
          </w:p>
        </w:tc>
        <w:tc>
          <w:tcPr>
            <w:tcW w:w="3516" w:type="dxa"/>
            <w:tcBorders>
              <w:left w:val="single" w:color="000000" w:sz="4" w:space="0"/>
              <w:bottom w:val="single" w:color="000000" w:sz="4" w:space="0"/>
            </w:tcBorders>
            <w:vAlign w:val="center"/>
          </w:tcPr>
          <w:p w14:paraId="1AEC5DA9">
            <w:pPr>
              <w:widowControl w:val="0"/>
              <w:jc w:val="center"/>
              <w:rPr>
                <w:rFonts w:ascii="Century Gothic" w:hAnsi="Century Gothic"/>
                <w:sz w:val="17"/>
                <w:szCs w:val="17"/>
              </w:rPr>
            </w:pPr>
            <w:r>
              <w:rPr>
                <w:rFonts w:ascii="Century Gothic" w:hAnsi="Century Gothic"/>
                <w:sz w:val="17"/>
                <w:szCs w:val="17"/>
              </w:rPr>
              <w:t>AEE – Creche (matutino)</w:t>
            </w:r>
          </w:p>
        </w:tc>
        <w:tc>
          <w:tcPr>
            <w:tcW w:w="1698" w:type="dxa"/>
            <w:tcBorders>
              <w:left w:val="single" w:color="000000" w:sz="4" w:space="0"/>
              <w:bottom w:val="single" w:color="000000" w:sz="4" w:space="0"/>
            </w:tcBorders>
            <w:vAlign w:val="center"/>
          </w:tcPr>
          <w:p w14:paraId="78D1EB24">
            <w:pPr>
              <w:widowControl w:val="0"/>
              <w:jc w:val="center"/>
              <w:rPr>
                <w:rFonts w:ascii="Century Gothic" w:hAnsi="Century Gothic"/>
                <w:sz w:val="17"/>
                <w:szCs w:val="17"/>
              </w:rPr>
            </w:pPr>
            <w:r>
              <w:rPr>
                <w:rFonts w:ascii="Century Gothic" w:hAnsi="Century Gothic"/>
                <w:sz w:val="17"/>
                <w:szCs w:val="17"/>
              </w:rPr>
              <w:t>Café da Manhã</w:t>
            </w:r>
          </w:p>
        </w:tc>
        <w:tc>
          <w:tcPr>
            <w:tcW w:w="1428" w:type="dxa"/>
            <w:tcBorders>
              <w:left w:val="single" w:color="000000" w:sz="4" w:space="0"/>
              <w:bottom w:val="single" w:color="000000" w:sz="4" w:space="0"/>
            </w:tcBorders>
            <w:vAlign w:val="center"/>
          </w:tcPr>
          <w:p w14:paraId="2836C09C">
            <w:pPr>
              <w:widowControl w:val="0"/>
              <w:jc w:val="center"/>
              <w:rPr>
                <w:rFonts w:ascii="Century Gothic" w:hAnsi="Century Gothic"/>
                <w:sz w:val="17"/>
                <w:szCs w:val="17"/>
              </w:rPr>
            </w:pPr>
            <w:r>
              <w:rPr>
                <w:rFonts w:ascii="Century Gothic" w:hAnsi="Century Gothic"/>
                <w:sz w:val="17"/>
                <w:szCs w:val="17"/>
              </w:rPr>
              <w:t>45000</w:t>
            </w:r>
          </w:p>
        </w:tc>
        <w:tc>
          <w:tcPr>
            <w:tcW w:w="850" w:type="dxa"/>
            <w:tcBorders>
              <w:left w:val="single" w:color="000000" w:sz="4" w:space="0"/>
              <w:bottom w:val="single" w:color="000000" w:sz="4" w:space="0"/>
            </w:tcBorders>
            <w:vAlign w:val="center"/>
          </w:tcPr>
          <w:p w14:paraId="5787F650">
            <w:pPr>
              <w:widowControl w:val="0"/>
              <w:jc w:val="center"/>
              <w:rPr>
                <w:rFonts w:ascii="Century Gothic" w:hAnsi="Century Gothic"/>
                <w:sz w:val="17"/>
                <w:szCs w:val="17"/>
              </w:rPr>
            </w:pPr>
            <w:r>
              <w:rPr>
                <w:rFonts w:ascii="Century Gothic" w:hAnsi="Century Gothic"/>
                <w:sz w:val="17"/>
                <w:szCs w:val="17"/>
              </w:rPr>
              <w:t>R$ 6,43</w:t>
            </w:r>
          </w:p>
        </w:tc>
        <w:tc>
          <w:tcPr>
            <w:tcW w:w="1634" w:type="dxa"/>
            <w:gridSpan w:val="2"/>
            <w:tcBorders>
              <w:left w:val="single" w:color="000000" w:sz="4" w:space="0"/>
              <w:bottom w:val="single" w:color="000000" w:sz="4" w:space="0"/>
              <w:right w:val="single" w:color="000000" w:sz="4" w:space="0"/>
            </w:tcBorders>
            <w:vAlign w:val="center"/>
          </w:tcPr>
          <w:p w14:paraId="16014C82">
            <w:pPr>
              <w:widowControl w:val="0"/>
              <w:jc w:val="center"/>
              <w:rPr>
                <w:rFonts w:ascii="Century Gothic" w:hAnsi="Century Gothic"/>
                <w:sz w:val="17"/>
                <w:szCs w:val="17"/>
              </w:rPr>
            </w:pPr>
            <w:r>
              <w:rPr>
                <w:rFonts w:ascii="Century Gothic" w:hAnsi="Century Gothic"/>
                <w:sz w:val="17"/>
                <w:szCs w:val="17"/>
              </w:rPr>
              <w:t>R$ 289.350,00</w:t>
            </w:r>
          </w:p>
        </w:tc>
      </w:tr>
      <w:tr w14:paraId="0F541DE9">
        <w:tblPrEx>
          <w:tblCellMar>
            <w:top w:w="0" w:type="dxa"/>
            <w:left w:w="108" w:type="dxa"/>
            <w:bottom w:w="0" w:type="dxa"/>
            <w:right w:w="108" w:type="dxa"/>
          </w:tblCellMar>
        </w:tblPrEx>
        <w:trPr>
          <w:trHeight w:val="267" w:hRule="atLeast"/>
        </w:trPr>
        <w:tc>
          <w:tcPr>
            <w:tcW w:w="848" w:type="dxa"/>
            <w:gridSpan w:val="2"/>
            <w:tcBorders>
              <w:left w:val="single" w:color="000000" w:sz="4" w:space="0"/>
              <w:bottom w:val="single" w:color="000000" w:sz="4" w:space="0"/>
            </w:tcBorders>
            <w:vAlign w:val="center"/>
          </w:tcPr>
          <w:p w14:paraId="2CD2ECCE">
            <w:pPr>
              <w:widowControl w:val="0"/>
              <w:jc w:val="center"/>
              <w:rPr>
                <w:rFonts w:ascii="Century Gothic" w:hAnsi="Century Gothic"/>
                <w:b/>
                <w:bCs/>
                <w:sz w:val="17"/>
                <w:szCs w:val="17"/>
              </w:rPr>
            </w:pPr>
            <w:r>
              <w:rPr>
                <w:rFonts w:ascii="Century Gothic" w:hAnsi="Century Gothic"/>
                <w:b/>
                <w:bCs/>
                <w:sz w:val="17"/>
                <w:szCs w:val="17"/>
              </w:rPr>
              <w:t>127837</w:t>
            </w:r>
          </w:p>
        </w:tc>
        <w:tc>
          <w:tcPr>
            <w:tcW w:w="3516" w:type="dxa"/>
            <w:tcBorders>
              <w:left w:val="single" w:color="000000" w:sz="4" w:space="0"/>
              <w:bottom w:val="single" w:color="000000" w:sz="4" w:space="0"/>
            </w:tcBorders>
            <w:vAlign w:val="center"/>
          </w:tcPr>
          <w:p w14:paraId="32D36BFC">
            <w:pPr>
              <w:widowControl w:val="0"/>
              <w:jc w:val="center"/>
              <w:rPr>
                <w:rFonts w:ascii="Century Gothic" w:hAnsi="Century Gothic"/>
                <w:sz w:val="17"/>
                <w:szCs w:val="17"/>
              </w:rPr>
            </w:pPr>
            <w:r>
              <w:rPr>
                <w:rFonts w:ascii="Century Gothic" w:hAnsi="Century Gothic"/>
                <w:sz w:val="17"/>
                <w:szCs w:val="17"/>
              </w:rPr>
              <w:t>AEE – Creche (matutino)</w:t>
            </w:r>
          </w:p>
        </w:tc>
        <w:tc>
          <w:tcPr>
            <w:tcW w:w="1698" w:type="dxa"/>
            <w:tcBorders>
              <w:left w:val="single" w:color="000000" w:sz="4" w:space="0"/>
              <w:bottom w:val="single" w:color="000000" w:sz="4" w:space="0"/>
            </w:tcBorders>
            <w:vAlign w:val="center"/>
          </w:tcPr>
          <w:p w14:paraId="73E27185">
            <w:pPr>
              <w:widowControl w:val="0"/>
              <w:jc w:val="center"/>
              <w:rPr>
                <w:rFonts w:ascii="Century Gothic" w:hAnsi="Century Gothic"/>
                <w:sz w:val="17"/>
                <w:szCs w:val="17"/>
              </w:rPr>
            </w:pPr>
            <w:r>
              <w:rPr>
                <w:rFonts w:ascii="Century Gothic" w:hAnsi="Century Gothic"/>
                <w:sz w:val="17"/>
                <w:szCs w:val="17"/>
              </w:rPr>
              <w:t>Almoço</w:t>
            </w:r>
          </w:p>
        </w:tc>
        <w:tc>
          <w:tcPr>
            <w:tcW w:w="1428" w:type="dxa"/>
            <w:tcBorders>
              <w:left w:val="single" w:color="000000" w:sz="4" w:space="0"/>
              <w:bottom w:val="single" w:color="000000" w:sz="4" w:space="0"/>
            </w:tcBorders>
            <w:vAlign w:val="center"/>
          </w:tcPr>
          <w:p w14:paraId="5129E663">
            <w:pPr>
              <w:widowControl w:val="0"/>
              <w:jc w:val="center"/>
              <w:rPr>
                <w:rFonts w:ascii="Century Gothic" w:hAnsi="Century Gothic"/>
                <w:sz w:val="17"/>
                <w:szCs w:val="17"/>
              </w:rPr>
            </w:pPr>
            <w:r>
              <w:rPr>
                <w:rFonts w:ascii="Century Gothic" w:hAnsi="Century Gothic"/>
                <w:sz w:val="17"/>
                <w:szCs w:val="17"/>
              </w:rPr>
              <w:t>45000</w:t>
            </w:r>
          </w:p>
        </w:tc>
        <w:tc>
          <w:tcPr>
            <w:tcW w:w="850" w:type="dxa"/>
            <w:tcBorders>
              <w:left w:val="single" w:color="000000" w:sz="4" w:space="0"/>
              <w:bottom w:val="single" w:color="000000" w:sz="4" w:space="0"/>
            </w:tcBorders>
            <w:vAlign w:val="center"/>
          </w:tcPr>
          <w:p w14:paraId="4F785388">
            <w:pPr>
              <w:widowControl w:val="0"/>
              <w:jc w:val="center"/>
              <w:rPr>
                <w:rFonts w:ascii="Century Gothic" w:hAnsi="Century Gothic"/>
                <w:sz w:val="17"/>
                <w:szCs w:val="17"/>
              </w:rPr>
            </w:pPr>
            <w:r>
              <w:rPr>
                <w:rFonts w:ascii="Century Gothic" w:hAnsi="Century Gothic"/>
                <w:sz w:val="17"/>
                <w:szCs w:val="17"/>
              </w:rPr>
              <w:t>R$ 6,35</w:t>
            </w:r>
          </w:p>
        </w:tc>
        <w:tc>
          <w:tcPr>
            <w:tcW w:w="1634" w:type="dxa"/>
            <w:gridSpan w:val="2"/>
            <w:tcBorders>
              <w:left w:val="single" w:color="000000" w:sz="4" w:space="0"/>
              <w:bottom w:val="single" w:color="000000" w:sz="4" w:space="0"/>
              <w:right w:val="single" w:color="000000" w:sz="4" w:space="0"/>
            </w:tcBorders>
            <w:vAlign w:val="center"/>
          </w:tcPr>
          <w:p w14:paraId="56297401">
            <w:pPr>
              <w:widowControl w:val="0"/>
              <w:jc w:val="center"/>
              <w:rPr>
                <w:rFonts w:ascii="Century Gothic" w:hAnsi="Century Gothic"/>
                <w:sz w:val="17"/>
                <w:szCs w:val="17"/>
              </w:rPr>
            </w:pPr>
            <w:r>
              <w:rPr>
                <w:rFonts w:ascii="Century Gothic" w:hAnsi="Century Gothic"/>
                <w:sz w:val="17"/>
                <w:szCs w:val="17"/>
              </w:rPr>
              <w:t>R$ 285.750,00</w:t>
            </w:r>
          </w:p>
        </w:tc>
      </w:tr>
      <w:tr w14:paraId="5FDE7421">
        <w:tblPrEx>
          <w:tblCellMar>
            <w:top w:w="0" w:type="dxa"/>
            <w:left w:w="108" w:type="dxa"/>
            <w:bottom w:w="0" w:type="dxa"/>
            <w:right w:w="108" w:type="dxa"/>
          </w:tblCellMar>
        </w:tblPrEx>
        <w:trPr>
          <w:trHeight w:val="338" w:hRule="atLeast"/>
        </w:trPr>
        <w:tc>
          <w:tcPr>
            <w:tcW w:w="848" w:type="dxa"/>
            <w:gridSpan w:val="2"/>
            <w:tcBorders>
              <w:left w:val="single" w:color="000000" w:sz="4" w:space="0"/>
              <w:bottom w:val="single" w:color="000000" w:sz="4" w:space="0"/>
            </w:tcBorders>
            <w:vAlign w:val="center"/>
          </w:tcPr>
          <w:p w14:paraId="290C3B6D">
            <w:pPr>
              <w:widowControl w:val="0"/>
              <w:jc w:val="center"/>
              <w:rPr>
                <w:rFonts w:ascii="Century Gothic" w:hAnsi="Century Gothic"/>
                <w:b/>
                <w:bCs/>
                <w:sz w:val="17"/>
                <w:szCs w:val="17"/>
              </w:rPr>
            </w:pPr>
            <w:r>
              <w:rPr>
                <w:rFonts w:ascii="Century Gothic" w:hAnsi="Century Gothic"/>
                <w:b/>
                <w:bCs/>
                <w:sz w:val="17"/>
                <w:szCs w:val="17"/>
              </w:rPr>
              <w:t>127838</w:t>
            </w:r>
          </w:p>
        </w:tc>
        <w:tc>
          <w:tcPr>
            <w:tcW w:w="3516" w:type="dxa"/>
            <w:tcBorders>
              <w:left w:val="single" w:color="000000" w:sz="4" w:space="0"/>
              <w:bottom w:val="single" w:color="000000" w:sz="4" w:space="0"/>
            </w:tcBorders>
            <w:vAlign w:val="center"/>
          </w:tcPr>
          <w:p w14:paraId="55509EE3">
            <w:pPr>
              <w:widowControl w:val="0"/>
              <w:jc w:val="center"/>
              <w:rPr>
                <w:rFonts w:ascii="Century Gothic" w:hAnsi="Century Gothic"/>
                <w:sz w:val="17"/>
                <w:szCs w:val="17"/>
              </w:rPr>
            </w:pPr>
            <w:r>
              <w:rPr>
                <w:rFonts w:ascii="Century Gothic" w:hAnsi="Century Gothic"/>
                <w:sz w:val="17"/>
                <w:szCs w:val="17"/>
              </w:rPr>
              <w:t>AEE – Creche (vespertino)</w:t>
            </w:r>
          </w:p>
        </w:tc>
        <w:tc>
          <w:tcPr>
            <w:tcW w:w="1698" w:type="dxa"/>
            <w:tcBorders>
              <w:left w:val="single" w:color="000000" w:sz="4" w:space="0"/>
              <w:bottom w:val="single" w:color="000000" w:sz="4" w:space="0"/>
            </w:tcBorders>
            <w:vAlign w:val="center"/>
          </w:tcPr>
          <w:p w14:paraId="10EC3F96">
            <w:pPr>
              <w:widowControl w:val="0"/>
              <w:jc w:val="center"/>
              <w:rPr>
                <w:rFonts w:ascii="Century Gothic" w:hAnsi="Century Gothic"/>
                <w:sz w:val="17"/>
                <w:szCs w:val="17"/>
              </w:rPr>
            </w:pPr>
            <w:r>
              <w:rPr>
                <w:rFonts w:ascii="Century Gothic" w:hAnsi="Century Gothic"/>
                <w:sz w:val="17"/>
                <w:szCs w:val="17"/>
              </w:rPr>
              <w:t>Lanche Tarde</w:t>
            </w:r>
          </w:p>
        </w:tc>
        <w:tc>
          <w:tcPr>
            <w:tcW w:w="1428" w:type="dxa"/>
            <w:tcBorders>
              <w:left w:val="single" w:color="000000" w:sz="4" w:space="0"/>
              <w:bottom w:val="single" w:color="000000" w:sz="4" w:space="0"/>
            </w:tcBorders>
            <w:vAlign w:val="center"/>
          </w:tcPr>
          <w:p w14:paraId="52501E28">
            <w:pPr>
              <w:widowControl w:val="0"/>
              <w:jc w:val="center"/>
              <w:rPr>
                <w:rFonts w:ascii="Century Gothic" w:hAnsi="Century Gothic"/>
                <w:sz w:val="17"/>
                <w:szCs w:val="17"/>
              </w:rPr>
            </w:pPr>
            <w:r>
              <w:rPr>
                <w:rFonts w:ascii="Century Gothic" w:hAnsi="Century Gothic"/>
                <w:sz w:val="17"/>
                <w:szCs w:val="17"/>
              </w:rPr>
              <w:t>43000</w:t>
            </w:r>
          </w:p>
        </w:tc>
        <w:tc>
          <w:tcPr>
            <w:tcW w:w="850" w:type="dxa"/>
            <w:tcBorders>
              <w:left w:val="single" w:color="000000" w:sz="4" w:space="0"/>
              <w:bottom w:val="single" w:color="000000" w:sz="4" w:space="0"/>
            </w:tcBorders>
            <w:vAlign w:val="center"/>
          </w:tcPr>
          <w:p w14:paraId="66A1B501">
            <w:pPr>
              <w:widowControl w:val="0"/>
              <w:jc w:val="center"/>
              <w:rPr>
                <w:rFonts w:ascii="Century Gothic" w:hAnsi="Century Gothic"/>
                <w:sz w:val="17"/>
                <w:szCs w:val="17"/>
              </w:rPr>
            </w:pPr>
            <w:r>
              <w:rPr>
                <w:rFonts w:ascii="Century Gothic" w:hAnsi="Century Gothic"/>
                <w:sz w:val="17"/>
                <w:szCs w:val="17"/>
              </w:rPr>
              <w:t>R$ 6,43</w:t>
            </w:r>
          </w:p>
        </w:tc>
        <w:tc>
          <w:tcPr>
            <w:tcW w:w="1634" w:type="dxa"/>
            <w:gridSpan w:val="2"/>
            <w:tcBorders>
              <w:left w:val="single" w:color="000000" w:sz="4" w:space="0"/>
              <w:bottom w:val="single" w:color="000000" w:sz="4" w:space="0"/>
              <w:right w:val="single" w:color="000000" w:sz="4" w:space="0"/>
            </w:tcBorders>
            <w:vAlign w:val="center"/>
          </w:tcPr>
          <w:p w14:paraId="64A9C459">
            <w:pPr>
              <w:widowControl w:val="0"/>
              <w:jc w:val="center"/>
              <w:rPr>
                <w:rFonts w:ascii="Century Gothic" w:hAnsi="Century Gothic"/>
                <w:sz w:val="17"/>
                <w:szCs w:val="17"/>
              </w:rPr>
            </w:pPr>
            <w:r>
              <w:rPr>
                <w:rFonts w:ascii="Century Gothic" w:hAnsi="Century Gothic"/>
                <w:sz w:val="17"/>
                <w:szCs w:val="17"/>
              </w:rPr>
              <w:t>R$ 276.490,00</w:t>
            </w:r>
          </w:p>
        </w:tc>
      </w:tr>
      <w:tr w14:paraId="7B64885F">
        <w:tblPrEx>
          <w:tblCellMar>
            <w:top w:w="0" w:type="dxa"/>
            <w:left w:w="108" w:type="dxa"/>
            <w:bottom w:w="0" w:type="dxa"/>
            <w:right w:w="108" w:type="dxa"/>
          </w:tblCellMar>
        </w:tblPrEx>
        <w:trPr>
          <w:trHeight w:val="287" w:hRule="atLeast"/>
        </w:trPr>
        <w:tc>
          <w:tcPr>
            <w:tcW w:w="848" w:type="dxa"/>
            <w:gridSpan w:val="2"/>
            <w:tcBorders>
              <w:left w:val="single" w:color="000000" w:sz="4" w:space="0"/>
              <w:bottom w:val="single" w:color="000000" w:sz="4" w:space="0"/>
            </w:tcBorders>
            <w:vAlign w:val="center"/>
          </w:tcPr>
          <w:p w14:paraId="741A021B">
            <w:pPr>
              <w:widowControl w:val="0"/>
              <w:jc w:val="center"/>
              <w:rPr>
                <w:rFonts w:ascii="Century Gothic" w:hAnsi="Century Gothic"/>
                <w:b/>
                <w:bCs/>
                <w:sz w:val="17"/>
                <w:szCs w:val="17"/>
              </w:rPr>
            </w:pPr>
            <w:r>
              <w:rPr>
                <w:rFonts w:ascii="Century Gothic" w:hAnsi="Century Gothic"/>
                <w:b/>
                <w:bCs/>
                <w:sz w:val="17"/>
                <w:szCs w:val="17"/>
              </w:rPr>
              <w:t>127839</w:t>
            </w:r>
          </w:p>
        </w:tc>
        <w:tc>
          <w:tcPr>
            <w:tcW w:w="3516" w:type="dxa"/>
            <w:tcBorders>
              <w:left w:val="single" w:color="000000" w:sz="4" w:space="0"/>
              <w:bottom w:val="single" w:color="000000" w:sz="4" w:space="0"/>
            </w:tcBorders>
            <w:vAlign w:val="center"/>
          </w:tcPr>
          <w:p w14:paraId="24CFCA22">
            <w:pPr>
              <w:widowControl w:val="0"/>
              <w:jc w:val="center"/>
              <w:rPr>
                <w:rFonts w:ascii="Century Gothic" w:hAnsi="Century Gothic"/>
                <w:sz w:val="17"/>
                <w:szCs w:val="17"/>
              </w:rPr>
            </w:pPr>
            <w:r>
              <w:rPr>
                <w:rFonts w:ascii="Century Gothic" w:hAnsi="Century Gothic"/>
                <w:sz w:val="17"/>
                <w:szCs w:val="17"/>
              </w:rPr>
              <w:t>AEE – Creche (vespertino)</w:t>
            </w:r>
          </w:p>
        </w:tc>
        <w:tc>
          <w:tcPr>
            <w:tcW w:w="1698" w:type="dxa"/>
            <w:tcBorders>
              <w:left w:val="single" w:color="000000" w:sz="4" w:space="0"/>
              <w:bottom w:val="single" w:color="000000" w:sz="4" w:space="0"/>
            </w:tcBorders>
            <w:vAlign w:val="center"/>
          </w:tcPr>
          <w:p w14:paraId="528A4BCC">
            <w:pPr>
              <w:widowControl w:val="0"/>
              <w:jc w:val="center"/>
              <w:rPr>
                <w:rFonts w:ascii="Century Gothic" w:hAnsi="Century Gothic"/>
                <w:sz w:val="17"/>
                <w:szCs w:val="17"/>
              </w:rPr>
            </w:pPr>
            <w:r>
              <w:rPr>
                <w:rFonts w:ascii="Century Gothic" w:hAnsi="Century Gothic"/>
                <w:sz w:val="17"/>
                <w:szCs w:val="17"/>
              </w:rPr>
              <w:t>Jantar</w:t>
            </w:r>
          </w:p>
        </w:tc>
        <w:tc>
          <w:tcPr>
            <w:tcW w:w="1428" w:type="dxa"/>
            <w:tcBorders>
              <w:left w:val="single" w:color="000000" w:sz="4" w:space="0"/>
              <w:bottom w:val="single" w:color="000000" w:sz="4" w:space="0"/>
            </w:tcBorders>
            <w:vAlign w:val="center"/>
          </w:tcPr>
          <w:p w14:paraId="1E8ABBF6">
            <w:pPr>
              <w:widowControl w:val="0"/>
              <w:jc w:val="center"/>
              <w:rPr>
                <w:rFonts w:ascii="Century Gothic" w:hAnsi="Century Gothic"/>
                <w:sz w:val="17"/>
                <w:szCs w:val="17"/>
              </w:rPr>
            </w:pPr>
            <w:r>
              <w:rPr>
                <w:rFonts w:ascii="Century Gothic" w:hAnsi="Century Gothic"/>
                <w:sz w:val="17"/>
                <w:szCs w:val="17"/>
              </w:rPr>
              <w:t>43000</w:t>
            </w:r>
          </w:p>
        </w:tc>
        <w:tc>
          <w:tcPr>
            <w:tcW w:w="850" w:type="dxa"/>
            <w:tcBorders>
              <w:left w:val="single" w:color="000000" w:sz="4" w:space="0"/>
              <w:bottom w:val="single" w:color="000000" w:sz="4" w:space="0"/>
            </w:tcBorders>
            <w:vAlign w:val="center"/>
          </w:tcPr>
          <w:p w14:paraId="4B598098">
            <w:pPr>
              <w:widowControl w:val="0"/>
              <w:jc w:val="center"/>
              <w:rPr>
                <w:rFonts w:ascii="Century Gothic" w:hAnsi="Century Gothic"/>
                <w:sz w:val="17"/>
                <w:szCs w:val="17"/>
              </w:rPr>
            </w:pPr>
            <w:r>
              <w:rPr>
                <w:rFonts w:ascii="Century Gothic" w:hAnsi="Century Gothic"/>
                <w:sz w:val="17"/>
                <w:szCs w:val="17"/>
              </w:rPr>
              <w:t>R$ 6,35</w:t>
            </w:r>
          </w:p>
        </w:tc>
        <w:tc>
          <w:tcPr>
            <w:tcW w:w="1634" w:type="dxa"/>
            <w:gridSpan w:val="2"/>
            <w:tcBorders>
              <w:left w:val="single" w:color="000000" w:sz="4" w:space="0"/>
              <w:bottom w:val="single" w:color="000000" w:sz="4" w:space="0"/>
              <w:right w:val="single" w:color="000000" w:sz="4" w:space="0"/>
            </w:tcBorders>
            <w:vAlign w:val="center"/>
          </w:tcPr>
          <w:p w14:paraId="43A711D9">
            <w:pPr>
              <w:widowControl w:val="0"/>
              <w:jc w:val="center"/>
              <w:rPr>
                <w:rFonts w:ascii="Century Gothic" w:hAnsi="Century Gothic"/>
                <w:sz w:val="17"/>
                <w:szCs w:val="17"/>
              </w:rPr>
            </w:pPr>
            <w:r>
              <w:rPr>
                <w:rFonts w:ascii="Century Gothic" w:hAnsi="Century Gothic"/>
                <w:sz w:val="17"/>
                <w:szCs w:val="17"/>
              </w:rPr>
              <w:t>R$ 273.050,00</w:t>
            </w:r>
          </w:p>
        </w:tc>
      </w:tr>
      <w:tr w14:paraId="69EE4CC7">
        <w:tblPrEx>
          <w:tblCellMar>
            <w:top w:w="0" w:type="dxa"/>
            <w:left w:w="108" w:type="dxa"/>
            <w:bottom w:w="0" w:type="dxa"/>
            <w:right w:w="108" w:type="dxa"/>
          </w:tblCellMar>
        </w:tblPrEx>
        <w:trPr>
          <w:trHeight w:val="156" w:hRule="atLeast"/>
        </w:trPr>
        <w:tc>
          <w:tcPr>
            <w:tcW w:w="8340" w:type="dxa"/>
            <w:gridSpan w:val="6"/>
            <w:tcBorders>
              <w:left w:val="single" w:color="000000" w:sz="4" w:space="0"/>
              <w:bottom w:val="single" w:color="000000" w:sz="4" w:space="0"/>
            </w:tcBorders>
            <w:shd w:val="clear" w:color="auto" w:fill="DDDDDD"/>
          </w:tcPr>
          <w:p w14:paraId="5AD09CD8">
            <w:pPr>
              <w:widowControl w:val="0"/>
              <w:spacing w:before="57" w:after="57" w:line="216" w:lineRule="auto"/>
              <w:jc w:val="right"/>
              <w:rPr>
                <w:rFonts w:ascii="Century Gothic" w:hAnsi="Century Gothic"/>
                <w:sz w:val="19"/>
                <w:szCs w:val="19"/>
              </w:rPr>
            </w:pPr>
            <w:r>
              <w:rPr>
                <w:rFonts w:ascii="Century Gothic" w:hAnsi="Century Gothic" w:cs="Calibri"/>
                <w:b/>
                <w:bCs/>
                <w:sz w:val="19"/>
                <w:szCs w:val="19"/>
              </w:rPr>
              <w:t>VALOR TOTAL</w:t>
            </w:r>
          </w:p>
        </w:tc>
        <w:tc>
          <w:tcPr>
            <w:tcW w:w="1634" w:type="dxa"/>
            <w:gridSpan w:val="2"/>
            <w:tcBorders>
              <w:left w:val="single" w:color="000000" w:sz="4" w:space="0"/>
              <w:bottom w:val="single" w:color="000000" w:sz="4" w:space="0"/>
              <w:right w:val="single" w:color="000000" w:sz="4" w:space="0"/>
            </w:tcBorders>
            <w:shd w:val="clear" w:color="auto" w:fill="DDDDDD"/>
          </w:tcPr>
          <w:p w14:paraId="101DFFE2">
            <w:pPr>
              <w:widowControl w:val="0"/>
              <w:spacing w:before="57" w:after="57" w:line="216" w:lineRule="auto"/>
              <w:ind w:left="-57" w:right="-113"/>
              <w:jc w:val="center"/>
              <w:rPr>
                <w:rFonts w:ascii="Century Gothic" w:hAnsi="Century Gothic"/>
                <w:sz w:val="19"/>
                <w:szCs w:val="19"/>
              </w:rPr>
            </w:pPr>
            <w:r>
              <w:rPr>
                <w:rFonts w:ascii="Century Gothic" w:hAnsi="Century Gothic" w:cs="Calibri"/>
                <w:b/>
                <w:bCs/>
                <w:sz w:val="19"/>
                <w:szCs w:val="19"/>
              </w:rPr>
              <w:t>R$ 54.113.758,00</w:t>
            </w:r>
          </w:p>
        </w:tc>
      </w:tr>
      <w:tr w14:paraId="0C6483B7">
        <w:tblPrEx>
          <w:tblCellMar>
            <w:top w:w="0" w:type="dxa"/>
            <w:left w:w="108" w:type="dxa"/>
            <w:bottom w:w="0" w:type="dxa"/>
            <w:right w:w="108" w:type="dxa"/>
          </w:tblCellMar>
        </w:tblPrEx>
        <w:trPr>
          <w:trHeight w:val="290" w:hRule="atLeast"/>
        </w:trPr>
        <w:tc>
          <w:tcPr>
            <w:tcW w:w="98" w:type="dxa"/>
          </w:tcPr>
          <w:p w14:paraId="760459AA">
            <w:pPr>
              <w:widowControl w:val="0"/>
              <w:spacing w:before="114" w:after="114"/>
              <w:jc w:val="center"/>
              <w:rPr>
                <w:sz w:val="22"/>
                <w:szCs w:val="22"/>
              </w:rPr>
            </w:pPr>
          </w:p>
        </w:tc>
        <w:tc>
          <w:tcPr>
            <w:tcW w:w="9722" w:type="dxa"/>
            <w:gridSpan w:val="6"/>
            <w:tcBorders>
              <w:top w:val="single" w:color="000000" w:sz="4" w:space="0"/>
              <w:left w:val="single" w:color="000000" w:sz="4" w:space="0"/>
              <w:bottom w:val="single" w:color="000000" w:sz="4" w:space="0"/>
              <w:right w:val="single" w:color="000000" w:sz="4" w:space="0"/>
            </w:tcBorders>
            <w:shd w:val="clear" w:color="auto" w:fill="DDDDDD"/>
          </w:tcPr>
          <w:p w14:paraId="1FF0B3C3">
            <w:pPr>
              <w:widowControl w:val="0"/>
              <w:spacing w:before="114" w:after="114"/>
              <w:jc w:val="center"/>
              <w:rPr>
                <w:sz w:val="22"/>
                <w:szCs w:val="22"/>
              </w:rPr>
            </w:pPr>
            <w:r>
              <w:rPr>
                <w:rFonts w:ascii="Century Gothic" w:hAnsi="Century Gothic"/>
                <w:b/>
                <w:bCs/>
                <w:sz w:val="22"/>
                <w:szCs w:val="22"/>
              </w:rPr>
              <w:t>2. DOS QUANTITATIVOS – Art. 6º, XXIII, “a”</w:t>
            </w:r>
          </w:p>
        </w:tc>
        <w:tc>
          <w:tcPr>
            <w:tcW w:w="154" w:type="dxa"/>
          </w:tcPr>
          <w:p w14:paraId="702D13FB">
            <w:pPr>
              <w:widowControl w:val="0"/>
            </w:pPr>
          </w:p>
        </w:tc>
      </w:tr>
    </w:tbl>
    <w:p w14:paraId="071DBCF4">
      <w:pPr>
        <w:spacing w:line="276" w:lineRule="auto"/>
        <w:ind w:left="-567" w:right="454"/>
        <w:jc w:val="both"/>
        <w:rPr>
          <w:rFonts w:ascii="Century Gothic" w:hAnsi="Century Gothic"/>
          <w:sz w:val="10"/>
          <w:szCs w:val="10"/>
        </w:rPr>
      </w:pPr>
    </w:p>
    <w:p w14:paraId="1AE69C55">
      <w:pPr>
        <w:spacing w:line="276" w:lineRule="auto"/>
        <w:ind w:left="57" w:right="283"/>
        <w:jc w:val="both"/>
        <w:rPr>
          <w:rFonts w:ascii="Century Gothic" w:hAnsi="Century Gothic"/>
        </w:rPr>
      </w:pPr>
      <w:r>
        <w:rPr>
          <w:rFonts w:ascii="Century Gothic" w:hAnsi="Century Gothic"/>
        </w:rPr>
        <w:t>A prestação dos serviços de alimentação escolar abrangerá todos os alunos regularmente matriculados na rede pública municipal de ensino de Rondonópolis/MT, distribuídos entre unidades de Educação Infantil (creche e pré-escola), Ensino Fundamental (anos iniciais e finais), Atendimento Educacional Especializado (AEE) e Educação de Jovens e Adultos (EJA). A estimativa de demanda foi calculada com base nos dados fornecidos pela Secretaria Municipal de Educação, considerando o número de alunos por modalidade e a média de refeições previstas por turno de funcionamento.</w:t>
      </w:r>
    </w:p>
    <w:p w14:paraId="1C082B7E">
      <w:pPr>
        <w:spacing w:before="57" w:after="57" w:line="276" w:lineRule="auto"/>
        <w:ind w:left="57" w:right="283"/>
        <w:jc w:val="both"/>
        <w:rPr>
          <w:rFonts w:ascii="Century Gothic" w:hAnsi="Century Gothic"/>
        </w:rPr>
      </w:pPr>
      <w:r>
        <w:rPr>
          <w:rFonts w:ascii="Century Gothic" w:hAnsi="Century Gothic"/>
        </w:rPr>
        <w:t>A seguir, apresenta-se a estimativa mensal de refeições, conforme levantamento técnico validado para fins de planejamento contratual:</w:t>
      </w:r>
    </w:p>
    <w:p w14:paraId="0079469C">
      <w:pPr>
        <w:numPr>
          <w:ilvl w:val="0"/>
          <w:numId w:val="3"/>
        </w:numPr>
        <w:spacing w:before="57" w:after="57" w:line="276" w:lineRule="auto"/>
        <w:jc w:val="both"/>
        <w:rPr>
          <w:rFonts w:ascii="Century Gothic" w:hAnsi="Century Gothic"/>
        </w:rPr>
      </w:pPr>
      <w:r>
        <w:rPr>
          <w:rFonts w:ascii="Century Gothic" w:hAnsi="Century Gothic"/>
          <w:b/>
          <w:bCs/>
        </w:rPr>
        <w:t>Creche Parcial:</w:t>
      </w:r>
      <w:r>
        <w:rPr>
          <w:rFonts w:ascii="Century Gothic" w:hAnsi="Century Gothic"/>
        </w:rPr>
        <w:t xml:space="preserve"> aproximadamente 77.280 refeições/mês</w:t>
      </w:r>
    </w:p>
    <w:p w14:paraId="47968D3D">
      <w:pPr>
        <w:numPr>
          <w:ilvl w:val="0"/>
          <w:numId w:val="3"/>
        </w:numPr>
        <w:spacing w:before="57" w:after="57" w:line="276" w:lineRule="auto"/>
        <w:jc w:val="both"/>
      </w:pPr>
      <w:r>
        <w:rPr>
          <w:rFonts w:ascii="Century Gothic" w:hAnsi="Century Gothic"/>
          <w:b/>
          <w:bCs/>
        </w:rPr>
        <w:t xml:space="preserve">Creche Integral: </w:t>
      </w:r>
      <w:r>
        <w:rPr>
          <w:rFonts w:ascii="Century Gothic" w:hAnsi="Century Gothic"/>
        </w:rPr>
        <w:t>aproximadamente 176.320 refeições/mês</w:t>
      </w:r>
    </w:p>
    <w:p w14:paraId="75B52A56">
      <w:pPr>
        <w:numPr>
          <w:ilvl w:val="0"/>
          <w:numId w:val="3"/>
        </w:numPr>
        <w:spacing w:before="57" w:after="57" w:line="276" w:lineRule="auto"/>
        <w:jc w:val="both"/>
        <w:rPr>
          <w:rFonts w:ascii="Century Gothic" w:hAnsi="Century Gothic"/>
        </w:rPr>
      </w:pPr>
      <w:r>
        <w:rPr>
          <w:rFonts w:ascii="Century Gothic" w:hAnsi="Century Gothic"/>
          <w:b/>
          <w:bCs/>
        </w:rPr>
        <w:t xml:space="preserve">Pré-Escola Parcial: </w:t>
      </w:r>
      <w:r>
        <w:rPr>
          <w:rFonts w:ascii="Century Gothic" w:hAnsi="Century Gothic"/>
        </w:rPr>
        <w:t>aproximadamente 115.340 refeições/mês</w:t>
      </w:r>
    </w:p>
    <w:p w14:paraId="42260DFE">
      <w:pPr>
        <w:numPr>
          <w:ilvl w:val="0"/>
          <w:numId w:val="3"/>
        </w:numPr>
        <w:spacing w:before="57" w:after="57" w:line="276" w:lineRule="auto"/>
        <w:jc w:val="both"/>
        <w:rPr>
          <w:rFonts w:ascii="Century Gothic" w:hAnsi="Century Gothic"/>
        </w:rPr>
      </w:pPr>
      <w:r>
        <w:rPr>
          <w:rFonts w:ascii="Century Gothic" w:hAnsi="Century Gothic"/>
          <w:b/>
          <w:bCs/>
        </w:rPr>
        <w:t xml:space="preserve">Pré-Escola Integral: </w:t>
      </w:r>
      <w:r>
        <w:rPr>
          <w:rFonts w:ascii="Century Gothic" w:hAnsi="Century Gothic"/>
        </w:rPr>
        <w:t>aproximadamente 46.240 refeições/mês</w:t>
      </w:r>
    </w:p>
    <w:p w14:paraId="48F3A0B7">
      <w:pPr>
        <w:numPr>
          <w:ilvl w:val="0"/>
          <w:numId w:val="3"/>
        </w:numPr>
        <w:spacing w:before="57" w:after="57" w:line="276" w:lineRule="auto"/>
        <w:jc w:val="both"/>
        <w:rPr>
          <w:rFonts w:ascii="Century Gothic" w:hAnsi="Century Gothic"/>
        </w:rPr>
      </w:pPr>
      <w:r>
        <w:rPr>
          <w:rFonts w:ascii="Century Gothic" w:hAnsi="Century Gothic"/>
          <w:b/>
          <w:bCs/>
        </w:rPr>
        <w:t>Ensino Fundamental Parcial:</w:t>
      </w:r>
      <w:r>
        <w:rPr>
          <w:rFonts w:ascii="Century Gothic" w:hAnsi="Century Gothic"/>
        </w:rPr>
        <w:t xml:space="preserve"> aproximadamente 392.900 refeições/mês</w:t>
      </w:r>
    </w:p>
    <w:p w14:paraId="45696558">
      <w:pPr>
        <w:numPr>
          <w:ilvl w:val="0"/>
          <w:numId w:val="3"/>
        </w:numPr>
        <w:spacing w:before="57" w:after="57" w:line="276" w:lineRule="auto"/>
        <w:jc w:val="both"/>
        <w:rPr>
          <w:rFonts w:ascii="Century Gothic" w:hAnsi="Century Gothic"/>
        </w:rPr>
      </w:pPr>
      <w:r>
        <w:rPr>
          <w:rFonts w:ascii="Century Gothic" w:hAnsi="Century Gothic"/>
          <w:b/>
          <w:bCs/>
        </w:rPr>
        <w:t xml:space="preserve">Ensino Fundamental Integral: </w:t>
      </w:r>
      <w:r>
        <w:rPr>
          <w:rFonts w:ascii="Century Gothic" w:hAnsi="Century Gothic"/>
        </w:rPr>
        <w:t>aproximadamente 20.400 refeições/mês</w:t>
      </w:r>
    </w:p>
    <w:p w14:paraId="7761CB24">
      <w:pPr>
        <w:numPr>
          <w:ilvl w:val="0"/>
          <w:numId w:val="3"/>
        </w:numPr>
        <w:spacing w:before="57" w:after="57" w:line="276" w:lineRule="auto"/>
        <w:jc w:val="both"/>
        <w:rPr>
          <w:rFonts w:ascii="Century Gothic" w:hAnsi="Century Gothic"/>
        </w:rPr>
      </w:pPr>
      <w:r>
        <w:rPr>
          <w:rFonts w:ascii="Century Gothic" w:hAnsi="Century Gothic"/>
          <w:b/>
          <w:bCs/>
        </w:rPr>
        <w:t xml:space="preserve">Educação de Jovens e Adultos (EJA): </w:t>
      </w:r>
      <w:r>
        <w:rPr>
          <w:rFonts w:ascii="Century Gothic" w:hAnsi="Century Gothic"/>
        </w:rPr>
        <w:t>aproximadamente 7.920 refeições/mês</w:t>
      </w:r>
    </w:p>
    <w:p w14:paraId="7DBB0CAD">
      <w:pPr>
        <w:numPr>
          <w:ilvl w:val="0"/>
          <w:numId w:val="3"/>
        </w:numPr>
        <w:spacing w:before="57" w:after="57" w:line="276" w:lineRule="auto"/>
        <w:ind w:left="737" w:right="283" w:hanging="340"/>
        <w:jc w:val="both"/>
        <w:rPr>
          <w:rFonts w:ascii="Century Gothic" w:hAnsi="Century Gothic"/>
        </w:rPr>
      </w:pPr>
      <w:r>
        <w:rPr>
          <w:rFonts w:ascii="Century Gothic" w:hAnsi="Century Gothic"/>
          <w:b/>
          <w:bCs/>
        </w:rPr>
        <w:t xml:space="preserve">Atendimento Educacional Especializado – Fundamental e Pré-Escola: </w:t>
      </w:r>
      <w:r>
        <w:rPr>
          <w:rFonts w:ascii="Century Gothic" w:hAnsi="Century Gothic"/>
        </w:rPr>
        <w:t>aproximadamente 12.680 refeições/mês</w:t>
      </w:r>
    </w:p>
    <w:p w14:paraId="0BE23892">
      <w:pPr>
        <w:numPr>
          <w:ilvl w:val="0"/>
          <w:numId w:val="3"/>
        </w:numPr>
        <w:spacing w:before="57" w:after="57" w:line="276" w:lineRule="auto"/>
        <w:jc w:val="both"/>
        <w:rPr>
          <w:rFonts w:ascii="Century Gothic" w:hAnsi="Century Gothic"/>
        </w:rPr>
      </w:pPr>
      <w:r>
        <w:rPr>
          <w:rFonts w:ascii="Century Gothic" w:hAnsi="Century Gothic"/>
          <w:b/>
          <w:bCs/>
        </w:rPr>
        <w:t xml:space="preserve">Atendimento Educacional Especializado – Creche: </w:t>
      </w:r>
      <w:r>
        <w:rPr>
          <w:rFonts w:ascii="Century Gothic" w:hAnsi="Century Gothic"/>
        </w:rPr>
        <w:t>aproximadamente 17.600 refeições/mês</w:t>
      </w:r>
    </w:p>
    <w:p w14:paraId="00A0E5ED">
      <w:pPr>
        <w:spacing w:before="57" w:after="57" w:line="276" w:lineRule="auto"/>
        <w:ind w:left="57" w:right="283"/>
        <w:jc w:val="both"/>
        <w:rPr>
          <w:rFonts w:ascii="Century Gothic" w:hAnsi="Century Gothic"/>
          <w:b/>
          <w:bCs/>
        </w:rPr>
      </w:pPr>
      <w:r>
        <w:rPr>
          <w:rFonts w:ascii="Century Gothic" w:hAnsi="Century Gothic"/>
          <w:b/>
          <w:bCs/>
        </w:rPr>
        <w:t>Total estimado mensal de refeições: cerca de 866.680 unidades.</w:t>
      </w:r>
    </w:p>
    <w:p w14:paraId="37A16102">
      <w:pPr>
        <w:spacing w:before="57" w:after="57" w:line="276" w:lineRule="auto"/>
        <w:ind w:left="57" w:right="283"/>
        <w:jc w:val="both"/>
        <w:rPr>
          <w:rFonts w:ascii="Century Gothic" w:hAnsi="Century Gothic"/>
        </w:rPr>
      </w:pPr>
      <w:r>
        <w:rPr>
          <w:rFonts w:ascii="Century Gothic" w:hAnsi="Century Gothic"/>
        </w:rPr>
        <w:t>As quantidades acima servem como referência para o dimensionamento da contratação, podendo sofrer variações ao longo da execução contratual em razão de fatores como calendário escolar, variações na matrícula, presença efetiva dos estudantes e atividades pedagógicas extraordinárias. A contratada deverá possuir capacidade técnica e logística para ajustar o fornecimento às variações de demanda, conforme orientações da Secretaria Municipal de Educação.</w:t>
      </w:r>
    </w:p>
    <w:p w14:paraId="45134E23">
      <w:pPr>
        <w:spacing w:before="57" w:after="57" w:line="276" w:lineRule="auto"/>
        <w:ind w:left="57" w:right="283"/>
        <w:jc w:val="both"/>
        <w:rPr>
          <w:rFonts w:ascii="Century Gothic" w:hAnsi="Century Gothic"/>
        </w:rPr>
      </w:pPr>
      <w:r>
        <w:rPr>
          <w:rFonts w:ascii="Century Gothic" w:hAnsi="Century Gothic"/>
        </w:rPr>
        <w:t>A estimativa de demanda leva em consideração as modalidades de ensino ofertadas, as cargas horárias distintas e os níveis de permanência dos alunos nas unidades escolares, o que implica variação no número de refeições por estudante. A alimentação escolar no município abrange as seguintes modalidades:</w:t>
      </w:r>
    </w:p>
    <w:tbl>
      <w:tblPr>
        <w:tblStyle w:val="12"/>
        <w:tblW w:w="9800" w:type="dxa"/>
        <w:tblInd w:w="55" w:type="dxa"/>
        <w:tblLayout w:type="fixed"/>
        <w:tblCellMar>
          <w:top w:w="55" w:type="dxa"/>
          <w:left w:w="55" w:type="dxa"/>
          <w:bottom w:w="55" w:type="dxa"/>
          <w:right w:w="55" w:type="dxa"/>
        </w:tblCellMar>
      </w:tblPr>
      <w:tblGrid>
        <w:gridCol w:w="2938"/>
        <w:gridCol w:w="839"/>
        <w:gridCol w:w="1548"/>
        <w:gridCol w:w="1584"/>
        <w:gridCol w:w="2891"/>
      </w:tblGrid>
      <w:tr w14:paraId="35E1E1EB">
        <w:tblPrEx>
          <w:tblCellMar>
            <w:top w:w="55" w:type="dxa"/>
            <w:left w:w="55" w:type="dxa"/>
            <w:bottom w:w="55" w:type="dxa"/>
            <w:right w:w="55" w:type="dxa"/>
          </w:tblCellMar>
        </w:tblPrEx>
        <w:tc>
          <w:tcPr>
            <w:tcW w:w="2938" w:type="dxa"/>
            <w:tcBorders>
              <w:top w:val="single" w:color="000000" w:sz="4" w:space="0"/>
              <w:left w:val="single" w:color="000000" w:sz="4" w:space="0"/>
              <w:bottom w:val="single" w:color="000000" w:sz="4" w:space="0"/>
            </w:tcBorders>
            <w:shd w:val="clear" w:color="auto" w:fill="DDDDDD"/>
          </w:tcPr>
          <w:p w14:paraId="10A973CD">
            <w:pPr>
              <w:pStyle w:val="164"/>
              <w:widowControl w:val="0"/>
              <w:spacing w:before="57" w:after="57"/>
              <w:jc w:val="center"/>
              <w:rPr>
                <w:rFonts w:ascii="Century Gothic" w:hAnsi="Century Gothic"/>
                <w:b/>
                <w:bCs/>
              </w:rPr>
            </w:pPr>
            <w:r>
              <w:rPr>
                <w:rFonts w:ascii="Century Gothic" w:hAnsi="Century Gothic"/>
                <w:b/>
                <w:bCs/>
              </w:rPr>
              <w:t>Modalidade</w:t>
            </w:r>
          </w:p>
        </w:tc>
        <w:tc>
          <w:tcPr>
            <w:tcW w:w="839" w:type="dxa"/>
            <w:tcBorders>
              <w:top w:val="single" w:color="000000" w:sz="4" w:space="0"/>
              <w:left w:val="single" w:color="000000" w:sz="4" w:space="0"/>
              <w:bottom w:val="single" w:color="000000" w:sz="4" w:space="0"/>
            </w:tcBorders>
            <w:shd w:val="clear" w:color="auto" w:fill="DDDDDD"/>
          </w:tcPr>
          <w:p w14:paraId="4FCC4634">
            <w:pPr>
              <w:pStyle w:val="164"/>
              <w:widowControl w:val="0"/>
              <w:spacing w:before="57" w:after="57"/>
              <w:jc w:val="center"/>
              <w:rPr>
                <w:rFonts w:ascii="Century Gothic" w:hAnsi="Century Gothic"/>
                <w:b/>
                <w:bCs/>
              </w:rPr>
            </w:pPr>
            <w:r>
              <w:rPr>
                <w:rFonts w:ascii="Century Gothic" w:hAnsi="Century Gothic"/>
                <w:b/>
                <w:bCs/>
              </w:rPr>
              <w:t>Alunos</w:t>
            </w:r>
          </w:p>
        </w:tc>
        <w:tc>
          <w:tcPr>
            <w:tcW w:w="1548" w:type="dxa"/>
            <w:tcBorders>
              <w:top w:val="single" w:color="000000" w:sz="4" w:space="0"/>
              <w:left w:val="single" w:color="000000" w:sz="4" w:space="0"/>
              <w:bottom w:val="single" w:color="000000" w:sz="4" w:space="0"/>
            </w:tcBorders>
            <w:shd w:val="clear" w:color="auto" w:fill="DDDDDD"/>
          </w:tcPr>
          <w:p w14:paraId="6AAE24B6">
            <w:pPr>
              <w:pStyle w:val="164"/>
              <w:widowControl w:val="0"/>
              <w:spacing w:before="57" w:after="57"/>
              <w:jc w:val="center"/>
              <w:rPr>
                <w:rFonts w:ascii="Century Gothic" w:hAnsi="Century Gothic"/>
                <w:b/>
                <w:bCs/>
              </w:rPr>
            </w:pPr>
            <w:r>
              <w:rPr>
                <w:rFonts w:ascii="Century Gothic" w:hAnsi="Century Gothic"/>
                <w:b/>
                <w:bCs/>
              </w:rPr>
              <w:t>Refeições/Dia</w:t>
            </w:r>
          </w:p>
        </w:tc>
        <w:tc>
          <w:tcPr>
            <w:tcW w:w="1584" w:type="dxa"/>
            <w:tcBorders>
              <w:top w:val="single" w:color="000000" w:sz="4" w:space="0"/>
              <w:left w:val="single" w:color="000000" w:sz="4" w:space="0"/>
              <w:bottom w:val="single" w:color="000000" w:sz="4" w:space="0"/>
            </w:tcBorders>
            <w:shd w:val="clear" w:color="auto" w:fill="DDDDDD"/>
          </w:tcPr>
          <w:p w14:paraId="35C34291">
            <w:pPr>
              <w:pStyle w:val="164"/>
              <w:widowControl w:val="0"/>
              <w:spacing w:before="57" w:after="57"/>
              <w:jc w:val="center"/>
              <w:rPr>
                <w:rFonts w:ascii="Century Gothic" w:hAnsi="Century Gothic"/>
                <w:b/>
                <w:bCs/>
              </w:rPr>
            </w:pPr>
            <w:r>
              <w:rPr>
                <w:rFonts w:ascii="Century Gothic" w:hAnsi="Century Gothic"/>
                <w:b/>
                <w:bCs/>
              </w:rPr>
              <w:t>Refeições/Mês</w:t>
            </w:r>
          </w:p>
        </w:tc>
        <w:tc>
          <w:tcPr>
            <w:tcW w:w="2891" w:type="dxa"/>
            <w:tcBorders>
              <w:top w:val="single" w:color="000000" w:sz="4" w:space="0"/>
              <w:left w:val="single" w:color="000000" w:sz="4" w:space="0"/>
              <w:bottom w:val="single" w:color="000000" w:sz="4" w:space="0"/>
              <w:right w:val="single" w:color="000000" w:sz="4" w:space="0"/>
            </w:tcBorders>
            <w:shd w:val="clear" w:color="auto" w:fill="DDDDDD"/>
          </w:tcPr>
          <w:p w14:paraId="1EDD9676">
            <w:pPr>
              <w:pStyle w:val="164"/>
              <w:widowControl w:val="0"/>
              <w:spacing w:before="57" w:after="57"/>
              <w:jc w:val="center"/>
              <w:rPr>
                <w:rFonts w:ascii="Century Gothic" w:hAnsi="Century Gothic"/>
                <w:b/>
                <w:bCs/>
              </w:rPr>
            </w:pPr>
            <w:r>
              <w:rPr>
                <w:rFonts w:ascii="Century Gothic" w:hAnsi="Century Gothic"/>
                <w:b/>
                <w:bCs/>
              </w:rPr>
              <w:t>Tipo De Serviço Alimentar</w:t>
            </w:r>
          </w:p>
        </w:tc>
      </w:tr>
      <w:tr w14:paraId="3B953416">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35A4BEED">
            <w:pPr>
              <w:widowControl w:val="0"/>
              <w:jc w:val="center"/>
            </w:pPr>
            <w:r>
              <w:rPr>
                <w:rFonts w:ascii="Century Gothic" w:hAnsi="Century Gothic"/>
                <w:b/>
                <w:bCs/>
                <w:sz w:val="19"/>
                <w:szCs w:val="19"/>
              </w:rPr>
              <w:t>Creche Parcial (matutino)</w:t>
            </w:r>
          </w:p>
        </w:tc>
        <w:tc>
          <w:tcPr>
            <w:tcW w:w="839" w:type="dxa"/>
            <w:tcBorders>
              <w:left w:val="single" w:color="000000" w:sz="4" w:space="0"/>
              <w:bottom w:val="single" w:color="000000" w:sz="4" w:space="0"/>
            </w:tcBorders>
          </w:tcPr>
          <w:p w14:paraId="0C3D59AD">
            <w:pPr>
              <w:pStyle w:val="164"/>
              <w:widowControl w:val="0"/>
              <w:jc w:val="center"/>
            </w:pPr>
            <w:r>
              <w:rPr>
                <w:rFonts w:ascii="Century Gothic" w:hAnsi="Century Gothic"/>
                <w:sz w:val="19"/>
                <w:szCs w:val="19"/>
              </w:rPr>
              <w:t>1728</w:t>
            </w:r>
          </w:p>
        </w:tc>
        <w:tc>
          <w:tcPr>
            <w:tcW w:w="1548" w:type="dxa"/>
            <w:tcBorders>
              <w:left w:val="single" w:color="000000" w:sz="4" w:space="0"/>
              <w:bottom w:val="single" w:color="000000" w:sz="4" w:space="0"/>
            </w:tcBorders>
          </w:tcPr>
          <w:p w14:paraId="28A5F194">
            <w:pPr>
              <w:pStyle w:val="164"/>
              <w:widowControl w:val="0"/>
              <w:jc w:val="center"/>
            </w:pPr>
            <w:r>
              <w:rPr>
                <w:rFonts w:ascii="Century Gothic" w:hAnsi="Century Gothic"/>
                <w:b/>
                <w:bCs/>
                <w:sz w:val="19"/>
                <w:szCs w:val="19"/>
              </w:rPr>
              <w:t>1728</w:t>
            </w:r>
          </w:p>
        </w:tc>
        <w:tc>
          <w:tcPr>
            <w:tcW w:w="1584" w:type="dxa"/>
            <w:tcBorders>
              <w:left w:val="single" w:color="000000" w:sz="4" w:space="0"/>
              <w:bottom w:val="single" w:color="000000" w:sz="4" w:space="0"/>
            </w:tcBorders>
          </w:tcPr>
          <w:p w14:paraId="0131894B">
            <w:pPr>
              <w:pStyle w:val="164"/>
              <w:widowControl w:val="0"/>
              <w:jc w:val="center"/>
              <w:rPr>
                <w:rFonts w:ascii="Century Gothic" w:hAnsi="Century Gothic"/>
                <w:sz w:val="19"/>
                <w:szCs w:val="19"/>
              </w:rPr>
            </w:pPr>
            <w:r>
              <w:rPr>
                <w:rFonts w:ascii="Century Gothic" w:hAnsi="Century Gothic"/>
                <w:sz w:val="19"/>
                <w:szCs w:val="19"/>
              </w:rPr>
              <w:t>34560</w:t>
            </w:r>
          </w:p>
        </w:tc>
        <w:tc>
          <w:tcPr>
            <w:tcW w:w="2891" w:type="dxa"/>
            <w:tcBorders>
              <w:left w:val="single" w:color="000000" w:sz="4" w:space="0"/>
              <w:bottom w:val="single" w:color="000000" w:sz="4" w:space="0"/>
              <w:right w:val="single" w:color="000000" w:sz="4" w:space="0"/>
            </w:tcBorders>
          </w:tcPr>
          <w:p w14:paraId="646CC382">
            <w:pPr>
              <w:widowControl w:val="0"/>
              <w:jc w:val="center"/>
            </w:pPr>
            <w:r>
              <w:rPr>
                <w:rFonts w:ascii="Century Gothic" w:hAnsi="Century Gothic"/>
                <w:b/>
                <w:bCs/>
                <w:sz w:val="19"/>
                <w:szCs w:val="19"/>
              </w:rPr>
              <w:t>Café da Manhã/Almoço</w:t>
            </w:r>
          </w:p>
        </w:tc>
      </w:tr>
      <w:tr w14:paraId="58D452FD">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65FBF779">
            <w:pPr>
              <w:widowControl w:val="0"/>
              <w:jc w:val="center"/>
            </w:pPr>
            <w:r>
              <w:rPr>
                <w:rFonts w:ascii="Century Gothic" w:hAnsi="Century Gothic"/>
                <w:b/>
                <w:bCs/>
                <w:sz w:val="19"/>
                <w:szCs w:val="19"/>
              </w:rPr>
              <w:t>Creche Parcial (vespertino)</w:t>
            </w:r>
          </w:p>
        </w:tc>
        <w:tc>
          <w:tcPr>
            <w:tcW w:w="839" w:type="dxa"/>
            <w:tcBorders>
              <w:left w:val="single" w:color="000000" w:sz="4" w:space="0"/>
              <w:bottom w:val="single" w:color="000000" w:sz="4" w:space="0"/>
            </w:tcBorders>
          </w:tcPr>
          <w:p w14:paraId="0E51C1BD">
            <w:pPr>
              <w:pStyle w:val="164"/>
              <w:widowControl w:val="0"/>
              <w:jc w:val="center"/>
              <w:rPr>
                <w:rFonts w:ascii="Century Gothic" w:hAnsi="Century Gothic"/>
                <w:sz w:val="19"/>
                <w:szCs w:val="19"/>
              </w:rPr>
            </w:pPr>
            <w:r>
              <w:rPr>
                <w:rFonts w:ascii="Century Gothic" w:hAnsi="Century Gothic"/>
                <w:sz w:val="19"/>
                <w:szCs w:val="19"/>
              </w:rPr>
              <w:t>2136</w:t>
            </w:r>
          </w:p>
        </w:tc>
        <w:tc>
          <w:tcPr>
            <w:tcW w:w="1548" w:type="dxa"/>
            <w:tcBorders>
              <w:left w:val="single" w:color="000000" w:sz="4" w:space="0"/>
              <w:bottom w:val="single" w:color="000000" w:sz="4" w:space="0"/>
            </w:tcBorders>
          </w:tcPr>
          <w:p w14:paraId="71822EE6">
            <w:pPr>
              <w:pStyle w:val="164"/>
              <w:widowControl w:val="0"/>
              <w:jc w:val="center"/>
              <w:rPr>
                <w:b/>
                <w:bCs/>
              </w:rPr>
            </w:pPr>
            <w:r>
              <w:rPr>
                <w:rFonts w:ascii="Century Gothic" w:hAnsi="Century Gothic"/>
                <w:b/>
                <w:bCs/>
                <w:sz w:val="19"/>
                <w:szCs w:val="19"/>
              </w:rPr>
              <w:t>2136</w:t>
            </w:r>
          </w:p>
        </w:tc>
        <w:tc>
          <w:tcPr>
            <w:tcW w:w="1584" w:type="dxa"/>
            <w:tcBorders>
              <w:left w:val="single" w:color="000000" w:sz="4" w:space="0"/>
              <w:bottom w:val="single" w:color="000000" w:sz="4" w:space="0"/>
            </w:tcBorders>
          </w:tcPr>
          <w:p w14:paraId="2A4E1316">
            <w:pPr>
              <w:pStyle w:val="164"/>
              <w:widowControl w:val="0"/>
              <w:jc w:val="center"/>
              <w:rPr>
                <w:rFonts w:ascii="Century Gothic" w:hAnsi="Century Gothic"/>
                <w:sz w:val="19"/>
                <w:szCs w:val="19"/>
              </w:rPr>
            </w:pPr>
            <w:r>
              <w:rPr>
                <w:rFonts w:ascii="Century Gothic" w:hAnsi="Century Gothic"/>
                <w:sz w:val="19"/>
                <w:szCs w:val="19"/>
              </w:rPr>
              <w:t>42720</w:t>
            </w:r>
          </w:p>
        </w:tc>
        <w:tc>
          <w:tcPr>
            <w:tcW w:w="2891" w:type="dxa"/>
            <w:tcBorders>
              <w:left w:val="single" w:color="000000" w:sz="4" w:space="0"/>
              <w:bottom w:val="single" w:color="000000" w:sz="4" w:space="0"/>
              <w:right w:val="single" w:color="000000" w:sz="4" w:space="0"/>
            </w:tcBorders>
          </w:tcPr>
          <w:p w14:paraId="103EEB44">
            <w:pPr>
              <w:widowControl w:val="0"/>
              <w:jc w:val="center"/>
            </w:pPr>
            <w:r>
              <w:rPr>
                <w:rFonts w:ascii="Century Gothic" w:hAnsi="Century Gothic"/>
                <w:b/>
                <w:bCs/>
                <w:sz w:val="19"/>
                <w:szCs w:val="19"/>
              </w:rPr>
              <w:t>Lanche da Tarde/Jantar</w:t>
            </w:r>
          </w:p>
        </w:tc>
      </w:tr>
      <w:tr w14:paraId="50235854">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64809218">
            <w:pPr>
              <w:widowControl w:val="0"/>
              <w:jc w:val="center"/>
            </w:pPr>
            <w:r>
              <w:rPr>
                <w:rFonts w:ascii="Century Gothic" w:hAnsi="Century Gothic"/>
                <w:b/>
                <w:bCs/>
                <w:sz w:val="19"/>
                <w:szCs w:val="19"/>
              </w:rPr>
              <w:t>Creche Integral</w:t>
            </w:r>
          </w:p>
        </w:tc>
        <w:tc>
          <w:tcPr>
            <w:tcW w:w="839" w:type="dxa"/>
            <w:tcBorders>
              <w:left w:val="single" w:color="000000" w:sz="4" w:space="0"/>
              <w:bottom w:val="single" w:color="000000" w:sz="4" w:space="0"/>
            </w:tcBorders>
          </w:tcPr>
          <w:p w14:paraId="337188EC">
            <w:pPr>
              <w:pStyle w:val="164"/>
              <w:widowControl w:val="0"/>
              <w:jc w:val="center"/>
            </w:pPr>
            <w:r>
              <w:rPr>
                <w:rFonts w:ascii="Century Gothic" w:hAnsi="Century Gothic"/>
                <w:sz w:val="19"/>
                <w:szCs w:val="19"/>
              </w:rPr>
              <w:t>2204</w:t>
            </w:r>
          </w:p>
        </w:tc>
        <w:tc>
          <w:tcPr>
            <w:tcW w:w="1548" w:type="dxa"/>
            <w:tcBorders>
              <w:left w:val="single" w:color="000000" w:sz="4" w:space="0"/>
              <w:bottom w:val="single" w:color="000000" w:sz="4" w:space="0"/>
            </w:tcBorders>
          </w:tcPr>
          <w:p w14:paraId="259E9649">
            <w:pPr>
              <w:pStyle w:val="164"/>
              <w:widowControl w:val="0"/>
              <w:jc w:val="center"/>
              <w:rPr>
                <w:b/>
                <w:bCs/>
              </w:rPr>
            </w:pPr>
            <w:r>
              <w:rPr>
                <w:rFonts w:ascii="Century Gothic" w:hAnsi="Century Gothic"/>
                <w:b/>
                <w:bCs/>
                <w:sz w:val="19"/>
                <w:szCs w:val="19"/>
              </w:rPr>
              <w:t>2204</w:t>
            </w:r>
          </w:p>
        </w:tc>
        <w:tc>
          <w:tcPr>
            <w:tcW w:w="1584" w:type="dxa"/>
            <w:tcBorders>
              <w:left w:val="single" w:color="000000" w:sz="4" w:space="0"/>
              <w:bottom w:val="single" w:color="000000" w:sz="4" w:space="0"/>
            </w:tcBorders>
          </w:tcPr>
          <w:p w14:paraId="4FF82C1C">
            <w:pPr>
              <w:pStyle w:val="164"/>
              <w:widowControl w:val="0"/>
              <w:jc w:val="center"/>
              <w:rPr>
                <w:rFonts w:ascii="Century Gothic" w:hAnsi="Century Gothic"/>
                <w:sz w:val="19"/>
                <w:szCs w:val="19"/>
              </w:rPr>
            </w:pPr>
            <w:r>
              <w:rPr>
                <w:rFonts w:ascii="Century Gothic" w:hAnsi="Century Gothic"/>
                <w:sz w:val="19"/>
                <w:szCs w:val="19"/>
              </w:rPr>
              <w:t>44080</w:t>
            </w:r>
          </w:p>
        </w:tc>
        <w:tc>
          <w:tcPr>
            <w:tcW w:w="2891" w:type="dxa"/>
            <w:tcBorders>
              <w:left w:val="single" w:color="000000" w:sz="4" w:space="0"/>
              <w:bottom w:val="single" w:color="000000" w:sz="4" w:space="0"/>
              <w:right w:val="single" w:color="000000" w:sz="4" w:space="0"/>
            </w:tcBorders>
          </w:tcPr>
          <w:p w14:paraId="7EC113D9">
            <w:pPr>
              <w:widowControl w:val="0"/>
              <w:jc w:val="center"/>
            </w:pPr>
            <w:r>
              <w:rPr>
                <w:rFonts w:ascii="Century Gothic" w:hAnsi="Century Gothic"/>
                <w:b/>
                <w:bCs/>
                <w:sz w:val="19"/>
                <w:szCs w:val="19"/>
              </w:rPr>
              <w:t>Café da Manhã</w:t>
            </w:r>
          </w:p>
        </w:tc>
      </w:tr>
      <w:tr w14:paraId="28041CE9">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770068F3">
            <w:pPr>
              <w:widowControl w:val="0"/>
              <w:jc w:val="center"/>
            </w:pPr>
            <w:r>
              <w:rPr>
                <w:rFonts w:ascii="Century Gothic" w:hAnsi="Century Gothic"/>
                <w:b/>
                <w:bCs/>
                <w:sz w:val="19"/>
                <w:szCs w:val="19"/>
              </w:rPr>
              <w:t>Creche Integral</w:t>
            </w:r>
          </w:p>
        </w:tc>
        <w:tc>
          <w:tcPr>
            <w:tcW w:w="839" w:type="dxa"/>
            <w:tcBorders>
              <w:left w:val="single" w:color="000000" w:sz="4" w:space="0"/>
              <w:bottom w:val="single" w:color="000000" w:sz="4" w:space="0"/>
            </w:tcBorders>
          </w:tcPr>
          <w:p w14:paraId="65C73BB2">
            <w:pPr>
              <w:pStyle w:val="164"/>
              <w:widowControl w:val="0"/>
              <w:jc w:val="center"/>
            </w:pPr>
            <w:r>
              <w:rPr>
                <w:rFonts w:ascii="Century Gothic" w:hAnsi="Century Gothic"/>
                <w:sz w:val="19"/>
                <w:szCs w:val="19"/>
              </w:rPr>
              <w:t>2204</w:t>
            </w:r>
          </w:p>
        </w:tc>
        <w:tc>
          <w:tcPr>
            <w:tcW w:w="1548" w:type="dxa"/>
            <w:tcBorders>
              <w:left w:val="single" w:color="000000" w:sz="4" w:space="0"/>
              <w:bottom w:val="single" w:color="000000" w:sz="4" w:space="0"/>
            </w:tcBorders>
          </w:tcPr>
          <w:p w14:paraId="2749FA9A">
            <w:pPr>
              <w:pStyle w:val="164"/>
              <w:widowControl w:val="0"/>
              <w:jc w:val="center"/>
              <w:rPr>
                <w:b/>
                <w:bCs/>
              </w:rPr>
            </w:pPr>
            <w:r>
              <w:rPr>
                <w:rFonts w:ascii="Century Gothic" w:hAnsi="Century Gothic"/>
                <w:b/>
                <w:bCs/>
                <w:sz w:val="19"/>
                <w:szCs w:val="19"/>
              </w:rPr>
              <w:t>2204</w:t>
            </w:r>
          </w:p>
        </w:tc>
        <w:tc>
          <w:tcPr>
            <w:tcW w:w="1584" w:type="dxa"/>
            <w:tcBorders>
              <w:left w:val="single" w:color="000000" w:sz="4" w:space="0"/>
              <w:bottom w:val="single" w:color="000000" w:sz="4" w:space="0"/>
            </w:tcBorders>
          </w:tcPr>
          <w:p w14:paraId="5C1F9EBD">
            <w:pPr>
              <w:pStyle w:val="164"/>
              <w:widowControl w:val="0"/>
              <w:jc w:val="center"/>
              <w:rPr>
                <w:rFonts w:ascii="Century Gothic" w:hAnsi="Century Gothic"/>
                <w:sz w:val="19"/>
                <w:szCs w:val="19"/>
              </w:rPr>
            </w:pPr>
            <w:r>
              <w:rPr>
                <w:rFonts w:ascii="Century Gothic" w:hAnsi="Century Gothic"/>
                <w:sz w:val="19"/>
                <w:szCs w:val="19"/>
              </w:rPr>
              <w:t>44080</w:t>
            </w:r>
          </w:p>
        </w:tc>
        <w:tc>
          <w:tcPr>
            <w:tcW w:w="2891" w:type="dxa"/>
            <w:tcBorders>
              <w:left w:val="single" w:color="000000" w:sz="4" w:space="0"/>
              <w:bottom w:val="single" w:color="000000" w:sz="4" w:space="0"/>
              <w:right w:val="single" w:color="000000" w:sz="4" w:space="0"/>
            </w:tcBorders>
          </w:tcPr>
          <w:p w14:paraId="4419ACB9">
            <w:pPr>
              <w:widowControl w:val="0"/>
              <w:jc w:val="center"/>
            </w:pPr>
            <w:r>
              <w:rPr>
                <w:rFonts w:ascii="Century Gothic" w:hAnsi="Century Gothic"/>
                <w:b/>
                <w:bCs/>
                <w:sz w:val="19"/>
                <w:szCs w:val="19"/>
              </w:rPr>
              <w:t>Almoço</w:t>
            </w:r>
          </w:p>
        </w:tc>
      </w:tr>
      <w:tr w14:paraId="33AD1CFE">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40D5D91B">
            <w:pPr>
              <w:widowControl w:val="0"/>
              <w:jc w:val="center"/>
            </w:pPr>
            <w:r>
              <w:rPr>
                <w:rFonts w:ascii="Century Gothic" w:hAnsi="Century Gothic"/>
                <w:b/>
                <w:bCs/>
                <w:sz w:val="19"/>
                <w:szCs w:val="19"/>
              </w:rPr>
              <w:t>Creche Integral</w:t>
            </w:r>
          </w:p>
        </w:tc>
        <w:tc>
          <w:tcPr>
            <w:tcW w:w="839" w:type="dxa"/>
            <w:tcBorders>
              <w:left w:val="single" w:color="000000" w:sz="4" w:space="0"/>
              <w:bottom w:val="single" w:color="000000" w:sz="4" w:space="0"/>
            </w:tcBorders>
          </w:tcPr>
          <w:p w14:paraId="66F6BF11">
            <w:pPr>
              <w:pStyle w:val="164"/>
              <w:widowControl w:val="0"/>
              <w:jc w:val="center"/>
            </w:pPr>
            <w:r>
              <w:rPr>
                <w:rFonts w:ascii="Century Gothic" w:hAnsi="Century Gothic"/>
                <w:sz w:val="19"/>
                <w:szCs w:val="19"/>
              </w:rPr>
              <w:t>2204</w:t>
            </w:r>
          </w:p>
        </w:tc>
        <w:tc>
          <w:tcPr>
            <w:tcW w:w="1548" w:type="dxa"/>
            <w:tcBorders>
              <w:left w:val="single" w:color="000000" w:sz="4" w:space="0"/>
              <w:bottom w:val="single" w:color="000000" w:sz="4" w:space="0"/>
            </w:tcBorders>
          </w:tcPr>
          <w:p w14:paraId="230CDC59">
            <w:pPr>
              <w:pStyle w:val="164"/>
              <w:widowControl w:val="0"/>
              <w:jc w:val="center"/>
              <w:rPr>
                <w:b/>
                <w:bCs/>
              </w:rPr>
            </w:pPr>
            <w:r>
              <w:rPr>
                <w:rFonts w:ascii="Century Gothic" w:hAnsi="Century Gothic"/>
                <w:b/>
                <w:bCs/>
                <w:sz w:val="19"/>
                <w:szCs w:val="19"/>
              </w:rPr>
              <w:t>2204</w:t>
            </w:r>
          </w:p>
        </w:tc>
        <w:tc>
          <w:tcPr>
            <w:tcW w:w="1584" w:type="dxa"/>
            <w:tcBorders>
              <w:left w:val="single" w:color="000000" w:sz="4" w:space="0"/>
              <w:bottom w:val="single" w:color="000000" w:sz="4" w:space="0"/>
            </w:tcBorders>
          </w:tcPr>
          <w:p w14:paraId="3F6E0EC2">
            <w:pPr>
              <w:pStyle w:val="164"/>
              <w:widowControl w:val="0"/>
              <w:jc w:val="center"/>
              <w:rPr>
                <w:rFonts w:ascii="Century Gothic" w:hAnsi="Century Gothic"/>
                <w:sz w:val="19"/>
                <w:szCs w:val="19"/>
              </w:rPr>
            </w:pPr>
            <w:r>
              <w:rPr>
                <w:rFonts w:ascii="Century Gothic" w:hAnsi="Century Gothic"/>
                <w:sz w:val="19"/>
                <w:szCs w:val="19"/>
              </w:rPr>
              <w:t>44080</w:t>
            </w:r>
          </w:p>
        </w:tc>
        <w:tc>
          <w:tcPr>
            <w:tcW w:w="2891" w:type="dxa"/>
            <w:tcBorders>
              <w:left w:val="single" w:color="000000" w:sz="4" w:space="0"/>
              <w:bottom w:val="single" w:color="000000" w:sz="4" w:space="0"/>
              <w:right w:val="single" w:color="000000" w:sz="4" w:space="0"/>
            </w:tcBorders>
          </w:tcPr>
          <w:p w14:paraId="7C390CCD">
            <w:pPr>
              <w:widowControl w:val="0"/>
              <w:jc w:val="center"/>
            </w:pPr>
            <w:r>
              <w:rPr>
                <w:rFonts w:ascii="Century Gothic" w:hAnsi="Century Gothic"/>
                <w:b/>
                <w:bCs/>
                <w:sz w:val="19"/>
                <w:szCs w:val="19"/>
              </w:rPr>
              <w:t>Lanche</w:t>
            </w:r>
          </w:p>
        </w:tc>
      </w:tr>
      <w:tr w14:paraId="61338B19">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133E1451">
            <w:pPr>
              <w:widowControl w:val="0"/>
              <w:jc w:val="center"/>
            </w:pPr>
            <w:r>
              <w:rPr>
                <w:rFonts w:ascii="Century Gothic" w:hAnsi="Century Gothic"/>
                <w:b/>
                <w:bCs/>
                <w:sz w:val="19"/>
                <w:szCs w:val="19"/>
              </w:rPr>
              <w:t>Creche Integral</w:t>
            </w:r>
          </w:p>
        </w:tc>
        <w:tc>
          <w:tcPr>
            <w:tcW w:w="839" w:type="dxa"/>
            <w:tcBorders>
              <w:left w:val="single" w:color="000000" w:sz="4" w:space="0"/>
              <w:bottom w:val="single" w:color="000000" w:sz="4" w:space="0"/>
            </w:tcBorders>
          </w:tcPr>
          <w:p w14:paraId="4F9E2B4F">
            <w:pPr>
              <w:pStyle w:val="164"/>
              <w:widowControl w:val="0"/>
              <w:jc w:val="center"/>
            </w:pPr>
            <w:r>
              <w:rPr>
                <w:rFonts w:ascii="Century Gothic" w:hAnsi="Century Gothic"/>
                <w:sz w:val="19"/>
                <w:szCs w:val="19"/>
              </w:rPr>
              <w:t>2204</w:t>
            </w:r>
          </w:p>
        </w:tc>
        <w:tc>
          <w:tcPr>
            <w:tcW w:w="1548" w:type="dxa"/>
            <w:tcBorders>
              <w:left w:val="single" w:color="000000" w:sz="4" w:space="0"/>
              <w:bottom w:val="single" w:color="000000" w:sz="4" w:space="0"/>
            </w:tcBorders>
          </w:tcPr>
          <w:p w14:paraId="01F06546">
            <w:pPr>
              <w:pStyle w:val="164"/>
              <w:widowControl w:val="0"/>
              <w:jc w:val="center"/>
              <w:rPr>
                <w:b/>
                <w:bCs/>
              </w:rPr>
            </w:pPr>
            <w:r>
              <w:rPr>
                <w:rFonts w:ascii="Century Gothic" w:hAnsi="Century Gothic"/>
                <w:b/>
                <w:bCs/>
                <w:sz w:val="19"/>
                <w:szCs w:val="19"/>
              </w:rPr>
              <w:t>2204</w:t>
            </w:r>
          </w:p>
        </w:tc>
        <w:tc>
          <w:tcPr>
            <w:tcW w:w="1584" w:type="dxa"/>
            <w:tcBorders>
              <w:left w:val="single" w:color="000000" w:sz="4" w:space="0"/>
              <w:bottom w:val="single" w:color="000000" w:sz="4" w:space="0"/>
            </w:tcBorders>
          </w:tcPr>
          <w:p w14:paraId="7E69CD4C">
            <w:pPr>
              <w:pStyle w:val="164"/>
              <w:widowControl w:val="0"/>
              <w:jc w:val="center"/>
              <w:rPr>
                <w:rFonts w:ascii="Century Gothic" w:hAnsi="Century Gothic"/>
                <w:sz w:val="19"/>
                <w:szCs w:val="19"/>
              </w:rPr>
            </w:pPr>
            <w:r>
              <w:rPr>
                <w:rFonts w:ascii="Century Gothic" w:hAnsi="Century Gothic"/>
                <w:sz w:val="19"/>
                <w:szCs w:val="19"/>
              </w:rPr>
              <w:t>44080</w:t>
            </w:r>
          </w:p>
        </w:tc>
        <w:tc>
          <w:tcPr>
            <w:tcW w:w="2891" w:type="dxa"/>
            <w:tcBorders>
              <w:left w:val="single" w:color="000000" w:sz="4" w:space="0"/>
              <w:bottom w:val="single" w:color="000000" w:sz="4" w:space="0"/>
              <w:right w:val="single" w:color="000000" w:sz="4" w:space="0"/>
            </w:tcBorders>
          </w:tcPr>
          <w:p w14:paraId="3BF5D685">
            <w:pPr>
              <w:widowControl w:val="0"/>
              <w:jc w:val="center"/>
            </w:pPr>
            <w:r>
              <w:rPr>
                <w:rFonts w:ascii="Century Gothic" w:hAnsi="Century Gothic"/>
                <w:b/>
                <w:bCs/>
                <w:sz w:val="19"/>
                <w:szCs w:val="19"/>
              </w:rPr>
              <w:t>Jantar</w:t>
            </w:r>
          </w:p>
        </w:tc>
      </w:tr>
      <w:tr w14:paraId="318A0021">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116C35AC">
            <w:pPr>
              <w:widowControl w:val="0"/>
              <w:jc w:val="center"/>
            </w:pPr>
            <w:r>
              <w:rPr>
                <w:rFonts w:ascii="Century Gothic" w:hAnsi="Century Gothic"/>
                <w:b/>
                <w:bCs/>
                <w:sz w:val="19"/>
                <w:szCs w:val="19"/>
              </w:rPr>
              <w:t>Pré-Escola Parcial (matutino)</w:t>
            </w:r>
          </w:p>
        </w:tc>
        <w:tc>
          <w:tcPr>
            <w:tcW w:w="839" w:type="dxa"/>
            <w:tcBorders>
              <w:left w:val="single" w:color="000000" w:sz="4" w:space="0"/>
              <w:bottom w:val="single" w:color="000000" w:sz="4" w:space="0"/>
            </w:tcBorders>
          </w:tcPr>
          <w:p w14:paraId="7F53B70F">
            <w:pPr>
              <w:pStyle w:val="164"/>
              <w:widowControl w:val="0"/>
              <w:jc w:val="center"/>
            </w:pPr>
            <w:r>
              <w:rPr>
                <w:rFonts w:ascii="Century Gothic" w:hAnsi="Century Gothic"/>
                <w:sz w:val="19"/>
                <w:szCs w:val="19"/>
              </w:rPr>
              <w:t>2706</w:t>
            </w:r>
          </w:p>
        </w:tc>
        <w:tc>
          <w:tcPr>
            <w:tcW w:w="1548" w:type="dxa"/>
            <w:tcBorders>
              <w:left w:val="single" w:color="000000" w:sz="4" w:space="0"/>
              <w:bottom w:val="single" w:color="000000" w:sz="4" w:space="0"/>
            </w:tcBorders>
          </w:tcPr>
          <w:p w14:paraId="49A2C7C4">
            <w:pPr>
              <w:pStyle w:val="164"/>
              <w:widowControl w:val="0"/>
              <w:jc w:val="center"/>
              <w:rPr>
                <w:b/>
                <w:bCs/>
              </w:rPr>
            </w:pPr>
            <w:r>
              <w:rPr>
                <w:rFonts w:ascii="Century Gothic" w:hAnsi="Century Gothic"/>
                <w:b/>
                <w:bCs/>
                <w:sz w:val="19"/>
                <w:szCs w:val="19"/>
              </w:rPr>
              <w:t>2706</w:t>
            </w:r>
          </w:p>
        </w:tc>
        <w:tc>
          <w:tcPr>
            <w:tcW w:w="1584" w:type="dxa"/>
            <w:tcBorders>
              <w:left w:val="single" w:color="000000" w:sz="4" w:space="0"/>
              <w:bottom w:val="single" w:color="000000" w:sz="4" w:space="0"/>
            </w:tcBorders>
          </w:tcPr>
          <w:p w14:paraId="04D673DD">
            <w:pPr>
              <w:pStyle w:val="164"/>
              <w:widowControl w:val="0"/>
              <w:jc w:val="center"/>
              <w:rPr>
                <w:rFonts w:ascii="Century Gothic" w:hAnsi="Century Gothic"/>
                <w:sz w:val="19"/>
                <w:szCs w:val="19"/>
              </w:rPr>
            </w:pPr>
            <w:r>
              <w:rPr>
                <w:rFonts w:ascii="Century Gothic" w:hAnsi="Century Gothic"/>
                <w:sz w:val="19"/>
                <w:szCs w:val="19"/>
              </w:rPr>
              <w:t>54120</w:t>
            </w:r>
          </w:p>
        </w:tc>
        <w:tc>
          <w:tcPr>
            <w:tcW w:w="2891" w:type="dxa"/>
            <w:tcBorders>
              <w:left w:val="single" w:color="000000" w:sz="4" w:space="0"/>
              <w:bottom w:val="single" w:color="000000" w:sz="4" w:space="0"/>
              <w:right w:val="single" w:color="000000" w:sz="4" w:space="0"/>
            </w:tcBorders>
          </w:tcPr>
          <w:p w14:paraId="3227879A">
            <w:pPr>
              <w:widowControl w:val="0"/>
              <w:jc w:val="center"/>
            </w:pPr>
            <w:r>
              <w:rPr>
                <w:rFonts w:ascii="Century Gothic" w:hAnsi="Century Gothic"/>
                <w:b/>
                <w:bCs/>
                <w:sz w:val="19"/>
                <w:szCs w:val="19"/>
              </w:rPr>
              <w:t>Lanche (Manhã)</w:t>
            </w:r>
          </w:p>
        </w:tc>
      </w:tr>
      <w:tr w14:paraId="26CE3303">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1633BC05">
            <w:pPr>
              <w:widowControl w:val="0"/>
              <w:jc w:val="center"/>
            </w:pPr>
            <w:r>
              <w:rPr>
                <w:rFonts w:ascii="Century Gothic" w:hAnsi="Century Gothic"/>
                <w:b/>
                <w:bCs/>
                <w:sz w:val="19"/>
                <w:szCs w:val="19"/>
              </w:rPr>
              <w:t>Pré-Escola Parcial (vespertino)</w:t>
            </w:r>
          </w:p>
        </w:tc>
        <w:tc>
          <w:tcPr>
            <w:tcW w:w="839" w:type="dxa"/>
            <w:tcBorders>
              <w:left w:val="single" w:color="000000" w:sz="4" w:space="0"/>
              <w:bottom w:val="single" w:color="000000" w:sz="4" w:space="0"/>
            </w:tcBorders>
          </w:tcPr>
          <w:p w14:paraId="59C0D0F9">
            <w:pPr>
              <w:pStyle w:val="164"/>
              <w:widowControl w:val="0"/>
              <w:jc w:val="center"/>
            </w:pPr>
            <w:r>
              <w:rPr>
                <w:rFonts w:ascii="Century Gothic" w:hAnsi="Century Gothic"/>
                <w:sz w:val="19"/>
                <w:szCs w:val="19"/>
              </w:rPr>
              <w:t>3061</w:t>
            </w:r>
          </w:p>
        </w:tc>
        <w:tc>
          <w:tcPr>
            <w:tcW w:w="1548" w:type="dxa"/>
            <w:tcBorders>
              <w:left w:val="single" w:color="000000" w:sz="4" w:space="0"/>
              <w:bottom w:val="single" w:color="000000" w:sz="4" w:space="0"/>
            </w:tcBorders>
          </w:tcPr>
          <w:p w14:paraId="551DD365">
            <w:pPr>
              <w:pStyle w:val="164"/>
              <w:widowControl w:val="0"/>
              <w:jc w:val="center"/>
              <w:rPr>
                <w:b/>
                <w:bCs/>
              </w:rPr>
            </w:pPr>
            <w:r>
              <w:rPr>
                <w:rFonts w:ascii="Century Gothic" w:hAnsi="Century Gothic"/>
                <w:b/>
                <w:bCs/>
                <w:sz w:val="19"/>
                <w:szCs w:val="19"/>
              </w:rPr>
              <w:t>3061</w:t>
            </w:r>
          </w:p>
        </w:tc>
        <w:tc>
          <w:tcPr>
            <w:tcW w:w="1584" w:type="dxa"/>
            <w:tcBorders>
              <w:left w:val="single" w:color="000000" w:sz="4" w:space="0"/>
              <w:bottom w:val="single" w:color="000000" w:sz="4" w:space="0"/>
            </w:tcBorders>
          </w:tcPr>
          <w:p w14:paraId="7443BBF4">
            <w:pPr>
              <w:pStyle w:val="164"/>
              <w:widowControl w:val="0"/>
              <w:jc w:val="center"/>
              <w:rPr>
                <w:rFonts w:ascii="Century Gothic" w:hAnsi="Century Gothic"/>
                <w:sz w:val="19"/>
                <w:szCs w:val="19"/>
              </w:rPr>
            </w:pPr>
            <w:r>
              <w:rPr>
                <w:rFonts w:ascii="Century Gothic" w:hAnsi="Century Gothic"/>
                <w:sz w:val="19"/>
                <w:szCs w:val="19"/>
              </w:rPr>
              <w:t>61220</w:t>
            </w:r>
          </w:p>
        </w:tc>
        <w:tc>
          <w:tcPr>
            <w:tcW w:w="2891" w:type="dxa"/>
            <w:tcBorders>
              <w:left w:val="single" w:color="000000" w:sz="4" w:space="0"/>
              <w:bottom w:val="single" w:color="000000" w:sz="4" w:space="0"/>
              <w:right w:val="single" w:color="000000" w:sz="4" w:space="0"/>
            </w:tcBorders>
          </w:tcPr>
          <w:p w14:paraId="658E7FEA">
            <w:pPr>
              <w:widowControl w:val="0"/>
              <w:jc w:val="center"/>
            </w:pPr>
            <w:r>
              <w:rPr>
                <w:rFonts w:ascii="Century Gothic" w:hAnsi="Century Gothic"/>
                <w:b/>
                <w:bCs/>
                <w:sz w:val="19"/>
                <w:szCs w:val="19"/>
              </w:rPr>
              <w:t>Lanche (Tarde)</w:t>
            </w:r>
          </w:p>
        </w:tc>
      </w:tr>
      <w:tr w14:paraId="7723FF0B">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4F87CF5C">
            <w:pPr>
              <w:widowControl w:val="0"/>
              <w:jc w:val="center"/>
            </w:pPr>
            <w:r>
              <w:rPr>
                <w:rFonts w:ascii="Century Gothic" w:hAnsi="Century Gothic"/>
                <w:b/>
                <w:bCs/>
                <w:sz w:val="19"/>
                <w:szCs w:val="19"/>
              </w:rPr>
              <w:t>Pré-Escola Integral</w:t>
            </w:r>
          </w:p>
        </w:tc>
        <w:tc>
          <w:tcPr>
            <w:tcW w:w="839" w:type="dxa"/>
            <w:tcBorders>
              <w:left w:val="single" w:color="000000" w:sz="4" w:space="0"/>
              <w:bottom w:val="single" w:color="000000" w:sz="4" w:space="0"/>
            </w:tcBorders>
          </w:tcPr>
          <w:p w14:paraId="282ACB06">
            <w:pPr>
              <w:pStyle w:val="164"/>
              <w:widowControl w:val="0"/>
              <w:jc w:val="center"/>
            </w:pPr>
            <w:r>
              <w:rPr>
                <w:rFonts w:ascii="Century Gothic" w:hAnsi="Century Gothic"/>
                <w:sz w:val="19"/>
                <w:szCs w:val="19"/>
              </w:rPr>
              <w:t>578</w:t>
            </w:r>
          </w:p>
        </w:tc>
        <w:tc>
          <w:tcPr>
            <w:tcW w:w="1548" w:type="dxa"/>
            <w:tcBorders>
              <w:left w:val="single" w:color="000000" w:sz="4" w:space="0"/>
              <w:bottom w:val="single" w:color="000000" w:sz="4" w:space="0"/>
            </w:tcBorders>
          </w:tcPr>
          <w:p w14:paraId="0CBB6D6A">
            <w:pPr>
              <w:pStyle w:val="164"/>
              <w:widowControl w:val="0"/>
              <w:jc w:val="center"/>
              <w:rPr>
                <w:b/>
                <w:bCs/>
              </w:rPr>
            </w:pPr>
            <w:r>
              <w:rPr>
                <w:rFonts w:ascii="Century Gothic" w:hAnsi="Century Gothic"/>
                <w:b/>
                <w:bCs/>
                <w:sz w:val="19"/>
                <w:szCs w:val="19"/>
              </w:rPr>
              <w:t>578</w:t>
            </w:r>
          </w:p>
        </w:tc>
        <w:tc>
          <w:tcPr>
            <w:tcW w:w="1584" w:type="dxa"/>
            <w:tcBorders>
              <w:left w:val="single" w:color="000000" w:sz="4" w:space="0"/>
              <w:bottom w:val="single" w:color="000000" w:sz="4" w:space="0"/>
            </w:tcBorders>
          </w:tcPr>
          <w:p w14:paraId="0D6132E2">
            <w:pPr>
              <w:pStyle w:val="164"/>
              <w:widowControl w:val="0"/>
              <w:jc w:val="center"/>
              <w:rPr>
                <w:rFonts w:ascii="Century Gothic" w:hAnsi="Century Gothic"/>
                <w:sz w:val="19"/>
                <w:szCs w:val="19"/>
              </w:rPr>
            </w:pPr>
            <w:r>
              <w:rPr>
                <w:rFonts w:ascii="Century Gothic" w:hAnsi="Century Gothic"/>
                <w:sz w:val="19"/>
                <w:szCs w:val="19"/>
              </w:rPr>
              <w:t>11560</w:t>
            </w:r>
          </w:p>
        </w:tc>
        <w:tc>
          <w:tcPr>
            <w:tcW w:w="2891" w:type="dxa"/>
            <w:tcBorders>
              <w:left w:val="single" w:color="000000" w:sz="4" w:space="0"/>
              <w:bottom w:val="single" w:color="000000" w:sz="4" w:space="0"/>
              <w:right w:val="single" w:color="000000" w:sz="4" w:space="0"/>
            </w:tcBorders>
          </w:tcPr>
          <w:p w14:paraId="64E9C47E">
            <w:pPr>
              <w:widowControl w:val="0"/>
              <w:jc w:val="center"/>
            </w:pPr>
            <w:r>
              <w:rPr>
                <w:rFonts w:ascii="Century Gothic" w:hAnsi="Century Gothic"/>
                <w:b/>
                <w:bCs/>
                <w:sz w:val="19"/>
                <w:szCs w:val="19"/>
              </w:rPr>
              <w:t>Café da Manhã</w:t>
            </w:r>
          </w:p>
        </w:tc>
      </w:tr>
      <w:tr w14:paraId="00D5722E">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3AFC5111">
            <w:pPr>
              <w:widowControl w:val="0"/>
              <w:jc w:val="center"/>
            </w:pPr>
            <w:r>
              <w:rPr>
                <w:rFonts w:ascii="Century Gothic" w:hAnsi="Century Gothic"/>
                <w:b/>
                <w:bCs/>
                <w:sz w:val="19"/>
                <w:szCs w:val="19"/>
              </w:rPr>
              <w:t>Pré-Escola Integral</w:t>
            </w:r>
          </w:p>
        </w:tc>
        <w:tc>
          <w:tcPr>
            <w:tcW w:w="839" w:type="dxa"/>
            <w:tcBorders>
              <w:left w:val="single" w:color="000000" w:sz="4" w:space="0"/>
              <w:bottom w:val="single" w:color="000000" w:sz="4" w:space="0"/>
            </w:tcBorders>
          </w:tcPr>
          <w:p w14:paraId="7CBECD9E">
            <w:pPr>
              <w:pStyle w:val="164"/>
              <w:widowControl w:val="0"/>
              <w:jc w:val="center"/>
            </w:pPr>
            <w:r>
              <w:rPr>
                <w:rFonts w:ascii="Century Gothic" w:hAnsi="Century Gothic"/>
                <w:sz w:val="19"/>
                <w:szCs w:val="19"/>
              </w:rPr>
              <w:t>578</w:t>
            </w:r>
          </w:p>
        </w:tc>
        <w:tc>
          <w:tcPr>
            <w:tcW w:w="1548" w:type="dxa"/>
            <w:tcBorders>
              <w:left w:val="single" w:color="000000" w:sz="4" w:space="0"/>
              <w:bottom w:val="single" w:color="000000" w:sz="4" w:space="0"/>
            </w:tcBorders>
          </w:tcPr>
          <w:p w14:paraId="3EE31B70">
            <w:pPr>
              <w:pStyle w:val="164"/>
              <w:widowControl w:val="0"/>
              <w:jc w:val="center"/>
              <w:rPr>
                <w:b/>
                <w:bCs/>
              </w:rPr>
            </w:pPr>
            <w:r>
              <w:rPr>
                <w:rFonts w:ascii="Century Gothic" w:hAnsi="Century Gothic"/>
                <w:b/>
                <w:bCs/>
                <w:sz w:val="19"/>
                <w:szCs w:val="19"/>
              </w:rPr>
              <w:t>578</w:t>
            </w:r>
          </w:p>
        </w:tc>
        <w:tc>
          <w:tcPr>
            <w:tcW w:w="1584" w:type="dxa"/>
            <w:tcBorders>
              <w:left w:val="single" w:color="000000" w:sz="4" w:space="0"/>
              <w:bottom w:val="single" w:color="000000" w:sz="4" w:space="0"/>
            </w:tcBorders>
          </w:tcPr>
          <w:p w14:paraId="29A0670A">
            <w:pPr>
              <w:pStyle w:val="164"/>
              <w:widowControl w:val="0"/>
              <w:jc w:val="center"/>
              <w:rPr>
                <w:rFonts w:ascii="Century Gothic" w:hAnsi="Century Gothic"/>
                <w:sz w:val="19"/>
                <w:szCs w:val="19"/>
              </w:rPr>
            </w:pPr>
            <w:r>
              <w:rPr>
                <w:rFonts w:ascii="Century Gothic" w:hAnsi="Century Gothic"/>
                <w:sz w:val="19"/>
                <w:szCs w:val="19"/>
              </w:rPr>
              <w:t>11560</w:t>
            </w:r>
          </w:p>
        </w:tc>
        <w:tc>
          <w:tcPr>
            <w:tcW w:w="2891" w:type="dxa"/>
            <w:tcBorders>
              <w:left w:val="single" w:color="000000" w:sz="4" w:space="0"/>
              <w:bottom w:val="single" w:color="000000" w:sz="4" w:space="0"/>
              <w:right w:val="single" w:color="000000" w:sz="4" w:space="0"/>
            </w:tcBorders>
          </w:tcPr>
          <w:p w14:paraId="099DABD3">
            <w:pPr>
              <w:widowControl w:val="0"/>
              <w:jc w:val="center"/>
            </w:pPr>
            <w:r>
              <w:rPr>
                <w:rFonts w:ascii="Century Gothic" w:hAnsi="Century Gothic"/>
                <w:b/>
                <w:bCs/>
                <w:sz w:val="19"/>
                <w:szCs w:val="19"/>
              </w:rPr>
              <w:t>Almoço</w:t>
            </w:r>
          </w:p>
        </w:tc>
      </w:tr>
      <w:tr w14:paraId="341F7DB8">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178A0EDA">
            <w:pPr>
              <w:widowControl w:val="0"/>
              <w:jc w:val="center"/>
            </w:pPr>
            <w:r>
              <w:rPr>
                <w:rFonts w:ascii="Century Gothic" w:hAnsi="Century Gothic"/>
                <w:b/>
                <w:bCs/>
                <w:sz w:val="19"/>
                <w:szCs w:val="19"/>
              </w:rPr>
              <w:t>Pré-Escola Integral</w:t>
            </w:r>
          </w:p>
        </w:tc>
        <w:tc>
          <w:tcPr>
            <w:tcW w:w="839" w:type="dxa"/>
            <w:tcBorders>
              <w:left w:val="single" w:color="000000" w:sz="4" w:space="0"/>
              <w:bottom w:val="single" w:color="000000" w:sz="4" w:space="0"/>
            </w:tcBorders>
          </w:tcPr>
          <w:p w14:paraId="26688742">
            <w:pPr>
              <w:pStyle w:val="164"/>
              <w:widowControl w:val="0"/>
              <w:jc w:val="center"/>
            </w:pPr>
            <w:r>
              <w:rPr>
                <w:rFonts w:ascii="Century Gothic" w:hAnsi="Century Gothic"/>
                <w:sz w:val="19"/>
                <w:szCs w:val="19"/>
              </w:rPr>
              <w:t>578</w:t>
            </w:r>
          </w:p>
        </w:tc>
        <w:tc>
          <w:tcPr>
            <w:tcW w:w="1548" w:type="dxa"/>
            <w:tcBorders>
              <w:left w:val="single" w:color="000000" w:sz="4" w:space="0"/>
              <w:bottom w:val="single" w:color="000000" w:sz="4" w:space="0"/>
            </w:tcBorders>
          </w:tcPr>
          <w:p w14:paraId="1319A797">
            <w:pPr>
              <w:pStyle w:val="164"/>
              <w:widowControl w:val="0"/>
              <w:jc w:val="center"/>
              <w:rPr>
                <w:b/>
                <w:bCs/>
              </w:rPr>
            </w:pPr>
            <w:r>
              <w:rPr>
                <w:rFonts w:ascii="Century Gothic" w:hAnsi="Century Gothic"/>
                <w:b/>
                <w:bCs/>
                <w:sz w:val="19"/>
                <w:szCs w:val="19"/>
              </w:rPr>
              <w:t>578</w:t>
            </w:r>
          </w:p>
        </w:tc>
        <w:tc>
          <w:tcPr>
            <w:tcW w:w="1584" w:type="dxa"/>
            <w:tcBorders>
              <w:left w:val="single" w:color="000000" w:sz="4" w:space="0"/>
              <w:bottom w:val="single" w:color="000000" w:sz="4" w:space="0"/>
            </w:tcBorders>
          </w:tcPr>
          <w:p w14:paraId="5A3EF4F4">
            <w:pPr>
              <w:pStyle w:val="164"/>
              <w:widowControl w:val="0"/>
              <w:jc w:val="center"/>
              <w:rPr>
                <w:rFonts w:ascii="Century Gothic" w:hAnsi="Century Gothic"/>
                <w:sz w:val="19"/>
                <w:szCs w:val="19"/>
              </w:rPr>
            </w:pPr>
            <w:r>
              <w:rPr>
                <w:rFonts w:ascii="Century Gothic" w:hAnsi="Century Gothic"/>
                <w:sz w:val="19"/>
                <w:szCs w:val="19"/>
              </w:rPr>
              <w:t>11560</w:t>
            </w:r>
          </w:p>
        </w:tc>
        <w:tc>
          <w:tcPr>
            <w:tcW w:w="2891" w:type="dxa"/>
            <w:tcBorders>
              <w:left w:val="single" w:color="000000" w:sz="4" w:space="0"/>
              <w:bottom w:val="single" w:color="000000" w:sz="4" w:space="0"/>
              <w:right w:val="single" w:color="000000" w:sz="4" w:space="0"/>
            </w:tcBorders>
          </w:tcPr>
          <w:p w14:paraId="3C481377">
            <w:pPr>
              <w:widowControl w:val="0"/>
              <w:jc w:val="center"/>
            </w:pPr>
            <w:r>
              <w:rPr>
                <w:rFonts w:ascii="Century Gothic" w:hAnsi="Century Gothic"/>
                <w:b/>
                <w:bCs/>
                <w:sz w:val="19"/>
                <w:szCs w:val="19"/>
              </w:rPr>
              <w:t>Lanche</w:t>
            </w:r>
          </w:p>
        </w:tc>
      </w:tr>
      <w:tr w14:paraId="7AD95DE0">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3726CC3E">
            <w:pPr>
              <w:widowControl w:val="0"/>
              <w:jc w:val="center"/>
            </w:pPr>
            <w:r>
              <w:rPr>
                <w:rFonts w:ascii="Century Gothic" w:hAnsi="Century Gothic"/>
                <w:b/>
                <w:bCs/>
                <w:sz w:val="19"/>
                <w:szCs w:val="19"/>
              </w:rPr>
              <w:t>Pré-Escola Integral</w:t>
            </w:r>
          </w:p>
        </w:tc>
        <w:tc>
          <w:tcPr>
            <w:tcW w:w="839" w:type="dxa"/>
            <w:tcBorders>
              <w:left w:val="single" w:color="000000" w:sz="4" w:space="0"/>
              <w:bottom w:val="single" w:color="000000" w:sz="4" w:space="0"/>
            </w:tcBorders>
          </w:tcPr>
          <w:p w14:paraId="66763C8A">
            <w:pPr>
              <w:pStyle w:val="164"/>
              <w:widowControl w:val="0"/>
              <w:jc w:val="center"/>
            </w:pPr>
            <w:r>
              <w:rPr>
                <w:rFonts w:ascii="Century Gothic" w:hAnsi="Century Gothic"/>
                <w:sz w:val="19"/>
                <w:szCs w:val="19"/>
              </w:rPr>
              <w:t>578</w:t>
            </w:r>
          </w:p>
        </w:tc>
        <w:tc>
          <w:tcPr>
            <w:tcW w:w="1548" w:type="dxa"/>
            <w:tcBorders>
              <w:left w:val="single" w:color="000000" w:sz="4" w:space="0"/>
              <w:bottom w:val="single" w:color="000000" w:sz="4" w:space="0"/>
            </w:tcBorders>
          </w:tcPr>
          <w:p w14:paraId="60FD680D">
            <w:pPr>
              <w:pStyle w:val="164"/>
              <w:widowControl w:val="0"/>
              <w:jc w:val="center"/>
              <w:rPr>
                <w:b/>
                <w:bCs/>
              </w:rPr>
            </w:pPr>
            <w:r>
              <w:rPr>
                <w:rFonts w:ascii="Century Gothic" w:hAnsi="Century Gothic"/>
                <w:b/>
                <w:bCs/>
                <w:sz w:val="19"/>
                <w:szCs w:val="19"/>
              </w:rPr>
              <w:t>578</w:t>
            </w:r>
          </w:p>
        </w:tc>
        <w:tc>
          <w:tcPr>
            <w:tcW w:w="1584" w:type="dxa"/>
            <w:tcBorders>
              <w:left w:val="single" w:color="000000" w:sz="4" w:space="0"/>
              <w:bottom w:val="single" w:color="000000" w:sz="4" w:space="0"/>
            </w:tcBorders>
          </w:tcPr>
          <w:p w14:paraId="748DA677">
            <w:pPr>
              <w:pStyle w:val="164"/>
              <w:widowControl w:val="0"/>
              <w:jc w:val="center"/>
              <w:rPr>
                <w:rFonts w:ascii="Century Gothic" w:hAnsi="Century Gothic"/>
                <w:sz w:val="19"/>
                <w:szCs w:val="19"/>
              </w:rPr>
            </w:pPr>
            <w:r>
              <w:rPr>
                <w:rFonts w:ascii="Century Gothic" w:hAnsi="Century Gothic"/>
                <w:sz w:val="19"/>
                <w:szCs w:val="19"/>
              </w:rPr>
              <w:t>11560</w:t>
            </w:r>
          </w:p>
        </w:tc>
        <w:tc>
          <w:tcPr>
            <w:tcW w:w="2891" w:type="dxa"/>
            <w:tcBorders>
              <w:left w:val="single" w:color="000000" w:sz="4" w:space="0"/>
              <w:bottom w:val="single" w:color="000000" w:sz="4" w:space="0"/>
              <w:right w:val="single" w:color="000000" w:sz="4" w:space="0"/>
            </w:tcBorders>
          </w:tcPr>
          <w:p w14:paraId="79382B13">
            <w:pPr>
              <w:widowControl w:val="0"/>
              <w:jc w:val="center"/>
            </w:pPr>
            <w:r>
              <w:rPr>
                <w:rFonts w:ascii="Century Gothic" w:hAnsi="Century Gothic"/>
                <w:b/>
                <w:bCs/>
                <w:sz w:val="19"/>
                <w:szCs w:val="19"/>
              </w:rPr>
              <w:t>Jantar</w:t>
            </w:r>
          </w:p>
        </w:tc>
      </w:tr>
      <w:tr w14:paraId="52A1674D">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7FF362D1">
            <w:pPr>
              <w:widowControl w:val="0"/>
              <w:jc w:val="center"/>
            </w:pPr>
            <w:r>
              <w:rPr>
                <w:rFonts w:ascii="Century Gothic" w:hAnsi="Century Gothic"/>
                <w:b/>
                <w:bCs/>
                <w:sz w:val="19"/>
                <w:szCs w:val="19"/>
              </w:rPr>
              <w:t xml:space="preserve">Ensino Fund. Parcial </w:t>
            </w:r>
            <w:r>
              <w:rPr>
                <w:rFonts w:ascii="Century Gothic" w:hAnsi="Century Gothic"/>
                <w:sz w:val="19"/>
                <w:szCs w:val="19"/>
              </w:rPr>
              <w:t>(matutino)</w:t>
            </w:r>
          </w:p>
        </w:tc>
        <w:tc>
          <w:tcPr>
            <w:tcW w:w="839" w:type="dxa"/>
            <w:tcBorders>
              <w:left w:val="single" w:color="000000" w:sz="4" w:space="0"/>
              <w:bottom w:val="single" w:color="000000" w:sz="4" w:space="0"/>
            </w:tcBorders>
          </w:tcPr>
          <w:p w14:paraId="3722E34A">
            <w:pPr>
              <w:pStyle w:val="164"/>
              <w:widowControl w:val="0"/>
              <w:jc w:val="center"/>
            </w:pPr>
            <w:r>
              <w:rPr>
                <w:rFonts w:ascii="Century Gothic" w:hAnsi="Century Gothic"/>
                <w:sz w:val="19"/>
                <w:szCs w:val="19"/>
              </w:rPr>
              <w:t>9794</w:t>
            </w:r>
          </w:p>
        </w:tc>
        <w:tc>
          <w:tcPr>
            <w:tcW w:w="1548" w:type="dxa"/>
            <w:tcBorders>
              <w:left w:val="single" w:color="000000" w:sz="4" w:space="0"/>
              <w:bottom w:val="single" w:color="000000" w:sz="4" w:space="0"/>
            </w:tcBorders>
          </w:tcPr>
          <w:p w14:paraId="50764EFF">
            <w:pPr>
              <w:pStyle w:val="164"/>
              <w:widowControl w:val="0"/>
              <w:jc w:val="center"/>
              <w:rPr>
                <w:b/>
                <w:bCs/>
              </w:rPr>
            </w:pPr>
            <w:r>
              <w:rPr>
                <w:rFonts w:ascii="Century Gothic" w:hAnsi="Century Gothic"/>
                <w:b/>
                <w:bCs/>
                <w:sz w:val="19"/>
                <w:szCs w:val="19"/>
              </w:rPr>
              <w:t>9794</w:t>
            </w:r>
          </w:p>
        </w:tc>
        <w:tc>
          <w:tcPr>
            <w:tcW w:w="1584" w:type="dxa"/>
            <w:tcBorders>
              <w:left w:val="single" w:color="000000" w:sz="4" w:space="0"/>
              <w:bottom w:val="single" w:color="000000" w:sz="4" w:space="0"/>
            </w:tcBorders>
          </w:tcPr>
          <w:p w14:paraId="65C1608E">
            <w:pPr>
              <w:pStyle w:val="164"/>
              <w:widowControl w:val="0"/>
              <w:jc w:val="center"/>
              <w:rPr>
                <w:rFonts w:ascii="Century Gothic" w:hAnsi="Century Gothic"/>
                <w:sz w:val="19"/>
                <w:szCs w:val="19"/>
              </w:rPr>
            </w:pPr>
            <w:r>
              <w:rPr>
                <w:rFonts w:ascii="Century Gothic" w:hAnsi="Century Gothic"/>
                <w:sz w:val="19"/>
                <w:szCs w:val="19"/>
              </w:rPr>
              <w:t>195880</w:t>
            </w:r>
          </w:p>
        </w:tc>
        <w:tc>
          <w:tcPr>
            <w:tcW w:w="2891" w:type="dxa"/>
            <w:tcBorders>
              <w:left w:val="single" w:color="000000" w:sz="4" w:space="0"/>
              <w:bottom w:val="single" w:color="000000" w:sz="4" w:space="0"/>
              <w:right w:val="single" w:color="000000" w:sz="4" w:space="0"/>
            </w:tcBorders>
          </w:tcPr>
          <w:p w14:paraId="46A21235">
            <w:pPr>
              <w:widowControl w:val="0"/>
              <w:jc w:val="center"/>
            </w:pPr>
            <w:r>
              <w:rPr>
                <w:rFonts w:ascii="Century Gothic" w:hAnsi="Century Gothic"/>
                <w:b/>
                <w:bCs/>
                <w:sz w:val="19"/>
                <w:szCs w:val="19"/>
              </w:rPr>
              <w:t>Merenda Escolar</w:t>
            </w:r>
          </w:p>
        </w:tc>
      </w:tr>
      <w:tr w14:paraId="6B28A703">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1504CBF8">
            <w:pPr>
              <w:widowControl w:val="0"/>
              <w:jc w:val="center"/>
            </w:pPr>
            <w:r>
              <w:rPr>
                <w:rFonts w:ascii="Century Gothic" w:hAnsi="Century Gothic"/>
                <w:b/>
                <w:bCs/>
                <w:sz w:val="19"/>
                <w:szCs w:val="19"/>
              </w:rPr>
              <w:t xml:space="preserve">Ensino Fund. Parcial </w:t>
            </w:r>
            <w:r>
              <w:rPr>
                <w:rFonts w:ascii="Century Gothic" w:hAnsi="Century Gothic"/>
                <w:sz w:val="19"/>
                <w:szCs w:val="19"/>
              </w:rPr>
              <w:t>(vespertino)</w:t>
            </w:r>
          </w:p>
        </w:tc>
        <w:tc>
          <w:tcPr>
            <w:tcW w:w="839" w:type="dxa"/>
            <w:tcBorders>
              <w:left w:val="single" w:color="000000" w:sz="4" w:space="0"/>
              <w:bottom w:val="single" w:color="000000" w:sz="4" w:space="0"/>
            </w:tcBorders>
          </w:tcPr>
          <w:p w14:paraId="74119825">
            <w:pPr>
              <w:pStyle w:val="164"/>
              <w:widowControl w:val="0"/>
              <w:jc w:val="center"/>
            </w:pPr>
            <w:r>
              <w:rPr>
                <w:rFonts w:ascii="Century Gothic" w:hAnsi="Century Gothic"/>
                <w:sz w:val="19"/>
                <w:szCs w:val="19"/>
              </w:rPr>
              <w:t>9851</w:t>
            </w:r>
          </w:p>
        </w:tc>
        <w:tc>
          <w:tcPr>
            <w:tcW w:w="1548" w:type="dxa"/>
            <w:tcBorders>
              <w:left w:val="single" w:color="000000" w:sz="4" w:space="0"/>
              <w:bottom w:val="single" w:color="000000" w:sz="4" w:space="0"/>
            </w:tcBorders>
          </w:tcPr>
          <w:p w14:paraId="6206C657">
            <w:pPr>
              <w:pStyle w:val="164"/>
              <w:widowControl w:val="0"/>
              <w:jc w:val="center"/>
              <w:rPr>
                <w:b/>
                <w:bCs/>
              </w:rPr>
            </w:pPr>
            <w:r>
              <w:rPr>
                <w:rFonts w:ascii="Century Gothic" w:hAnsi="Century Gothic"/>
                <w:b/>
                <w:bCs/>
                <w:sz w:val="19"/>
                <w:szCs w:val="19"/>
              </w:rPr>
              <w:t>9851</w:t>
            </w:r>
          </w:p>
        </w:tc>
        <w:tc>
          <w:tcPr>
            <w:tcW w:w="1584" w:type="dxa"/>
            <w:tcBorders>
              <w:left w:val="single" w:color="000000" w:sz="4" w:space="0"/>
              <w:bottom w:val="single" w:color="000000" w:sz="4" w:space="0"/>
            </w:tcBorders>
          </w:tcPr>
          <w:p w14:paraId="38F3DE08">
            <w:pPr>
              <w:pStyle w:val="164"/>
              <w:widowControl w:val="0"/>
              <w:jc w:val="center"/>
              <w:rPr>
                <w:rFonts w:ascii="Century Gothic" w:hAnsi="Century Gothic"/>
                <w:sz w:val="19"/>
                <w:szCs w:val="19"/>
              </w:rPr>
            </w:pPr>
            <w:r>
              <w:rPr>
                <w:rFonts w:ascii="Century Gothic" w:hAnsi="Century Gothic"/>
                <w:sz w:val="19"/>
                <w:szCs w:val="19"/>
              </w:rPr>
              <w:t>197020</w:t>
            </w:r>
          </w:p>
        </w:tc>
        <w:tc>
          <w:tcPr>
            <w:tcW w:w="2891" w:type="dxa"/>
            <w:tcBorders>
              <w:left w:val="single" w:color="000000" w:sz="4" w:space="0"/>
              <w:bottom w:val="single" w:color="000000" w:sz="4" w:space="0"/>
              <w:right w:val="single" w:color="000000" w:sz="4" w:space="0"/>
            </w:tcBorders>
          </w:tcPr>
          <w:p w14:paraId="7E99BE5B">
            <w:pPr>
              <w:widowControl w:val="0"/>
              <w:jc w:val="center"/>
            </w:pPr>
            <w:r>
              <w:rPr>
                <w:rFonts w:ascii="Century Gothic" w:hAnsi="Century Gothic"/>
                <w:b/>
                <w:bCs/>
                <w:sz w:val="19"/>
                <w:szCs w:val="19"/>
              </w:rPr>
              <w:t>Merenda Escolar</w:t>
            </w:r>
          </w:p>
        </w:tc>
      </w:tr>
      <w:tr w14:paraId="62B9956E">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119C04F8">
            <w:pPr>
              <w:widowControl w:val="0"/>
              <w:jc w:val="center"/>
            </w:pPr>
            <w:r>
              <w:rPr>
                <w:rFonts w:ascii="Century Gothic" w:hAnsi="Century Gothic"/>
                <w:b/>
                <w:bCs/>
                <w:sz w:val="19"/>
                <w:szCs w:val="19"/>
              </w:rPr>
              <w:t>Ensino Fundamental Integral</w:t>
            </w:r>
          </w:p>
        </w:tc>
        <w:tc>
          <w:tcPr>
            <w:tcW w:w="839" w:type="dxa"/>
            <w:tcBorders>
              <w:left w:val="single" w:color="000000" w:sz="4" w:space="0"/>
              <w:bottom w:val="single" w:color="000000" w:sz="4" w:space="0"/>
            </w:tcBorders>
          </w:tcPr>
          <w:p w14:paraId="297760B5">
            <w:pPr>
              <w:pStyle w:val="164"/>
              <w:widowControl w:val="0"/>
              <w:jc w:val="center"/>
            </w:pPr>
            <w:r>
              <w:rPr>
                <w:rFonts w:ascii="Century Gothic" w:hAnsi="Century Gothic"/>
                <w:sz w:val="19"/>
                <w:szCs w:val="19"/>
              </w:rPr>
              <w:t>255</w:t>
            </w:r>
          </w:p>
        </w:tc>
        <w:tc>
          <w:tcPr>
            <w:tcW w:w="1548" w:type="dxa"/>
            <w:tcBorders>
              <w:left w:val="single" w:color="000000" w:sz="4" w:space="0"/>
              <w:bottom w:val="single" w:color="000000" w:sz="4" w:space="0"/>
            </w:tcBorders>
          </w:tcPr>
          <w:p w14:paraId="63C5C596">
            <w:pPr>
              <w:pStyle w:val="164"/>
              <w:widowControl w:val="0"/>
              <w:jc w:val="center"/>
              <w:rPr>
                <w:b/>
                <w:bCs/>
              </w:rPr>
            </w:pPr>
            <w:r>
              <w:rPr>
                <w:rFonts w:ascii="Century Gothic" w:hAnsi="Century Gothic"/>
                <w:b/>
                <w:bCs/>
                <w:sz w:val="19"/>
                <w:szCs w:val="19"/>
              </w:rPr>
              <w:t>255</w:t>
            </w:r>
          </w:p>
        </w:tc>
        <w:tc>
          <w:tcPr>
            <w:tcW w:w="1584" w:type="dxa"/>
            <w:tcBorders>
              <w:left w:val="single" w:color="000000" w:sz="4" w:space="0"/>
              <w:bottom w:val="single" w:color="000000" w:sz="4" w:space="0"/>
            </w:tcBorders>
          </w:tcPr>
          <w:p w14:paraId="3539F06C">
            <w:pPr>
              <w:pStyle w:val="164"/>
              <w:widowControl w:val="0"/>
              <w:jc w:val="center"/>
              <w:rPr>
                <w:rFonts w:ascii="Century Gothic" w:hAnsi="Century Gothic"/>
                <w:sz w:val="19"/>
                <w:szCs w:val="19"/>
              </w:rPr>
            </w:pPr>
            <w:r>
              <w:rPr>
                <w:rFonts w:ascii="Century Gothic" w:hAnsi="Century Gothic"/>
                <w:sz w:val="19"/>
                <w:szCs w:val="19"/>
              </w:rPr>
              <w:t>5100</w:t>
            </w:r>
          </w:p>
        </w:tc>
        <w:tc>
          <w:tcPr>
            <w:tcW w:w="2891" w:type="dxa"/>
            <w:tcBorders>
              <w:left w:val="single" w:color="000000" w:sz="4" w:space="0"/>
              <w:bottom w:val="single" w:color="000000" w:sz="4" w:space="0"/>
              <w:right w:val="single" w:color="000000" w:sz="4" w:space="0"/>
            </w:tcBorders>
          </w:tcPr>
          <w:p w14:paraId="0AC92C6A">
            <w:pPr>
              <w:widowControl w:val="0"/>
              <w:jc w:val="center"/>
            </w:pPr>
            <w:r>
              <w:rPr>
                <w:rFonts w:ascii="Century Gothic" w:hAnsi="Century Gothic"/>
                <w:b/>
                <w:bCs/>
                <w:sz w:val="19"/>
                <w:szCs w:val="19"/>
              </w:rPr>
              <w:t>Café da Manhã</w:t>
            </w:r>
          </w:p>
        </w:tc>
      </w:tr>
      <w:tr w14:paraId="5FA80955">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04A67C46">
            <w:pPr>
              <w:widowControl w:val="0"/>
              <w:jc w:val="center"/>
            </w:pPr>
            <w:r>
              <w:rPr>
                <w:rFonts w:ascii="Century Gothic" w:hAnsi="Century Gothic"/>
                <w:b/>
                <w:bCs/>
                <w:sz w:val="19"/>
                <w:szCs w:val="19"/>
              </w:rPr>
              <w:t>Ensino Fundamental Integral</w:t>
            </w:r>
          </w:p>
        </w:tc>
        <w:tc>
          <w:tcPr>
            <w:tcW w:w="839" w:type="dxa"/>
            <w:tcBorders>
              <w:left w:val="single" w:color="000000" w:sz="4" w:space="0"/>
              <w:bottom w:val="single" w:color="000000" w:sz="4" w:space="0"/>
            </w:tcBorders>
          </w:tcPr>
          <w:p w14:paraId="01FA3EB5">
            <w:pPr>
              <w:pStyle w:val="164"/>
              <w:widowControl w:val="0"/>
              <w:jc w:val="center"/>
            </w:pPr>
            <w:r>
              <w:rPr>
                <w:rFonts w:ascii="Century Gothic" w:hAnsi="Century Gothic"/>
                <w:sz w:val="19"/>
                <w:szCs w:val="19"/>
              </w:rPr>
              <w:t>255</w:t>
            </w:r>
          </w:p>
        </w:tc>
        <w:tc>
          <w:tcPr>
            <w:tcW w:w="1548" w:type="dxa"/>
            <w:tcBorders>
              <w:left w:val="single" w:color="000000" w:sz="4" w:space="0"/>
              <w:bottom w:val="single" w:color="000000" w:sz="4" w:space="0"/>
            </w:tcBorders>
          </w:tcPr>
          <w:p w14:paraId="78445ED9">
            <w:pPr>
              <w:pStyle w:val="164"/>
              <w:widowControl w:val="0"/>
              <w:jc w:val="center"/>
              <w:rPr>
                <w:b/>
                <w:bCs/>
              </w:rPr>
            </w:pPr>
            <w:r>
              <w:rPr>
                <w:rFonts w:ascii="Century Gothic" w:hAnsi="Century Gothic"/>
                <w:b/>
                <w:bCs/>
                <w:sz w:val="19"/>
                <w:szCs w:val="19"/>
              </w:rPr>
              <w:t>255</w:t>
            </w:r>
          </w:p>
        </w:tc>
        <w:tc>
          <w:tcPr>
            <w:tcW w:w="1584" w:type="dxa"/>
            <w:tcBorders>
              <w:left w:val="single" w:color="000000" w:sz="4" w:space="0"/>
              <w:bottom w:val="single" w:color="000000" w:sz="4" w:space="0"/>
            </w:tcBorders>
          </w:tcPr>
          <w:p w14:paraId="71F79468">
            <w:pPr>
              <w:pStyle w:val="164"/>
              <w:widowControl w:val="0"/>
              <w:jc w:val="center"/>
              <w:rPr>
                <w:rFonts w:ascii="Century Gothic" w:hAnsi="Century Gothic"/>
                <w:sz w:val="19"/>
                <w:szCs w:val="19"/>
              </w:rPr>
            </w:pPr>
            <w:r>
              <w:rPr>
                <w:rFonts w:ascii="Century Gothic" w:hAnsi="Century Gothic"/>
                <w:sz w:val="19"/>
                <w:szCs w:val="19"/>
              </w:rPr>
              <w:t>5100</w:t>
            </w:r>
          </w:p>
        </w:tc>
        <w:tc>
          <w:tcPr>
            <w:tcW w:w="2891" w:type="dxa"/>
            <w:tcBorders>
              <w:left w:val="single" w:color="000000" w:sz="4" w:space="0"/>
              <w:bottom w:val="single" w:color="000000" w:sz="4" w:space="0"/>
              <w:right w:val="single" w:color="000000" w:sz="4" w:space="0"/>
            </w:tcBorders>
          </w:tcPr>
          <w:p w14:paraId="42054800">
            <w:pPr>
              <w:widowControl w:val="0"/>
              <w:jc w:val="center"/>
            </w:pPr>
            <w:r>
              <w:rPr>
                <w:rFonts w:ascii="Century Gothic" w:hAnsi="Century Gothic"/>
                <w:b/>
                <w:bCs/>
                <w:sz w:val="19"/>
                <w:szCs w:val="19"/>
              </w:rPr>
              <w:t>Almoço</w:t>
            </w:r>
          </w:p>
        </w:tc>
      </w:tr>
      <w:tr w14:paraId="6187F5B0">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4C7AD9D8">
            <w:pPr>
              <w:widowControl w:val="0"/>
              <w:jc w:val="center"/>
            </w:pPr>
            <w:r>
              <w:rPr>
                <w:rFonts w:ascii="Century Gothic" w:hAnsi="Century Gothic"/>
                <w:b/>
                <w:bCs/>
                <w:sz w:val="19"/>
                <w:szCs w:val="19"/>
              </w:rPr>
              <w:t>Ensino Fundamental Integral</w:t>
            </w:r>
          </w:p>
        </w:tc>
        <w:tc>
          <w:tcPr>
            <w:tcW w:w="839" w:type="dxa"/>
            <w:tcBorders>
              <w:left w:val="single" w:color="000000" w:sz="4" w:space="0"/>
              <w:bottom w:val="single" w:color="000000" w:sz="4" w:space="0"/>
            </w:tcBorders>
          </w:tcPr>
          <w:p w14:paraId="200416C0">
            <w:pPr>
              <w:pStyle w:val="164"/>
              <w:widowControl w:val="0"/>
              <w:jc w:val="center"/>
            </w:pPr>
            <w:r>
              <w:rPr>
                <w:rFonts w:ascii="Century Gothic" w:hAnsi="Century Gothic"/>
                <w:sz w:val="19"/>
                <w:szCs w:val="19"/>
              </w:rPr>
              <w:t>255</w:t>
            </w:r>
          </w:p>
        </w:tc>
        <w:tc>
          <w:tcPr>
            <w:tcW w:w="1548" w:type="dxa"/>
            <w:tcBorders>
              <w:left w:val="single" w:color="000000" w:sz="4" w:space="0"/>
              <w:bottom w:val="single" w:color="000000" w:sz="4" w:space="0"/>
            </w:tcBorders>
          </w:tcPr>
          <w:p w14:paraId="57E99113">
            <w:pPr>
              <w:pStyle w:val="164"/>
              <w:widowControl w:val="0"/>
              <w:jc w:val="center"/>
              <w:rPr>
                <w:b/>
                <w:bCs/>
              </w:rPr>
            </w:pPr>
            <w:r>
              <w:rPr>
                <w:rFonts w:ascii="Century Gothic" w:hAnsi="Century Gothic"/>
                <w:b/>
                <w:bCs/>
                <w:sz w:val="19"/>
                <w:szCs w:val="19"/>
              </w:rPr>
              <w:t>255</w:t>
            </w:r>
          </w:p>
        </w:tc>
        <w:tc>
          <w:tcPr>
            <w:tcW w:w="1584" w:type="dxa"/>
            <w:tcBorders>
              <w:left w:val="single" w:color="000000" w:sz="4" w:space="0"/>
              <w:bottom w:val="single" w:color="000000" w:sz="4" w:space="0"/>
            </w:tcBorders>
          </w:tcPr>
          <w:p w14:paraId="366F7120">
            <w:pPr>
              <w:pStyle w:val="164"/>
              <w:widowControl w:val="0"/>
              <w:jc w:val="center"/>
              <w:rPr>
                <w:rFonts w:ascii="Century Gothic" w:hAnsi="Century Gothic"/>
                <w:sz w:val="19"/>
                <w:szCs w:val="19"/>
              </w:rPr>
            </w:pPr>
            <w:r>
              <w:rPr>
                <w:rFonts w:ascii="Century Gothic" w:hAnsi="Century Gothic"/>
                <w:sz w:val="19"/>
                <w:szCs w:val="19"/>
              </w:rPr>
              <w:t>5100</w:t>
            </w:r>
          </w:p>
        </w:tc>
        <w:tc>
          <w:tcPr>
            <w:tcW w:w="2891" w:type="dxa"/>
            <w:tcBorders>
              <w:left w:val="single" w:color="000000" w:sz="4" w:space="0"/>
              <w:bottom w:val="single" w:color="000000" w:sz="4" w:space="0"/>
              <w:right w:val="single" w:color="000000" w:sz="4" w:space="0"/>
            </w:tcBorders>
          </w:tcPr>
          <w:p w14:paraId="6C53AFB0">
            <w:pPr>
              <w:widowControl w:val="0"/>
              <w:jc w:val="center"/>
            </w:pPr>
            <w:r>
              <w:rPr>
                <w:rFonts w:ascii="Century Gothic" w:hAnsi="Century Gothic"/>
                <w:b/>
                <w:bCs/>
                <w:sz w:val="19"/>
                <w:szCs w:val="19"/>
              </w:rPr>
              <w:t>Lanche</w:t>
            </w:r>
          </w:p>
        </w:tc>
      </w:tr>
      <w:tr w14:paraId="4A82CEEB">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37E9396E">
            <w:pPr>
              <w:widowControl w:val="0"/>
              <w:jc w:val="center"/>
            </w:pPr>
            <w:r>
              <w:rPr>
                <w:rFonts w:ascii="Century Gothic" w:hAnsi="Century Gothic"/>
                <w:b/>
                <w:bCs/>
                <w:sz w:val="19"/>
                <w:szCs w:val="19"/>
              </w:rPr>
              <w:t>Ensino Fundamental Integral</w:t>
            </w:r>
          </w:p>
        </w:tc>
        <w:tc>
          <w:tcPr>
            <w:tcW w:w="839" w:type="dxa"/>
            <w:tcBorders>
              <w:left w:val="single" w:color="000000" w:sz="4" w:space="0"/>
              <w:bottom w:val="single" w:color="000000" w:sz="4" w:space="0"/>
            </w:tcBorders>
          </w:tcPr>
          <w:p w14:paraId="094CF84C">
            <w:pPr>
              <w:pStyle w:val="164"/>
              <w:widowControl w:val="0"/>
              <w:jc w:val="center"/>
            </w:pPr>
            <w:r>
              <w:rPr>
                <w:rFonts w:ascii="Century Gothic" w:hAnsi="Century Gothic"/>
                <w:sz w:val="19"/>
                <w:szCs w:val="19"/>
              </w:rPr>
              <w:t>255</w:t>
            </w:r>
          </w:p>
        </w:tc>
        <w:tc>
          <w:tcPr>
            <w:tcW w:w="1548" w:type="dxa"/>
            <w:tcBorders>
              <w:left w:val="single" w:color="000000" w:sz="4" w:space="0"/>
              <w:bottom w:val="single" w:color="000000" w:sz="4" w:space="0"/>
            </w:tcBorders>
          </w:tcPr>
          <w:p w14:paraId="68DE2C16">
            <w:pPr>
              <w:pStyle w:val="164"/>
              <w:widowControl w:val="0"/>
              <w:jc w:val="center"/>
              <w:rPr>
                <w:b/>
                <w:bCs/>
              </w:rPr>
            </w:pPr>
            <w:r>
              <w:rPr>
                <w:rFonts w:ascii="Century Gothic" w:hAnsi="Century Gothic"/>
                <w:b/>
                <w:bCs/>
                <w:sz w:val="19"/>
                <w:szCs w:val="19"/>
              </w:rPr>
              <w:t>255</w:t>
            </w:r>
          </w:p>
        </w:tc>
        <w:tc>
          <w:tcPr>
            <w:tcW w:w="1584" w:type="dxa"/>
            <w:tcBorders>
              <w:left w:val="single" w:color="000000" w:sz="4" w:space="0"/>
              <w:bottom w:val="single" w:color="000000" w:sz="4" w:space="0"/>
            </w:tcBorders>
          </w:tcPr>
          <w:p w14:paraId="2E4E35D7">
            <w:pPr>
              <w:pStyle w:val="164"/>
              <w:widowControl w:val="0"/>
              <w:jc w:val="center"/>
              <w:rPr>
                <w:rFonts w:ascii="Century Gothic" w:hAnsi="Century Gothic"/>
                <w:sz w:val="19"/>
                <w:szCs w:val="19"/>
              </w:rPr>
            </w:pPr>
            <w:r>
              <w:rPr>
                <w:rFonts w:ascii="Century Gothic" w:hAnsi="Century Gothic"/>
                <w:sz w:val="19"/>
                <w:szCs w:val="19"/>
              </w:rPr>
              <w:t>5100</w:t>
            </w:r>
          </w:p>
        </w:tc>
        <w:tc>
          <w:tcPr>
            <w:tcW w:w="2891" w:type="dxa"/>
            <w:tcBorders>
              <w:left w:val="single" w:color="000000" w:sz="4" w:space="0"/>
              <w:bottom w:val="single" w:color="000000" w:sz="4" w:space="0"/>
              <w:right w:val="single" w:color="000000" w:sz="4" w:space="0"/>
            </w:tcBorders>
          </w:tcPr>
          <w:p w14:paraId="09743786">
            <w:pPr>
              <w:widowControl w:val="0"/>
              <w:jc w:val="center"/>
            </w:pPr>
            <w:r>
              <w:rPr>
                <w:rFonts w:ascii="Century Gothic" w:hAnsi="Century Gothic"/>
                <w:b/>
                <w:bCs/>
                <w:sz w:val="19"/>
                <w:szCs w:val="19"/>
              </w:rPr>
              <w:t>Jantar</w:t>
            </w:r>
          </w:p>
        </w:tc>
      </w:tr>
      <w:tr w14:paraId="70AA6F66">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1748F2E7">
            <w:pPr>
              <w:widowControl w:val="0"/>
              <w:jc w:val="center"/>
            </w:pPr>
            <w:r>
              <w:rPr>
                <w:rFonts w:ascii="Century Gothic" w:hAnsi="Century Gothic"/>
                <w:b/>
                <w:bCs/>
                <w:sz w:val="19"/>
                <w:szCs w:val="19"/>
              </w:rPr>
              <w:t>EJA – Educação de Jovens e Adultos</w:t>
            </w:r>
          </w:p>
        </w:tc>
        <w:tc>
          <w:tcPr>
            <w:tcW w:w="839" w:type="dxa"/>
            <w:tcBorders>
              <w:left w:val="single" w:color="000000" w:sz="4" w:space="0"/>
              <w:bottom w:val="single" w:color="000000" w:sz="4" w:space="0"/>
            </w:tcBorders>
          </w:tcPr>
          <w:p w14:paraId="649B401D">
            <w:pPr>
              <w:pStyle w:val="164"/>
              <w:widowControl w:val="0"/>
              <w:jc w:val="center"/>
            </w:pPr>
            <w:r>
              <w:rPr>
                <w:rFonts w:ascii="Century Gothic" w:hAnsi="Century Gothic"/>
                <w:sz w:val="19"/>
                <w:szCs w:val="19"/>
              </w:rPr>
              <w:t>396</w:t>
            </w:r>
          </w:p>
        </w:tc>
        <w:tc>
          <w:tcPr>
            <w:tcW w:w="1548" w:type="dxa"/>
            <w:tcBorders>
              <w:left w:val="single" w:color="000000" w:sz="4" w:space="0"/>
              <w:bottom w:val="single" w:color="000000" w:sz="4" w:space="0"/>
            </w:tcBorders>
          </w:tcPr>
          <w:p w14:paraId="32F77B38">
            <w:pPr>
              <w:pStyle w:val="164"/>
              <w:widowControl w:val="0"/>
              <w:jc w:val="center"/>
              <w:rPr>
                <w:b/>
                <w:bCs/>
              </w:rPr>
            </w:pPr>
            <w:r>
              <w:rPr>
                <w:rFonts w:ascii="Century Gothic" w:hAnsi="Century Gothic"/>
                <w:b/>
                <w:bCs/>
                <w:sz w:val="19"/>
                <w:szCs w:val="19"/>
              </w:rPr>
              <w:t>396</w:t>
            </w:r>
          </w:p>
        </w:tc>
        <w:tc>
          <w:tcPr>
            <w:tcW w:w="1584" w:type="dxa"/>
            <w:tcBorders>
              <w:left w:val="single" w:color="000000" w:sz="4" w:space="0"/>
              <w:bottom w:val="single" w:color="000000" w:sz="4" w:space="0"/>
            </w:tcBorders>
          </w:tcPr>
          <w:p w14:paraId="5B3ECF49">
            <w:pPr>
              <w:pStyle w:val="164"/>
              <w:widowControl w:val="0"/>
              <w:jc w:val="center"/>
              <w:rPr>
                <w:rFonts w:ascii="Century Gothic" w:hAnsi="Century Gothic"/>
                <w:sz w:val="19"/>
                <w:szCs w:val="19"/>
              </w:rPr>
            </w:pPr>
            <w:r>
              <w:rPr>
                <w:rFonts w:ascii="Century Gothic" w:hAnsi="Century Gothic"/>
                <w:sz w:val="19"/>
                <w:szCs w:val="19"/>
              </w:rPr>
              <w:t>7920</w:t>
            </w:r>
          </w:p>
        </w:tc>
        <w:tc>
          <w:tcPr>
            <w:tcW w:w="2891" w:type="dxa"/>
            <w:tcBorders>
              <w:left w:val="single" w:color="000000" w:sz="4" w:space="0"/>
              <w:bottom w:val="single" w:color="000000" w:sz="4" w:space="0"/>
              <w:right w:val="single" w:color="000000" w:sz="4" w:space="0"/>
            </w:tcBorders>
          </w:tcPr>
          <w:p w14:paraId="13A3095A">
            <w:pPr>
              <w:widowControl w:val="0"/>
              <w:jc w:val="center"/>
            </w:pPr>
            <w:r>
              <w:rPr>
                <w:rFonts w:ascii="Century Gothic" w:hAnsi="Century Gothic"/>
                <w:b/>
                <w:bCs/>
                <w:sz w:val="19"/>
                <w:szCs w:val="19"/>
              </w:rPr>
              <w:t>Lanche Noturno</w:t>
            </w:r>
          </w:p>
        </w:tc>
      </w:tr>
      <w:tr w14:paraId="1CEB452C">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5580949D">
            <w:pPr>
              <w:widowControl w:val="0"/>
              <w:jc w:val="center"/>
            </w:pPr>
            <w:r>
              <w:rPr>
                <w:rFonts w:ascii="Century Gothic" w:hAnsi="Century Gothic"/>
                <w:b/>
                <w:bCs/>
                <w:sz w:val="19"/>
                <w:szCs w:val="19"/>
              </w:rPr>
              <w:t>AEE – Pré-Escola e Fundamental</w:t>
            </w:r>
          </w:p>
        </w:tc>
        <w:tc>
          <w:tcPr>
            <w:tcW w:w="839" w:type="dxa"/>
            <w:tcBorders>
              <w:left w:val="single" w:color="000000" w:sz="4" w:space="0"/>
              <w:bottom w:val="single" w:color="000000" w:sz="4" w:space="0"/>
            </w:tcBorders>
          </w:tcPr>
          <w:p w14:paraId="40D22EEA">
            <w:pPr>
              <w:pStyle w:val="164"/>
              <w:widowControl w:val="0"/>
              <w:jc w:val="center"/>
            </w:pPr>
            <w:r>
              <w:rPr>
                <w:rFonts w:ascii="Century Gothic" w:hAnsi="Century Gothic"/>
                <w:sz w:val="19"/>
                <w:szCs w:val="19"/>
              </w:rPr>
              <w:t>634</w:t>
            </w:r>
          </w:p>
        </w:tc>
        <w:tc>
          <w:tcPr>
            <w:tcW w:w="1548" w:type="dxa"/>
            <w:tcBorders>
              <w:left w:val="single" w:color="000000" w:sz="4" w:space="0"/>
              <w:bottom w:val="single" w:color="000000" w:sz="4" w:space="0"/>
            </w:tcBorders>
          </w:tcPr>
          <w:p w14:paraId="5A5EA5B7">
            <w:pPr>
              <w:pStyle w:val="164"/>
              <w:widowControl w:val="0"/>
              <w:jc w:val="center"/>
              <w:rPr>
                <w:b/>
                <w:bCs/>
              </w:rPr>
            </w:pPr>
            <w:r>
              <w:rPr>
                <w:rFonts w:ascii="Century Gothic" w:hAnsi="Century Gothic"/>
                <w:b/>
                <w:bCs/>
                <w:sz w:val="19"/>
                <w:szCs w:val="19"/>
              </w:rPr>
              <w:t>634</w:t>
            </w:r>
          </w:p>
        </w:tc>
        <w:tc>
          <w:tcPr>
            <w:tcW w:w="1584" w:type="dxa"/>
            <w:tcBorders>
              <w:left w:val="single" w:color="000000" w:sz="4" w:space="0"/>
              <w:bottom w:val="single" w:color="000000" w:sz="4" w:space="0"/>
            </w:tcBorders>
          </w:tcPr>
          <w:p w14:paraId="7C084E18">
            <w:pPr>
              <w:pStyle w:val="164"/>
              <w:widowControl w:val="0"/>
              <w:jc w:val="center"/>
              <w:rPr>
                <w:rFonts w:ascii="Century Gothic" w:hAnsi="Century Gothic"/>
                <w:sz w:val="19"/>
                <w:szCs w:val="19"/>
              </w:rPr>
            </w:pPr>
            <w:r>
              <w:rPr>
                <w:rFonts w:ascii="Century Gothic" w:hAnsi="Century Gothic"/>
                <w:sz w:val="19"/>
                <w:szCs w:val="19"/>
              </w:rPr>
              <w:t>12680</w:t>
            </w:r>
          </w:p>
        </w:tc>
        <w:tc>
          <w:tcPr>
            <w:tcW w:w="2891" w:type="dxa"/>
            <w:tcBorders>
              <w:left w:val="single" w:color="000000" w:sz="4" w:space="0"/>
              <w:bottom w:val="single" w:color="000000" w:sz="4" w:space="0"/>
              <w:right w:val="single" w:color="000000" w:sz="4" w:space="0"/>
            </w:tcBorders>
          </w:tcPr>
          <w:p w14:paraId="65A8EF25">
            <w:pPr>
              <w:widowControl w:val="0"/>
              <w:jc w:val="center"/>
            </w:pPr>
            <w:r>
              <w:rPr>
                <w:rFonts w:ascii="Century Gothic" w:hAnsi="Century Gothic"/>
                <w:b/>
                <w:bCs/>
                <w:sz w:val="19"/>
                <w:szCs w:val="19"/>
              </w:rPr>
              <w:t>Merenda suplementar</w:t>
            </w:r>
          </w:p>
        </w:tc>
      </w:tr>
      <w:tr w14:paraId="6BDF21D7">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08C95D96">
            <w:pPr>
              <w:widowControl w:val="0"/>
              <w:jc w:val="center"/>
            </w:pPr>
            <w:r>
              <w:rPr>
                <w:rFonts w:ascii="Century Gothic" w:hAnsi="Century Gothic"/>
                <w:b/>
                <w:bCs/>
                <w:sz w:val="19"/>
                <w:szCs w:val="19"/>
              </w:rPr>
              <w:t>AEE – Creche (matutino)</w:t>
            </w:r>
          </w:p>
        </w:tc>
        <w:tc>
          <w:tcPr>
            <w:tcW w:w="839" w:type="dxa"/>
            <w:tcBorders>
              <w:left w:val="single" w:color="000000" w:sz="4" w:space="0"/>
              <w:bottom w:val="single" w:color="000000" w:sz="4" w:space="0"/>
            </w:tcBorders>
          </w:tcPr>
          <w:p w14:paraId="30180A9A">
            <w:pPr>
              <w:pStyle w:val="164"/>
              <w:widowControl w:val="0"/>
              <w:jc w:val="center"/>
            </w:pPr>
            <w:r>
              <w:rPr>
                <w:rFonts w:ascii="Century Gothic" w:hAnsi="Century Gothic"/>
                <w:sz w:val="19"/>
                <w:szCs w:val="19"/>
              </w:rPr>
              <w:t>225</w:t>
            </w:r>
          </w:p>
        </w:tc>
        <w:tc>
          <w:tcPr>
            <w:tcW w:w="1548" w:type="dxa"/>
            <w:tcBorders>
              <w:left w:val="single" w:color="000000" w:sz="4" w:space="0"/>
              <w:bottom w:val="single" w:color="000000" w:sz="4" w:space="0"/>
            </w:tcBorders>
          </w:tcPr>
          <w:p w14:paraId="255B77E2">
            <w:pPr>
              <w:pStyle w:val="164"/>
              <w:widowControl w:val="0"/>
              <w:jc w:val="center"/>
              <w:rPr>
                <w:b/>
                <w:bCs/>
              </w:rPr>
            </w:pPr>
            <w:r>
              <w:rPr>
                <w:rFonts w:ascii="Century Gothic" w:hAnsi="Century Gothic"/>
                <w:b/>
                <w:bCs/>
                <w:sz w:val="19"/>
                <w:szCs w:val="19"/>
              </w:rPr>
              <w:t>225</w:t>
            </w:r>
          </w:p>
        </w:tc>
        <w:tc>
          <w:tcPr>
            <w:tcW w:w="1584" w:type="dxa"/>
            <w:tcBorders>
              <w:left w:val="single" w:color="000000" w:sz="4" w:space="0"/>
              <w:bottom w:val="single" w:color="000000" w:sz="4" w:space="0"/>
            </w:tcBorders>
          </w:tcPr>
          <w:p w14:paraId="4112ECF2">
            <w:pPr>
              <w:pStyle w:val="164"/>
              <w:widowControl w:val="0"/>
              <w:jc w:val="center"/>
              <w:rPr>
                <w:rFonts w:ascii="Century Gothic" w:hAnsi="Century Gothic"/>
                <w:sz w:val="19"/>
                <w:szCs w:val="19"/>
              </w:rPr>
            </w:pPr>
            <w:r>
              <w:rPr>
                <w:rFonts w:ascii="Century Gothic" w:hAnsi="Century Gothic"/>
                <w:sz w:val="19"/>
                <w:szCs w:val="19"/>
              </w:rPr>
              <w:t>4500</w:t>
            </w:r>
          </w:p>
        </w:tc>
        <w:tc>
          <w:tcPr>
            <w:tcW w:w="2891" w:type="dxa"/>
            <w:tcBorders>
              <w:left w:val="single" w:color="000000" w:sz="4" w:space="0"/>
              <w:bottom w:val="single" w:color="000000" w:sz="4" w:space="0"/>
              <w:right w:val="single" w:color="000000" w:sz="4" w:space="0"/>
            </w:tcBorders>
          </w:tcPr>
          <w:p w14:paraId="0E18E392">
            <w:pPr>
              <w:widowControl w:val="0"/>
              <w:jc w:val="center"/>
            </w:pPr>
            <w:r>
              <w:rPr>
                <w:rFonts w:ascii="Century Gothic" w:hAnsi="Century Gothic"/>
                <w:b/>
                <w:bCs/>
                <w:sz w:val="19"/>
                <w:szCs w:val="19"/>
              </w:rPr>
              <w:t>Café da Manhã</w:t>
            </w:r>
          </w:p>
        </w:tc>
      </w:tr>
      <w:tr w14:paraId="5FB2162A">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6A223215">
            <w:pPr>
              <w:widowControl w:val="0"/>
              <w:jc w:val="center"/>
            </w:pPr>
            <w:r>
              <w:rPr>
                <w:rFonts w:ascii="Century Gothic" w:hAnsi="Century Gothic"/>
                <w:b/>
                <w:bCs/>
                <w:sz w:val="19"/>
                <w:szCs w:val="19"/>
              </w:rPr>
              <w:t>AEE – Creche (matutino)</w:t>
            </w:r>
          </w:p>
        </w:tc>
        <w:tc>
          <w:tcPr>
            <w:tcW w:w="839" w:type="dxa"/>
            <w:tcBorders>
              <w:left w:val="single" w:color="000000" w:sz="4" w:space="0"/>
              <w:bottom w:val="single" w:color="000000" w:sz="4" w:space="0"/>
            </w:tcBorders>
          </w:tcPr>
          <w:p w14:paraId="3CE84EEF">
            <w:pPr>
              <w:pStyle w:val="164"/>
              <w:widowControl w:val="0"/>
              <w:jc w:val="center"/>
            </w:pPr>
            <w:r>
              <w:rPr>
                <w:rFonts w:ascii="Century Gothic" w:hAnsi="Century Gothic"/>
                <w:sz w:val="19"/>
                <w:szCs w:val="19"/>
              </w:rPr>
              <w:t>225</w:t>
            </w:r>
          </w:p>
        </w:tc>
        <w:tc>
          <w:tcPr>
            <w:tcW w:w="1548" w:type="dxa"/>
            <w:tcBorders>
              <w:left w:val="single" w:color="000000" w:sz="4" w:space="0"/>
              <w:bottom w:val="single" w:color="000000" w:sz="4" w:space="0"/>
            </w:tcBorders>
          </w:tcPr>
          <w:p w14:paraId="3728F19B">
            <w:pPr>
              <w:pStyle w:val="164"/>
              <w:widowControl w:val="0"/>
              <w:jc w:val="center"/>
              <w:rPr>
                <w:b/>
                <w:bCs/>
              </w:rPr>
            </w:pPr>
            <w:r>
              <w:rPr>
                <w:rFonts w:ascii="Century Gothic" w:hAnsi="Century Gothic"/>
                <w:b/>
                <w:bCs/>
                <w:sz w:val="19"/>
                <w:szCs w:val="19"/>
              </w:rPr>
              <w:t>225</w:t>
            </w:r>
          </w:p>
        </w:tc>
        <w:tc>
          <w:tcPr>
            <w:tcW w:w="1584" w:type="dxa"/>
            <w:tcBorders>
              <w:left w:val="single" w:color="000000" w:sz="4" w:space="0"/>
              <w:bottom w:val="single" w:color="000000" w:sz="4" w:space="0"/>
            </w:tcBorders>
          </w:tcPr>
          <w:p w14:paraId="38C9856D">
            <w:pPr>
              <w:pStyle w:val="164"/>
              <w:widowControl w:val="0"/>
              <w:jc w:val="center"/>
              <w:rPr>
                <w:rFonts w:ascii="Century Gothic" w:hAnsi="Century Gothic"/>
                <w:sz w:val="19"/>
                <w:szCs w:val="19"/>
              </w:rPr>
            </w:pPr>
            <w:r>
              <w:rPr>
                <w:rFonts w:ascii="Century Gothic" w:hAnsi="Century Gothic"/>
                <w:sz w:val="19"/>
                <w:szCs w:val="19"/>
              </w:rPr>
              <w:t>4500</w:t>
            </w:r>
          </w:p>
        </w:tc>
        <w:tc>
          <w:tcPr>
            <w:tcW w:w="2891" w:type="dxa"/>
            <w:tcBorders>
              <w:left w:val="single" w:color="000000" w:sz="4" w:space="0"/>
              <w:bottom w:val="single" w:color="000000" w:sz="4" w:space="0"/>
              <w:right w:val="single" w:color="000000" w:sz="4" w:space="0"/>
            </w:tcBorders>
          </w:tcPr>
          <w:p w14:paraId="26107054">
            <w:pPr>
              <w:widowControl w:val="0"/>
              <w:jc w:val="center"/>
            </w:pPr>
            <w:r>
              <w:rPr>
                <w:rFonts w:ascii="Century Gothic" w:hAnsi="Century Gothic"/>
                <w:b/>
                <w:bCs/>
                <w:sz w:val="19"/>
                <w:szCs w:val="19"/>
              </w:rPr>
              <w:t>Almoço</w:t>
            </w:r>
          </w:p>
        </w:tc>
      </w:tr>
      <w:tr w14:paraId="2EC30C21">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4E092651">
            <w:pPr>
              <w:widowControl w:val="0"/>
              <w:jc w:val="center"/>
            </w:pPr>
            <w:r>
              <w:rPr>
                <w:rFonts w:ascii="Century Gothic" w:hAnsi="Century Gothic"/>
                <w:b/>
                <w:bCs/>
                <w:sz w:val="19"/>
                <w:szCs w:val="19"/>
              </w:rPr>
              <w:t>AEE – Creche (vespertino)</w:t>
            </w:r>
          </w:p>
        </w:tc>
        <w:tc>
          <w:tcPr>
            <w:tcW w:w="839" w:type="dxa"/>
            <w:tcBorders>
              <w:left w:val="single" w:color="000000" w:sz="4" w:space="0"/>
              <w:bottom w:val="single" w:color="000000" w:sz="4" w:space="0"/>
            </w:tcBorders>
          </w:tcPr>
          <w:p w14:paraId="500FE231">
            <w:pPr>
              <w:pStyle w:val="164"/>
              <w:widowControl w:val="0"/>
              <w:jc w:val="center"/>
            </w:pPr>
            <w:r>
              <w:rPr>
                <w:rFonts w:ascii="Century Gothic" w:hAnsi="Century Gothic"/>
                <w:sz w:val="19"/>
                <w:szCs w:val="19"/>
              </w:rPr>
              <w:t>215</w:t>
            </w:r>
          </w:p>
        </w:tc>
        <w:tc>
          <w:tcPr>
            <w:tcW w:w="1548" w:type="dxa"/>
            <w:tcBorders>
              <w:left w:val="single" w:color="000000" w:sz="4" w:space="0"/>
              <w:bottom w:val="single" w:color="000000" w:sz="4" w:space="0"/>
            </w:tcBorders>
          </w:tcPr>
          <w:p w14:paraId="0C6559CE">
            <w:pPr>
              <w:pStyle w:val="164"/>
              <w:widowControl w:val="0"/>
              <w:jc w:val="center"/>
              <w:rPr>
                <w:b/>
                <w:bCs/>
              </w:rPr>
            </w:pPr>
            <w:r>
              <w:rPr>
                <w:rFonts w:ascii="Century Gothic" w:hAnsi="Century Gothic"/>
                <w:b/>
                <w:bCs/>
                <w:sz w:val="19"/>
                <w:szCs w:val="19"/>
              </w:rPr>
              <w:t>215</w:t>
            </w:r>
          </w:p>
        </w:tc>
        <w:tc>
          <w:tcPr>
            <w:tcW w:w="1584" w:type="dxa"/>
            <w:tcBorders>
              <w:left w:val="single" w:color="000000" w:sz="4" w:space="0"/>
              <w:bottom w:val="single" w:color="000000" w:sz="4" w:space="0"/>
            </w:tcBorders>
          </w:tcPr>
          <w:p w14:paraId="2732EBCF">
            <w:pPr>
              <w:pStyle w:val="164"/>
              <w:widowControl w:val="0"/>
              <w:jc w:val="center"/>
              <w:rPr>
                <w:rFonts w:ascii="Century Gothic" w:hAnsi="Century Gothic"/>
                <w:sz w:val="19"/>
                <w:szCs w:val="19"/>
              </w:rPr>
            </w:pPr>
            <w:r>
              <w:rPr>
                <w:rFonts w:ascii="Century Gothic" w:hAnsi="Century Gothic"/>
                <w:sz w:val="19"/>
                <w:szCs w:val="19"/>
              </w:rPr>
              <w:t>4300</w:t>
            </w:r>
          </w:p>
        </w:tc>
        <w:tc>
          <w:tcPr>
            <w:tcW w:w="2891" w:type="dxa"/>
            <w:tcBorders>
              <w:left w:val="single" w:color="000000" w:sz="4" w:space="0"/>
              <w:bottom w:val="single" w:color="000000" w:sz="4" w:space="0"/>
              <w:right w:val="single" w:color="000000" w:sz="4" w:space="0"/>
            </w:tcBorders>
          </w:tcPr>
          <w:p w14:paraId="678D31F9">
            <w:pPr>
              <w:widowControl w:val="0"/>
              <w:jc w:val="center"/>
            </w:pPr>
            <w:r>
              <w:rPr>
                <w:rFonts w:ascii="Century Gothic" w:hAnsi="Century Gothic"/>
                <w:b/>
                <w:bCs/>
                <w:sz w:val="19"/>
                <w:szCs w:val="19"/>
              </w:rPr>
              <w:t>Lanche Tarde</w:t>
            </w:r>
          </w:p>
        </w:tc>
      </w:tr>
      <w:tr w14:paraId="58CF999B">
        <w:tblPrEx>
          <w:tblCellMar>
            <w:top w:w="55" w:type="dxa"/>
            <w:left w:w="55" w:type="dxa"/>
            <w:bottom w:w="55" w:type="dxa"/>
            <w:right w:w="55" w:type="dxa"/>
          </w:tblCellMar>
        </w:tblPrEx>
        <w:tc>
          <w:tcPr>
            <w:tcW w:w="2938" w:type="dxa"/>
            <w:tcBorders>
              <w:left w:val="single" w:color="000000" w:sz="4" w:space="0"/>
              <w:bottom w:val="single" w:color="000000" w:sz="4" w:space="0"/>
            </w:tcBorders>
          </w:tcPr>
          <w:p w14:paraId="0BB50C55">
            <w:pPr>
              <w:widowControl w:val="0"/>
              <w:jc w:val="center"/>
            </w:pPr>
            <w:r>
              <w:rPr>
                <w:rFonts w:ascii="Century Gothic" w:hAnsi="Century Gothic"/>
                <w:b/>
                <w:bCs/>
                <w:sz w:val="19"/>
                <w:szCs w:val="19"/>
              </w:rPr>
              <w:t>AEE – Creche (vespertino)</w:t>
            </w:r>
          </w:p>
        </w:tc>
        <w:tc>
          <w:tcPr>
            <w:tcW w:w="839" w:type="dxa"/>
            <w:tcBorders>
              <w:left w:val="single" w:color="000000" w:sz="4" w:space="0"/>
              <w:bottom w:val="single" w:color="000000" w:sz="4" w:space="0"/>
            </w:tcBorders>
          </w:tcPr>
          <w:p w14:paraId="3BA6D127">
            <w:pPr>
              <w:pStyle w:val="164"/>
              <w:widowControl w:val="0"/>
              <w:jc w:val="center"/>
            </w:pPr>
            <w:r>
              <w:rPr>
                <w:rFonts w:ascii="Century Gothic" w:hAnsi="Century Gothic"/>
                <w:sz w:val="19"/>
                <w:szCs w:val="19"/>
              </w:rPr>
              <w:t>215</w:t>
            </w:r>
          </w:p>
        </w:tc>
        <w:tc>
          <w:tcPr>
            <w:tcW w:w="1548" w:type="dxa"/>
            <w:tcBorders>
              <w:left w:val="single" w:color="000000" w:sz="4" w:space="0"/>
              <w:bottom w:val="single" w:color="000000" w:sz="4" w:space="0"/>
            </w:tcBorders>
          </w:tcPr>
          <w:p w14:paraId="09B28875">
            <w:pPr>
              <w:pStyle w:val="164"/>
              <w:widowControl w:val="0"/>
              <w:jc w:val="center"/>
              <w:rPr>
                <w:b/>
                <w:bCs/>
              </w:rPr>
            </w:pPr>
            <w:r>
              <w:rPr>
                <w:rFonts w:ascii="Century Gothic" w:hAnsi="Century Gothic"/>
                <w:b/>
                <w:bCs/>
                <w:sz w:val="19"/>
                <w:szCs w:val="19"/>
              </w:rPr>
              <w:t>215</w:t>
            </w:r>
          </w:p>
        </w:tc>
        <w:tc>
          <w:tcPr>
            <w:tcW w:w="1584" w:type="dxa"/>
            <w:tcBorders>
              <w:left w:val="single" w:color="000000" w:sz="4" w:space="0"/>
              <w:bottom w:val="single" w:color="000000" w:sz="4" w:space="0"/>
            </w:tcBorders>
          </w:tcPr>
          <w:p w14:paraId="2129A854">
            <w:pPr>
              <w:pStyle w:val="164"/>
              <w:widowControl w:val="0"/>
              <w:jc w:val="center"/>
              <w:rPr>
                <w:rFonts w:ascii="Century Gothic" w:hAnsi="Century Gothic"/>
                <w:sz w:val="19"/>
                <w:szCs w:val="19"/>
              </w:rPr>
            </w:pPr>
            <w:r>
              <w:rPr>
                <w:rFonts w:ascii="Century Gothic" w:hAnsi="Century Gothic"/>
                <w:sz w:val="19"/>
                <w:szCs w:val="19"/>
              </w:rPr>
              <w:t>4300</w:t>
            </w:r>
          </w:p>
        </w:tc>
        <w:tc>
          <w:tcPr>
            <w:tcW w:w="2891" w:type="dxa"/>
            <w:tcBorders>
              <w:left w:val="single" w:color="000000" w:sz="4" w:space="0"/>
              <w:bottom w:val="single" w:color="000000" w:sz="4" w:space="0"/>
              <w:right w:val="single" w:color="000000" w:sz="4" w:space="0"/>
            </w:tcBorders>
          </w:tcPr>
          <w:p w14:paraId="562B5E5A">
            <w:pPr>
              <w:widowControl w:val="0"/>
              <w:jc w:val="center"/>
            </w:pPr>
            <w:r>
              <w:rPr>
                <w:rFonts w:ascii="Century Gothic" w:hAnsi="Century Gothic"/>
                <w:b/>
                <w:bCs/>
                <w:sz w:val="19"/>
                <w:szCs w:val="19"/>
              </w:rPr>
              <w:t>Jantar</w:t>
            </w:r>
          </w:p>
        </w:tc>
      </w:tr>
    </w:tbl>
    <w:p w14:paraId="2F44B344">
      <w:pPr>
        <w:spacing w:line="276" w:lineRule="auto"/>
        <w:rPr>
          <w:rFonts w:ascii="Century Gothic" w:hAnsi="Century Gothic"/>
        </w:rPr>
      </w:pPr>
    </w:p>
    <w:p w14:paraId="799DF704">
      <w:pPr>
        <w:spacing w:line="276" w:lineRule="auto"/>
        <w:rPr>
          <w:rFonts w:ascii="Century Gothic" w:hAnsi="Century Gothic"/>
        </w:rPr>
      </w:pPr>
      <w:r>
        <w:rPr>
          <w:rFonts w:ascii="Century Gothic" w:hAnsi="Century Gothic"/>
        </w:rPr>
        <w:t>Além da previsão de refeições, foram considerados os seguintes insumos e recursos operacionais:</w:t>
      </w:r>
    </w:p>
    <w:p w14:paraId="3C1A40F3">
      <w:pPr>
        <w:numPr>
          <w:ilvl w:val="0"/>
          <w:numId w:val="4"/>
        </w:numPr>
        <w:spacing w:before="57" w:after="57" w:line="276" w:lineRule="auto"/>
        <w:ind w:left="737" w:right="227" w:hanging="340"/>
        <w:jc w:val="both"/>
        <w:rPr>
          <w:rFonts w:ascii="Century Gothic" w:hAnsi="Century Gothic"/>
        </w:rPr>
      </w:pPr>
      <w:r>
        <w:rPr>
          <w:rFonts w:ascii="Century Gothic" w:hAnsi="Century Gothic"/>
          <w:b/>
          <w:bCs/>
        </w:rPr>
        <w:t>Gêneros alimentícios in natura e minimamente processados</w:t>
      </w:r>
      <w:r>
        <w:rPr>
          <w:rFonts w:ascii="Century Gothic" w:hAnsi="Century Gothic"/>
        </w:rPr>
        <w:t>, conforme os cardápios definidos por nutricionista (anexos);</w:t>
      </w:r>
    </w:p>
    <w:p w14:paraId="563A84B7">
      <w:pPr>
        <w:numPr>
          <w:ilvl w:val="0"/>
          <w:numId w:val="4"/>
        </w:numPr>
        <w:spacing w:before="57" w:after="57" w:line="276" w:lineRule="auto"/>
        <w:ind w:left="737" w:right="227" w:hanging="340"/>
        <w:jc w:val="both"/>
        <w:rPr>
          <w:rFonts w:ascii="Century Gothic" w:hAnsi="Century Gothic"/>
        </w:rPr>
      </w:pPr>
      <w:r>
        <w:rPr>
          <w:rFonts w:ascii="Century Gothic" w:hAnsi="Century Gothic"/>
          <w:b/>
          <w:bCs/>
        </w:rPr>
        <w:t xml:space="preserve">Demanda por gás de cozinha (GLP) </w:t>
      </w:r>
      <w:r>
        <w:rPr>
          <w:rFonts w:ascii="Century Gothic" w:hAnsi="Century Gothic"/>
        </w:rPr>
        <w:t>para cocção dos alimentos;</w:t>
      </w:r>
    </w:p>
    <w:p w14:paraId="1E02438A">
      <w:pPr>
        <w:numPr>
          <w:ilvl w:val="0"/>
          <w:numId w:val="4"/>
        </w:numPr>
        <w:spacing w:before="57" w:after="57" w:line="276" w:lineRule="auto"/>
        <w:ind w:left="737" w:right="227" w:hanging="340"/>
        <w:jc w:val="both"/>
        <w:rPr>
          <w:rFonts w:ascii="Century Gothic" w:hAnsi="Century Gothic"/>
        </w:rPr>
      </w:pPr>
      <w:r>
        <w:rPr>
          <w:rFonts w:ascii="Century Gothic" w:hAnsi="Century Gothic"/>
          <w:b/>
          <w:bCs/>
        </w:rPr>
        <w:t>Materiais descartáveis e utensílios</w:t>
      </w:r>
      <w:r>
        <w:rPr>
          <w:rFonts w:ascii="Century Gothic" w:hAnsi="Century Gothic"/>
        </w:rPr>
        <w:t>, como pratos, talheres, copos, luvas, toucas e aventais, quando aplicável;</w:t>
      </w:r>
    </w:p>
    <w:p w14:paraId="57E5BD8D">
      <w:pPr>
        <w:numPr>
          <w:ilvl w:val="0"/>
          <w:numId w:val="4"/>
        </w:numPr>
        <w:spacing w:before="57" w:after="57" w:line="276" w:lineRule="auto"/>
        <w:ind w:left="737" w:right="227" w:hanging="340"/>
        <w:jc w:val="both"/>
      </w:pPr>
      <w:r>
        <w:rPr>
          <w:rFonts w:ascii="Century Gothic" w:hAnsi="Century Gothic"/>
          <w:b/>
          <w:bCs/>
        </w:rPr>
        <w:t>Produtos de higiene e limpeza</w:t>
      </w:r>
      <w:r>
        <w:rPr>
          <w:rFonts w:ascii="Century Gothic" w:hAnsi="Century Gothic"/>
        </w:rPr>
        <w:t xml:space="preserve"> destinados à sanitização das cozinhas e utensílios;</w:t>
      </w:r>
    </w:p>
    <w:p w14:paraId="23A5C1CF">
      <w:pPr>
        <w:numPr>
          <w:ilvl w:val="0"/>
          <w:numId w:val="4"/>
        </w:numPr>
        <w:spacing w:before="57" w:after="57" w:line="276" w:lineRule="auto"/>
        <w:ind w:left="737" w:right="227" w:hanging="340"/>
        <w:jc w:val="both"/>
        <w:rPr>
          <w:rFonts w:ascii="Century Gothic" w:hAnsi="Century Gothic"/>
        </w:rPr>
      </w:pPr>
      <w:r>
        <w:rPr>
          <w:rFonts w:ascii="Century Gothic" w:hAnsi="Century Gothic"/>
          <w:b/>
          <w:bCs/>
        </w:rPr>
        <w:t>Equipamentos de cozinha e mobiliários de apoio</w:t>
      </w:r>
      <w:r>
        <w:rPr>
          <w:rFonts w:ascii="Century Gothic" w:hAnsi="Century Gothic"/>
        </w:rPr>
        <w:t>, cuja manutenção corretiva e preventiva caberá à contratada.</w:t>
      </w:r>
    </w:p>
    <w:p w14:paraId="2908F825">
      <w:pPr>
        <w:spacing w:before="57" w:after="57" w:line="276" w:lineRule="auto"/>
        <w:ind w:right="227"/>
        <w:jc w:val="both"/>
        <w:rPr>
          <w:rFonts w:ascii="Century Gothic" w:hAnsi="Century Gothic"/>
        </w:rPr>
      </w:pPr>
      <w:r>
        <w:rPr>
          <w:rFonts w:ascii="Century Gothic" w:hAnsi="Century Gothic"/>
        </w:rPr>
        <w:t xml:space="preserve">A sazonalidade do ano letivo também foi considerada: há </w:t>
      </w:r>
      <w:r>
        <w:rPr>
          <w:rFonts w:ascii="Century Gothic" w:hAnsi="Century Gothic"/>
          <w:b/>
          <w:bCs/>
        </w:rPr>
        <w:t>redução de consumo durante os períodos de recesso escolar e eventuais picos em datas de reforço ou atividades extracurriculares</w:t>
      </w:r>
      <w:r>
        <w:rPr>
          <w:rFonts w:ascii="Century Gothic" w:hAnsi="Century Gothic"/>
        </w:rPr>
        <w:t xml:space="preserve">, exigindo </w:t>
      </w:r>
      <w:r>
        <w:rPr>
          <w:rFonts w:ascii="Century Gothic" w:hAnsi="Century Gothic"/>
          <w:b/>
          <w:bCs/>
        </w:rPr>
        <w:t>flexibilidade operacional</w:t>
      </w:r>
      <w:r>
        <w:rPr>
          <w:rFonts w:ascii="Century Gothic" w:hAnsi="Century Gothic"/>
        </w:rPr>
        <w:t xml:space="preserve"> por parte da empresa contratada.</w:t>
      </w:r>
    </w:p>
    <w:p w14:paraId="58246407">
      <w:pPr>
        <w:spacing w:before="57" w:after="57" w:line="276" w:lineRule="auto"/>
        <w:rPr>
          <w:rFonts w:ascii="Century Gothic" w:hAnsi="Century Gothic"/>
        </w:rPr>
      </w:pPr>
      <w:r>
        <w:rPr>
          <w:rFonts w:ascii="Century Gothic" w:hAnsi="Century Gothic"/>
        </w:rPr>
        <w:t xml:space="preserve">Para garantir o controle e evitar desperdícios ou desabastecimentos, serão adotados </w:t>
      </w:r>
      <w:r>
        <w:rPr>
          <w:rFonts w:ascii="Century Gothic" w:hAnsi="Century Gothic"/>
          <w:b/>
          <w:bCs/>
        </w:rPr>
        <w:t>mecanismos de acompanhamento de estoque</w:t>
      </w:r>
      <w:r>
        <w:rPr>
          <w:rFonts w:ascii="Century Gothic" w:hAnsi="Century Gothic"/>
        </w:rPr>
        <w:t>, com base em relatórios periódicos de consumo e planilhas de controle de insumos, submetidos à fiscalização contratual.</w:t>
      </w:r>
    </w:p>
    <w:p w14:paraId="071E506A">
      <w:pPr>
        <w:spacing w:before="57" w:after="57" w:line="276" w:lineRule="auto"/>
        <w:rPr>
          <w:rStyle w:val="128"/>
          <w:rFonts w:ascii="Century Gothic" w:hAnsi="Century Gothic" w:eastAsia="Arial"/>
        </w:rPr>
      </w:pPr>
      <w:bookmarkStart w:id="48" w:name="_heading=h.uvdpgm37ved7"/>
      <w:bookmarkEnd w:id="48"/>
      <w:r>
        <w:rPr>
          <w:rStyle w:val="128"/>
          <w:rFonts w:ascii="Century Gothic" w:hAnsi="Century Gothic" w:eastAsia="Arial"/>
        </w:rPr>
        <w:t xml:space="preserve">A correta estimativa e planejamento das quantidades a serem contratadas asseguram não apenas o atendimento integral aos estudantes, mas também a </w:t>
      </w:r>
      <w:r>
        <w:rPr>
          <w:rStyle w:val="128"/>
          <w:rFonts w:ascii="Century Gothic" w:hAnsi="Century Gothic" w:eastAsia="Arial"/>
          <w:b/>
          <w:bCs/>
        </w:rPr>
        <w:t>otimização dos recursos públicos</w:t>
      </w:r>
      <w:r>
        <w:rPr>
          <w:rStyle w:val="128"/>
          <w:rFonts w:ascii="Century Gothic" w:hAnsi="Century Gothic" w:eastAsia="Arial"/>
        </w:rPr>
        <w:t>, reforçando os princípios da eficiência, economicidade e transparência na gestão da alimentação escolar.</w:t>
      </w:r>
    </w:p>
    <w:p w14:paraId="30FFAD41">
      <w:pPr>
        <w:spacing w:before="57" w:after="57" w:line="276" w:lineRule="auto"/>
      </w:pPr>
    </w:p>
    <w:tbl>
      <w:tblPr>
        <w:tblStyle w:val="12"/>
        <w:tblW w:w="9863" w:type="dxa"/>
        <w:tblInd w:w="103" w:type="dxa"/>
        <w:tblLayout w:type="fixed"/>
        <w:tblCellMar>
          <w:top w:w="0" w:type="dxa"/>
          <w:left w:w="108" w:type="dxa"/>
          <w:bottom w:w="0" w:type="dxa"/>
          <w:right w:w="108" w:type="dxa"/>
        </w:tblCellMar>
      </w:tblPr>
      <w:tblGrid>
        <w:gridCol w:w="9863"/>
      </w:tblGrid>
      <w:tr w14:paraId="17CB0B21">
        <w:tblPrEx>
          <w:tblCellMar>
            <w:top w:w="0" w:type="dxa"/>
            <w:left w:w="108" w:type="dxa"/>
            <w:bottom w:w="0" w:type="dxa"/>
            <w:right w:w="108" w:type="dxa"/>
          </w:tblCellMar>
        </w:tblPrEx>
        <w:trPr>
          <w:trHeight w:val="290" w:hRule="atLeast"/>
        </w:trPr>
        <w:tc>
          <w:tcPr>
            <w:tcW w:w="9863" w:type="dxa"/>
            <w:tcBorders>
              <w:top w:val="single" w:color="000000" w:sz="4" w:space="0"/>
              <w:left w:val="single" w:color="000000" w:sz="4" w:space="0"/>
              <w:bottom w:val="single" w:color="000000" w:sz="4" w:space="0"/>
              <w:right w:val="single" w:color="000000" w:sz="4" w:space="0"/>
            </w:tcBorders>
            <w:shd w:val="clear" w:color="auto" w:fill="DDDDDD"/>
          </w:tcPr>
          <w:p w14:paraId="5BA659AC">
            <w:pPr>
              <w:widowControl w:val="0"/>
              <w:spacing w:before="57" w:after="57"/>
              <w:jc w:val="center"/>
              <w:rPr>
                <w:sz w:val="22"/>
                <w:szCs w:val="22"/>
              </w:rPr>
            </w:pPr>
            <w:r>
              <w:rPr>
                <w:rFonts w:ascii="Century Gothic" w:hAnsi="Century Gothic"/>
                <w:b/>
                <w:bCs/>
                <w:sz w:val="22"/>
                <w:szCs w:val="22"/>
              </w:rPr>
              <w:t>3. DO PRAZO DO CONTRATO E POSSIBILIDADE DE PRORROGAÇÃO – Art. 6º, XXIII, “a”</w:t>
            </w:r>
          </w:p>
        </w:tc>
      </w:tr>
    </w:tbl>
    <w:p w14:paraId="6376BD30">
      <w:pPr>
        <w:ind w:left="-567" w:right="454"/>
        <w:jc w:val="both"/>
        <w:rPr>
          <w:rFonts w:ascii="Century Gothic" w:hAnsi="Century Gothic" w:cs="Arial"/>
          <w:b/>
          <w:bCs/>
          <w:color w:val="000000"/>
          <w:sz w:val="10"/>
          <w:szCs w:val="10"/>
        </w:rPr>
      </w:pPr>
    </w:p>
    <w:p w14:paraId="5D44D039">
      <w:pPr>
        <w:spacing w:line="276" w:lineRule="auto"/>
        <w:ind w:right="283"/>
        <w:jc w:val="both"/>
      </w:pPr>
      <w:r>
        <w:rPr>
          <w:rFonts w:ascii="Century Gothic" w:hAnsi="Century Gothic" w:cs="Arial"/>
          <w:b/>
          <w:bCs/>
          <w:color w:val="000000"/>
        </w:rPr>
        <w:t>3.1.</w:t>
      </w:r>
      <w:r>
        <w:rPr>
          <w:rFonts w:ascii="Century Gothic" w:hAnsi="Century Gothic" w:cs="Arial"/>
          <w:color w:val="000000"/>
        </w:rPr>
        <w:t xml:space="preserve"> </w:t>
      </w:r>
      <w:r>
        <w:rPr>
          <w:rFonts w:ascii="Century Gothic" w:hAnsi="Century Gothic" w:eastAsia="Arial" w:cs="Arial"/>
          <w:color w:val="000000"/>
        </w:rPr>
        <w:t xml:space="preserve">O contrato administrativo a ser firmado terá </w:t>
      </w:r>
      <w:r>
        <w:rPr>
          <w:rFonts w:ascii="Century Gothic" w:hAnsi="Century Gothic" w:eastAsia="Arial" w:cs="Arial"/>
          <w:b/>
          <w:color w:val="000000"/>
        </w:rPr>
        <w:t>vigência inicial de 12 (doze) meses</w:t>
      </w:r>
      <w:r>
        <w:rPr>
          <w:rFonts w:ascii="Century Gothic" w:hAnsi="Century Gothic" w:eastAsia="Arial" w:cs="Arial"/>
          <w:color w:val="000000"/>
        </w:rPr>
        <w:t xml:space="preserve">, conforme art. 105 da Lei nº 14.133/2021, </w:t>
      </w:r>
      <w:r>
        <w:rPr>
          <w:rFonts w:ascii="Century Gothic" w:hAnsi="Century Gothic" w:eastAsia="Arial" w:cs="Arial"/>
          <w:b/>
          <w:color w:val="000000"/>
        </w:rPr>
        <w:t>podendo ser prorrogado por iguais e sucessivos períodos</w:t>
      </w:r>
      <w:r>
        <w:rPr>
          <w:rFonts w:ascii="Century Gothic" w:hAnsi="Century Gothic" w:eastAsia="Arial" w:cs="Arial"/>
          <w:color w:val="000000"/>
        </w:rPr>
        <w:t>, nos termos do art. 107, da referida norma, desde que haja interesse da Administração e vantajosidade na manutenção da contratação.</w:t>
      </w:r>
    </w:p>
    <w:p w14:paraId="33F5093A">
      <w:pPr>
        <w:spacing w:line="276" w:lineRule="auto"/>
        <w:ind w:right="283"/>
        <w:jc w:val="both"/>
      </w:pPr>
      <w:r>
        <w:rPr>
          <w:rFonts w:ascii="Century Gothic" w:hAnsi="Century Gothic" w:eastAsia="Arial" w:cs="Arial"/>
          <w:b/>
          <w:bCs/>
          <w:color w:val="000000"/>
        </w:rPr>
        <w:t>3.2.</w:t>
      </w:r>
      <w:r>
        <w:rPr>
          <w:rFonts w:ascii="Century Gothic" w:hAnsi="Century Gothic" w:eastAsia="Arial" w:cs="Arial"/>
          <w:color w:val="000000"/>
        </w:rPr>
        <w:t xml:space="preserve"> A eventual prorrogação contratual estará condicionada à </w:t>
      </w:r>
      <w:r>
        <w:rPr>
          <w:rFonts w:ascii="Century Gothic" w:hAnsi="Century Gothic" w:eastAsia="Arial" w:cs="Arial"/>
          <w:b/>
          <w:color w:val="000000"/>
        </w:rPr>
        <w:t>avaliação periódica de desempenho da contratada</w:t>
      </w:r>
      <w:r>
        <w:rPr>
          <w:rFonts w:ascii="Century Gothic" w:hAnsi="Century Gothic" w:eastAsia="Arial" w:cs="Arial"/>
          <w:color w:val="000000"/>
        </w:rPr>
        <w:t>, com base em critérios previamente definidos no Termo de Referência e no contrato, incluindo indicadores de qualidade, regularidade na prestação dos serviços, atendimento aos padrões nutricionais, cumprimento das normas sanitárias e satisfação dos usuários.</w:t>
      </w:r>
    </w:p>
    <w:p w14:paraId="5A6FCCD6">
      <w:pPr>
        <w:ind w:left="-567" w:right="454"/>
        <w:jc w:val="both"/>
        <w:rPr>
          <w:rFonts w:ascii="Century Gothic" w:hAnsi="Century Gothic" w:cs="Arial"/>
          <w:color w:val="000000" w:themeColor="text1"/>
          <w:sz w:val="4"/>
          <w:szCs w:val="4"/>
          <w14:textFill>
            <w14:solidFill>
              <w14:schemeClr w14:val="tx1"/>
            </w14:solidFill>
          </w14:textFill>
        </w:rPr>
      </w:pPr>
    </w:p>
    <w:tbl>
      <w:tblPr>
        <w:tblStyle w:val="12"/>
        <w:tblW w:w="9781" w:type="dxa"/>
        <w:tblInd w:w="103" w:type="dxa"/>
        <w:tblLayout w:type="fixed"/>
        <w:tblCellMar>
          <w:top w:w="0" w:type="dxa"/>
          <w:left w:w="108" w:type="dxa"/>
          <w:bottom w:w="0" w:type="dxa"/>
          <w:right w:w="108" w:type="dxa"/>
        </w:tblCellMar>
      </w:tblPr>
      <w:tblGrid>
        <w:gridCol w:w="9781"/>
      </w:tblGrid>
      <w:tr w14:paraId="66ADDA4C">
        <w:tblPrEx>
          <w:tblCellMar>
            <w:top w:w="0" w:type="dxa"/>
            <w:left w:w="108" w:type="dxa"/>
            <w:bottom w:w="0" w:type="dxa"/>
            <w:right w:w="108" w:type="dxa"/>
          </w:tblCellMar>
        </w:tblPrEx>
        <w:trPr>
          <w:trHeight w:val="290" w:hRule="atLeast"/>
        </w:trPr>
        <w:tc>
          <w:tcPr>
            <w:tcW w:w="9781" w:type="dxa"/>
            <w:tcBorders>
              <w:top w:val="single" w:color="000000" w:sz="4" w:space="0"/>
              <w:left w:val="single" w:color="000000" w:sz="4" w:space="0"/>
              <w:bottom w:val="single" w:color="000000" w:sz="4" w:space="0"/>
              <w:right w:val="single" w:color="000000" w:sz="4" w:space="0"/>
            </w:tcBorders>
            <w:shd w:val="clear" w:color="auto" w:fill="DDDDDD"/>
          </w:tcPr>
          <w:p w14:paraId="0E12149F">
            <w:pPr>
              <w:widowControl w:val="0"/>
              <w:spacing w:before="57" w:after="57"/>
              <w:jc w:val="center"/>
              <w:rPr>
                <w:sz w:val="22"/>
                <w:szCs w:val="22"/>
              </w:rPr>
            </w:pPr>
            <w:r>
              <w:rPr>
                <w:rFonts w:ascii="Century Gothic" w:hAnsi="Century Gothic"/>
                <w:b/>
                <w:bCs/>
                <w:sz w:val="22"/>
                <w:szCs w:val="22"/>
              </w:rPr>
              <w:t>4. FUNDAMENTAÇÃO DA CONTRATAÇÃO, QUE CONSISTE NA REFERÊNCIA AOS ETPS CORRESPONDENTES – Art. 6º, XXIII</w:t>
            </w:r>
          </w:p>
        </w:tc>
      </w:tr>
    </w:tbl>
    <w:p w14:paraId="369C7AD7">
      <w:pPr>
        <w:ind w:left="-567" w:right="454"/>
        <w:rPr>
          <w:rFonts w:ascii="Century Gothic" w:hAnsi="Century Gothic"/>
          <w:color w:val="000000"/>
          <w:sz w:val="10"/>
          <w:szCs w:val="10"/>
        </w:rPr>
      </w:pPr>
    </w:p>
    <w:p w14:paraId="2C214CCB">
      <w:pPr>
        <w:pStyle w:val="233"/>
        <w:tabs>
          <w:tab w:val="left" w:pos="363"/>
        </w:tabs>
        <w:spacing w:line="276" w:lineRule="auto"/>
        <w:ind w:right="340"/>
        <w:jc w:val="both"/>
        <w:rPr>
          <w:rFonts w:ascii="Century Gothic" w:hAnsi="Century Gothic"/>
          <w:szCs w:val="20"/>
        </w:rPr>
      </w:pPr>
      <w:r>
        <w:rPr>
          <w:rFonts w:ascii="Century Gothic" w:hAnsi="Century Gothic" w:eastAsia="Arial" w:cs="Arial"/>
          <w:b/>
          <w:bCs/>
          <w:color w:val="000000"/>
          <w:szCs w:val="20"/>
        </w:rPr>
        <w:t>4.1.</w:t>
      </w:r>
      <w:r>
        <w:rPr>
          <w:rFonts w:ascii="Century Gothic" w:hAnsi="Century Gothic" w:eastAsia="Arial" w:cs="Arial"/>
          <w:color w:val="000000"/>
          <w:szCs w:val="20"/>
        </w:rPr>
        <w:t xml:space="preserve"> O fornecimento de alimentação escolar é um direito fundamental dos alunos da rede pública municipal de ensino e um dever da Administração Pública, conforme preceituado na Constituição Federal e regulamentado por normas específicas do </w:t>
      </w:r>
      <w:r>
        <w:rPr>
          <w:rFonts w:ascii="Century Gothic" w:hAnsi="Century Gothic" w:eastAsia="Arial" w:cs="Arial"/>
          <w:b/>
          <w:bCs/>
          <w:color w:val="000000"/>
          <w:szCs w:val="20"/>
        </w:rPr>
        <w:t>Programa Nacional de Alimentação Escolar (PNAE)</w:t>
      </w:r>
      <w:r>
        <w:rPr>
          <w:rFonts w:ascii="Century Gothic" w:hAnsi="Century Gothic" w:eastAsia="Arial" w:cs="Arial"/>
          <w:color w:val="000000"/>
          <w:szCs w:val="20"/>
        </w:rPr>
        <w:t>. A oferta regular de refeições balanceadas e adequadas às necessidades nutricionais dos estudantes impacta diretamente no rendimento escolar, na saúde física e mental, na redução da evasão e na promoção da equidade educacional.</w:t>
      </w:r>
    </w:p>
    <w:p w14:paraId="148BD48D">
      <w:pPr>
        <w:pStyle w:val="233"/>
        <w:tabs>
          <w:tab w:val="left" w:pos="363"/>
        </w:tabs>
        <w:spacing w:before="69" w:after="69" w:line="276" w:lineRule="auto"/>
        <w:ind w:right="340"/>
        <w:jc w:val="both"/>
        <w:rPr>
          <w:rFonts w:ascii="Century Gothic" w:hAnsi="Century Gothic"/>
          <w:szCs w:val="20"/>
        </w:rPr>
      </w:pPr>
      <w:r>
        <w:rPr>
          <w:rFonts w:ascii="Century Gothic" w:hAnsi="Century Gothic" w:eastAsia="Arial" w:cs="Arial"/>
          <w:b/>
          <w:bCs/>
          <w:color w:val="000000"/>
          <w:szCs w:val="20"/>
        </w:rPr>
        <w:t xml:space="preserve">4.2. </w:t>
      </w:r>
      <w:r>
        <w:rPr>
          <w:rFonts w:ascii="Century Gothic" w:hAnsi="Century Gothic" w:eastAsia="Arial" w:cs="Arial"/>
          <w:color w:val="000000"/>
          <w:szCs w:val="20"/>
        </w:rPr>
        <w:t>A necessidade da presente contratação decorre da iminência do encerramento dos contratos atualmente vigentes, o que exige a adoção de medidas administrativas tempestivas para assegurar a continuidade da prestação dos serviços. A eventual interrupção do fornecimento de alimentação escolar acarretaria prejuízos significativos aos alunos, especialmente àqueles em situação de vulnerabilidade socioeconômica, comprometendo o funcionamento das unidades escolares e os objetivos pedagógicos da rede de ensino de Rondonópolis/MT.</w:t>
      </w:r>
    </w:p>
    <w:p w14:paraId="5365DFAA">
      <w:pPr>
        <w:pStyle w:val="233"/>
        <w:tabs>
          <w:tab w:val="left" w:pos="363"/>
        </w:tabs>
        <w:spacing w:before="69" w:after="69" w:line="276" w:lineRule="auto"/>
        <w:ind w:right="340"/>
        <w:jc w:val="both"/>
        <w:rPr>
          <w:rFonts w:ascii="Century Gothic" w:hAnsi="Century Gothic"/>
          <w:szCs w:val="20"/>
        </w:rPr>
      </w:pPr>
      <w:r>
        <w:rPr>
          <w:rFonts w:ascii="Century Gothic" w:hAnsi="Century Gothic" w:eastAsia="Arial" w:cs="Arial"/>
          <w:b/>
          <w:bCs/>
          <w:color w:val="000000"/>
          <w:szCs w:val="20"/>
        </w:rPr>
        <w:t xml:space="preserve">4.3. </w:t>
      </w:r>
      <w:r>
        <w:rPr>
          <w:rFonts w:ascii="Century Gothic" w:hAnsi="Century Gothic" w:eastAsia="Arial" w:cs="Arial"/>
          <w:color w:val="000000"/>
          <w:szCs w:val="20"/>
        </w:rPr>
        <w:t xml:space="preserve">Com o intuito de garantir maior segurança jurídica, economicidade, isonomia e transparência, a Administração optará pela adoção do </w:t>
      </w:r>
      <w:r>
        <w:rPr>
          <w:rFonts w:ascii="Century Gothic" w:hAnsi="Century Gothic" w:eastAsia="Arial" w:cs="Arial"/>
          <w:b/>
          <w:color w:val="000000"/>
          <w:szCs w:val="20"/>
        </w:rPr>
        <w:t>Pregão Eletrônico</w:t>
      </w:r>
      <w:r>
        <w:rPr>
          <w:rFonts w:ascii="Century Gothic" w:hAnsi="Century Gothic" w:eastAsia="Arial" w:cs="Arial"/>
          <w:color w:val="000000"/>
          <w:szCs w:val="20"/>
        </w:rPr>
        <w:t>, modalidade de licitação recomendada para a contratação de serviços contínuos e que favorece a ampliação da competitividade, conforme orientações do Tribunal de Contas da União (TCU). Tal escolha encontra respaldo na jurisprudência e na experiência exitosa de diversos entes públicos na contratação de serviços de alimentação escolar mediante essa modalidade.</w:t>
      </w:r>
    </w:p>
    <w:p w14:paraId="064270AD">
      <w:pPr>
        <w:pStyle w:val="233"/>
        <w:tabs>
          <w:tab w:val="left" w:pos="363"/>
        </w:tabs>
        <w:spacing w:before="69" w:after="69" w:line="276" w:lineRule="auto"/>
        <w:ind w:right="340"/>
        <w:jc w:val="both"/>
        <w:rPr>
          <w:rFonts w:ascii="Century Gothic" w:hAnsi="Century Gothic"/>
          <w:szCs w:val="20"/>
        </w:rPr>
      </w:pPr>
      <w:r>
        <w:rPr>
          <w:rFonts w:ascii="Century Gothic" w:hAnsi="Century Gothic" w:eastAsia="Arial" w:cs="Arial"/>
          <w:b/>
          <w:bCs/>
          <w:color w:val="000000"/>
          <w:szCs w:val="20"/>
        </w:rPr>
        <w:t xml:space="preserve">4.4. </w:t>
      </w:r>
      <w:r>
        <w:rPr>
          <w:rFonts w:ascii="Century Gothic" w:hAnsi="Century Gothic" w:eastAsia="Arial" w:cs="Arial"/>
          <w:color w:val="000000"/>
          <w:szCs w:val="20"/>
        </w:rPr>
        <w:t>A terceirização do serviço tem se revelado, na prática, uma solução administrativa eficiente, permitindo a racionalização dos recursos públicos e a concentração de esforços da Administração em suas atividades-fim. A contratação de empresa especializada proporciona maior controle sobre os processos de aquisição e armazenamento dos insumos, logística de distribuição das refeições, conservação dos equipamentos utilizados e cumprimento dos padrões técnicos, nutricionais e sanitários exigidos pela legislação.</w:t>
      </w:r>
    </w:p>
    <w:p w14:paraId="3DE95040">
      <w:pPr>
        <w:pStyle w:val="233"/>
        <w:tabs>
          <w:tab w:val="left" w:pos="363"/>
        </w:tabs>
        <w:spacing w:before="69" w:after="69" w:line="276" w:lineRule="auto"/>
        <w:ind w:right="340"/>
        <w:jc w:val="both"/>
        <w:rPr>
          <w:rFonts w:ascii="Century Gothic" w:hAnsi="Century Gothic"/>
          <w:szCs w:val="20"/>
        </w:rPr>
      </w:pPr>
      <w:bookmarkStart w:id="49" w:name="_heading=h.gsp661rr2kqg_Copia_1_Copia_1_"/>
      <w:bookmarkEnd w:id="49"/>
      <w:r>
        <w:rPr>
          <w:rFonts w:ascii="Century Gothic" w:hAnsi="Century Gothic" w:eastAsia="Arial" w:cs="Arial"/>
          <w:b/>
          <w:bCs/>
          <w:color w:val="000000"/>
          <w:szCs w:val="20"/>
        </w:rPr>
        <w:t xml:space="preserve">4.5. </w:t>
      </w:r>
      <w:r>
        <w:rPr>
          <w:rFonts w:ascii="Century Gothic" w:hAnsi="Century Gothic" w:eastAsia="Arial" w:cs="Arial"/>
          <w:color w:val="000000"/>
          <w:szCs w:val="20"/>
        </w:rPr>
        <w:t>Adicionalmente, a nova contratação permitirá o aprimoramento dos mecanismos de fiscalização e acompanhamento da execução contratual, com base em indicadores de desempenho e critérios objetivos de avaliação dos serviços, contribuindo para a melhoria contínua, a transparência da gestão pública e a efetividade na aplicação dos recursos destinados à alimentação escolar.</w:t>
      </w:r>
    </w:p>
    <w:p w14:paraId="3AB871F4">
      <w:pPr>
        <w:ind w:left="397" w:right="170"/>
        <w:jc w:val="both"/>
        <w:rPr>
          <w:rFonts w:ascii="Century Gothic" w:hAnsi="Century Gothic" w:eastAsia="Arial" w:cs="Arial"/>
          <w:color w:val="000000"/>
        </w:rPr>
      </w:pPr>
      <w:r>
        <w:rPr>
          <w:rFonts w:ascii="Century Gothic" w:hAnsi="Century Gothic" w:eastAsia="Arial" w:cs="Arial"/>
          <w:b/>
          <w:bCs/>
          <w:color w:val="000000"/>
        </w:rPr>
        <w:t xml:space="preserve">4.6. </w:t>
      </w:r>
      <w:r>
        <w:rPr>
          <w:rFonts w:ascii="Century Gothic" w:hAnsi="Century Gothic" w:eastAsia="Arial" w:cs="Arial"/>
          <w:color w:val="000000"/>
        </w:rPr>
        <w:t xml:space="preserve">A contratação será realizada por meio da </w:t>
      </w:r>
      <w:r>
        <w:rPr>
          <w:rFonts w:ascii="Century Gothic" w:hAnsi="Century Gothic" w:eastAsia="Arial" w:cs="Arial"/>
          <w:b/>
          <w:color w:val="000000"/>
        </w:rPr>
        <w:t>modalidade Pregão Eletrônico</w:t>
      </w:r>
      <w:r>
        <w:rPr>
          <w:rFonts w:ascii="Century Gothic" w:hAnsi="Century Gothic" w:eastAsia="Arial" w:cs="Arial"/>
          <w:color w:val="000000"/>
        </w:rPr>
        <w:t xml:space="preserve">, do tipo </w:t>
      </w:r>
      <w:r>
        <w:rPr>
          <w:rFonts w:ascii="Century Gothic" w:hAnsi="Century Gothic" w:eastAsia="Arial" w:cs="Arial"/>
          <w:b/>
          <w:color w:val="000000"/>
        </w:rPr>
        <w:t>menor preço global</w:t>
      </w:r>
      <w:r>
        <w:rPr>
          <w:rFonts w:ascii="Century Gothic" w:hAnsi="Century Gothic" w:eastAsia="Arial" w:cs="Arial"/>
          <w:color w:val="000000"/>
        </w:rPr>
        <w:t>, nos termos do art. 28, inciso I, da Lei nº 14.133/2021, sendo esta a modalidade preferencial para a contratação de serviços comuns, incluindo aqueles de natureza continuada, como é o caso da alimentação escolar.</w:t>
      </w:r>
    </w:p>
    <w:p w14:paraId="50F87B27">
      <w:pPr>
        <w:pStyle w:val="233"/>
        <w:tabs>
          <w:tab w:val="left" w:pos="363"/>
        </w:tabs>
        <w:spacing w:before="69" w:after="69" w:line="276" w:lineRule="auto"/>
        <w:ind w:right="340"/>
        <w:jc w:val="both"/>
        <w:rPr>
          <w:rFonts w:ascii="Century Gothic" w:hAnsi="Century Gothic"/>
          <w:szCs w:val="20"/>
        </w:rPr>
      </w:pPr>
      <w:r>
        <w:rPr>
          <w:rFonts w:ascii="Century Gothic" w:hAnsi="Century Gothic" w:eastAsia="Arial" w:cs="Arial"/>
          <w:b/>
          <w:bCs/>
          <w:color w:val="000000"/>
          <w:szCs w:val="20"/>
        </w:rPr>
        <w:t>4.7.</w:t>
      </w:r>
      <w:r>
        <w:rPr>
          <w:rFonts w:ascii="Century Gothic" w:hAnsi="Century Gothic" w:eastAsia="Arial" w:cs="Arial"/>
          <w:color w:val="000000"/>
          <w:szCs w:val="20"/>
        </w:rPr>
        <w:t xml:space="preserve"> O Pregão Eletrônico promove maior competitividade entre os licitantes, amplia a transparência do processo licitatório e contribui para a economicidade na aplicação dos recursos públicos, sendo amplamente utilizado por entes da Administração Pública para a contratação de serviços similares em todo o país.</w:t>
      </w:r>
    </w:p>
    <w:p w14:paraId="67995504">
      <w:pPr>
        <w:pStyle w:val="5"/>
        <w:keepNext w:val="0"/>
        <w:tabs>
          <w:tab w:val="left" w:pos="363"/>
        </w:tabs>
        <w:spacing w:before="0" w:after="0" w:line="276" w:lineRule="auto"/>
        <w:ind w:left="143"/>
        <w:jc w:val="both"/>
        <w:rPr>
          <w:rFonts w:ascii="Century Gothic" w:hAnsi="Century Gothic"/>
          <w:sz w:val="20"/>
          <w:szCs w:val="20"/>
        </w:rPr>
      </w:pPr>
      <w:bookmarkStart w:id="50" w:name="_heading=h.rb8wntoqly9u_Copia_1_Copia_1"/>
      <w:bookmarkEnd w:id="50"/>
      <w:r>
        <w:rPr>
          <w:rFonts w:ascii="Century Gothic" w:hAnsi="Century Gothic"/>
          <w:sz w:val="20"/>
          <w:szCs w:val="20"/>
        </w:rPr>
        <w:t>Fundamentação Legal:</w:t>
      </w:r>
    </w:p>
    <w:p w14:paraId="005F7018">
      <w:pPr>
        <w:pStyle w:val="233"/>
        <w:numPr>
          <w:ilvl w:val="0"/>
          <w:numId w:val="5"/>
        </w:numPr>
        <w:tabs>
          <w:tab w:val="left" w:pos="363"/>
        </w:tabs>
        <w:spacing w:line="276" w:lineRule="auto"/>
        <w:ind w:left="737" w:right="283" w:hanging="340"/>
        <w:jc w:val="both"/>
        <w:rPr>
          <w:rFonts w:ascii="Century Gothic" w:hAnsi="Century Gothic"/>
          <w:szCs w:val="20"/>
        </w:rPr>
      </w:pPr>
      <w:r>
        <w:rPr>
          <w:rFonts w:ascii="Century Gothic" w:hAnsi="Century Gothic" w:eastAsia="Arial" w:cs="Arial"/>
          <w:b/>
          <w:color w:val="000000"/>
          <w:szCs w:val="20"/>
        </w:rPr>
        <w:t>Lei nº 14.133/2021</w:t>
      </w:r>
      <w:r>
        <w:rPr>
          <w:rFonts w:ascii="Century Gothic" w:hAnsi="Century Gothic" w:eastAsia="Arial" w:cs="Arial"/>
          <w:color w:val="000000"/>
          <w:szCs w:val="20"/>
        </w:rPr>
        <w:t>, art. 28, inciso I – Define o Pregão como modalidade preferencial para contratação de bens e serviços comuns, inclusive os serviços comuns de engenharia.</w:t>
      </w:r>
    </w:p>
    <w:p w14:paraId="685C02F0">
      <w:pPr>
        <w:pStyle w:val="233"/>
        <w:numPr>
          <w:ilvl w:val="0"/>
          <w:numId w:val="5"/>
        </w:numPr>
        <w:tabs>
          <w:tab w:val="left" w:pos="363"/>
        </w:tabs>
        <w:spacing w:line="276" w:lineRule="auto"/>
        <w:ind w:left="737" w:right="283" w:hanging="340"/>
        <w:jc w:val="both"/>
        <w:rPr>
          <w:rFonts w:ascii="Century Gothic" w:hAnsi="Century Gothic"/>
        </w:rPr>
      </w:pPr>
      <w:r>
        <w:rPr>
          <w:rFonts w:ascii="Century Gothic" w:hAnsi="Century Gothic" w:eastAsia="Arial" w:cs="Arial"/>
          <w:b/>
          <w:color w:val="000000"/>
          <w:szCs w:val="20"/>
        </w:rPr>
        <w:t>Decreto Federal nº 10.024, de 20 de setembro de 2019</w:t>
      </w:r>
      <w:r>
        <w:rPr>
          <w:rFonts w:ascii="Century Gothic" w:hAnsi="Century Gothic" w:eastAsia="Arial" w:cs="Arial"/>
          <w:color w:val="000000"/>
          <w:szCs w:val="20"/>
        </w:rPr>
        <w:t xml:space="preserve"> – Regulamenta o uso do Pregão Eletrônico no âmbito da Administração Pública federal, aplicando-se subsidiariamente aos demais entes federativos, naquilo que não conflitar com a legislação local e a nova Lei de Licitações.</w:t>
      </w:r>
    </w:p>
    <w:p w14:paraId="2CE99033">
      <w:pPr>
        <w:pStyle w:val="233"/>
        <w:tabs>
          <w:tab w:val="left" w:pos="363"/>
        </w:tabs>
        <w:spacing w:line="276" w:lineRule="auto"/>
        <w:ind w:right="283"/>
        <w:jc w:val="both"/>
        <w:rPr>
          <w:rFonts w:ascii="Century Gothic" w:hAnsi="Century Gothic"/>
          <w:szCs w:val="20"/>
        </w:rPr>
      </w:pPr>
      <w:r>
        <w:rPr>
          <w:rFonts w:ascii="Century Gothic" w:hAnsi="Century Gothic" w:eastAsia="Arial" w:cs="Arial"/>
          <w:b/>
          <w:bCs/>
          <w:color w:val="000000"/>
          <w:szCs w:val="20"/>
        </w:rPr>
        <w:t>4.8.</w:t>
      </w:r>
      <w:r>
        <w:rPr>
          <w:rFonts w:ascii="Century Gothic" w:hAnsi="Century Gothic" w:eastAsia="Arial" w:cs="Arial"/>
          <w:color w:val="000000"/>
          <w:szCs w:val="20"/>
        </w:rPr>
        <w:t xml:space="preserve"> A presente contratação abrangerá todas as unidades escolares da rede pública municipal de ensino de Rondonópolis/MT, compreendendo os estabelecimentos de educação infantil, ensino fundamental (anos iniciais e finais), Educação de Jovens e Adultos (EJA) e Atendimento Educacional Especializado (AEE), garantindo a oferta regular e contínua de alimentação escolar a todos os alunos devidamente matriculados.</w:t>
      </w:r>
    </w:p>
    <w:p w14:paraId="174DC2AE">
      <w:pPr>
        <w:pStyle w:val="233"/>
        <w:tabs>
          <w:tab w:val="left" w:pos="363"/>
        </w:tabs>
        <w:spacing w:before="57" w:after="57" w:line="276" w:lineRule="auto"/>
        <w:ind w:right="283"/>
        <w:jc w:val="both"/>
        <w:rPr>
          <w:rFonts w:ascii="Century Gothic" w:hAnsi="Century Gothic"/>
          <w:szCs w:val="20"/>
        </w:rPr>
      </w:pPr>
      <w:r>
        <w:rPr>
          <w:rFonts w:ascii="Century Gothic" w:hAnsi="Century Gothic" w:eastAsia="Arial" w:cs="Arial"/>
          <w:b/>
          <w:bCs/>
          <w:color w:val="000000"/>
          <w:szCs w:val="20"/>
        </w:rPr>
        <w:t>4.9.</w:t>
      </w:r>
      <w:r>
        <w:rPr>
          <w:rFonts w:ascii="Century Gothic" w:hAnsi="Century Gothic" w:eastAsia="Arial" w:cs="Arial"/>
          <w:color w:val="000000"/>
          <w:szCs w:val="20"/>
        </w:rPr>
        <w:t xml:space="preserve"> As estimativas para a execução contratual foram definidas com base nas informações fornecidas pela Secretaria Municipal de Educação e estão detalhadas nos anexos do Estudo Técnico Preliminar, conforme descrito a seguir:</w:t>
      </w:r>
    </w:p>
    <w:p w14:paraId="1D3251FF">
      <w:pPr>
        <w:pStyle w:val="233"/>
        <w:numPr>
          <w:ilvl w:val="0"/>
          <w:numId w:val="5"/>
        </w:numPr>
        <w:tabs>
          <w:tab w:val="left" w:pos="363"/>
        </w:tabs>
        <w:ind w:left="737" w:right="283" w:hanging="340"/>
        <w:jc w:val="both"/>
        <w:rPr>
          <w:rFonts w:ascii="Century Gothic" w:hAnsi="Century Gothic"/>
          <w:szCs w:val="20"/>
        </w:rPr>
      </w:pPr>
      <w:r>
        <w:rPr>
          <w:rFonts w:ascii="Century Gothic" w:hAnsi="Century Gothic" w:eastAsia="Arial" w:cs="Arial"/>
          <w:b/>
          <w:color w:val="000000"/>
          <w:szCs w:val="20"/>
        </w:rPr>
        <w:t>Número estimado de alunos atendidos:</w:t>
      </w:r>
      <w:r>
        <w:rPr>
          <w:rFonts w:ascii="Century Gothic" w:hAnsi="Century Gothic" w:eastAsia="Arial" w:cs="Arial"/>
          <w:color w:val="000000"/>
          <w:szCs w:val="20"/>
        </w:rPr>
        <w:t xml:space="preserve"> conforme dados consolidados da rede municipal de ensino. </w:t>
      </w:r>
    </w:p>
    <w:p w14:paraId="2E8073BD">
      <w:pPr>
        <w:pStyle w:val="233"/>
        <w:numPr>
          <w:ilvl w:val="0"/>
          <w:numId w:val="5"/>
        </w:numPr>
        <w:tabs>
          <w:tab w:val="left" w:pos="363"/>
        </w:tabs>
        <w:ind w:left="737" w:right="283" w:hanging="340"/>
        <w:jc w:val="both"/>
      </w:pPr>
      <w:r>
        <w:rPr>
          <w:rFonts w:ascii="Century Gothic" w:hAnsi="Century Gothic" w:eastAsia="Arial" w:cs="Arial"/>
          <w:b/>
          <w:color w:val="000000"/>
          <w:szCs w:val="20"/>
        </w:rPr>
        <w:t>Quantidade diária de refeições a serem fornecidas:</w:t>
      </w:r>
      <w:r>
        <w:rPr>
          <w:rFonts w:ascii="Century Gothic" w:hAnsi="Century Gothic" w:eastAsia="Arial" w:cs="Arial"/>
          <w:color w:val="000000"/>
          <w:szCs w:val="20"/>
        </w:rPr>
        <w:t xml:space="preserve"> conforme as modalidades de ensino, os turnos de funcionamento e os cardápios estabelecidos pela equipe técnica de nutrição. </w:t>
      </w:r>
    </w:p>
    <w:p w14:paraId="10E4D3CF">
      <w:pPr>
        <w:pStyle w:val="233"/>
        <w:numPr>
          <w:ilvl w:val="0"/>
          <w:numId w:val="5"/>
        </w:numPr>
        <w:tabs>
          <w:tab w:val="left" w:pos="363"/>
        </w:tabs>
        <w:ind w:left="737" w:right="283" w:hanging="340"/>
        <w:jc w:val="both"/>
      </w:pPr>
      <w:r>
        <w:rPr>
          <w:rFonts w:ascii="Century Gothic" w:hAnsi="Century Gothic" w:eastAsia="Arial" w:cs="Arial"/>
          <w:b/>
          <w:color w:val="000000"/>
          <w:szCs w:val="20"/>
        </w:rPr>
        <w:t>Número de unidades escolares atendidas:</w:t>
      </w:r>
      <w:r>
        <w:rPr>
          <w:rFonts w:ascii="Century Gothic" w:hAnsi="Century Gothic" w:eastAsia="Arial" w:cs="Arial"/>
          <w:color w:val="000000"/>
          <w:szCs w:val="20"/>
        </w:rPr>
        <w:t xml:space="preserve"> abrangendo escolas urbanas e rurais, creches e centros de educação infantil. </w:t>
      </w:r>
    </w:p>
    <w:p w14:paraId="359E5DE1">
      <w:pPr>
        <w:pStyle w:val="233"/>
        <w:numPr>
          <w:ilvl w:val="0"/>
          <w:numId w:val="5"/>
        </w:numPr>
        <w:tabs>
          <w:tab w:val="left" w:pos="363"/>
        </w:tabs>
        <w:ind w:left="737" w:right="283" w:hanging="340"/>
        <w:jc w:val="both"/>
        <w:rPr>
          <w:rFonts w:ascii="Century Gothic" w:hAnsi="Century Gothic"/>
          <w:szCs w:val="20"/>
        </w:rPr>
      </w:pPr>
      <w:r>
        <w:rPr>
          <w:rFonts w:ascii="Century Gothic" w:hAnsi="Century Gothic" w:eastAsia="Arial" w:cs="Arial"/>
          <w:b/>
          <w:color w:val="000000"/>
          <w:szCs w:val="20"/>
        </w:rPr>
        <w:t>Período de vigência do contrato:</w:t>
      </w:r>
      <w:r>
        <w:rPr>
          <w:rFonts w:ascii="Century Gothic" w:hAnsi="Century Gothic" w:eastAsia="Arial" w:cs="Arial"/>
          <w:color w:val="000000"/>
          <w:szCs w:val="20"/>
        </w:rPr>
        <w:t xml:space="preserve"> até </w:t>
      </w:r>
      <w:r>
        <w:rPr>
          <w:rFonts w:ascii="Century Gothic" w:hAnsi="Century Gothic" w:eastAsia="Arial" w:cs="Arial"/>
          <w:b/>
          <w:color w:val="000000"/>
          <w:szCs w:val="20"/>
        </w:rPr>
        <w:t>12 (doze) meses</w:t>
      </w:r>
      <w:r>
        <w:rPr>
          <w:rFonts w:ascii="Century Gothic" w:hAnsi="Century Gothic" w:eastAsia="Arial" w:cs="Arial"/>
          <w:color w:val="000000"/>
          <w:szCs w:val="20"/>
        </w:rPr>
        <w:t>, conforme previsto no art. 107, inciso II, da Lei nº 14.133/2021.</w:t>
      </w:r>
    </w:p>
    <w:p w14:paraId="178444A0">
      <w:pPr>
        <w:pStyle w:val="233"/>
        <w:tabs>
          <w:tab w:val="left" w:pos="363"/>
        </w:tabs>
        <w:spacing w:before="12" w:after="12" w:line="276" w:lineRule="auto"/>
        <w:ind w:right="283"/>
        <w:jc w:val="both"/>
        <w:rPr>
          <w:rFonts w:ascii="Century Gothic" w:hAnsi="Century Gothic"/>
          <w:szCs w:val="20"/>
        </w:rPr>
      </w:pPr>
      <w:r>
        <w:rPr>
          <w:rFonts w:ascii="Century Gothic" w:hAnsi="Century Gothic" w:eastAsia="Arial" w:cs="Arial"/>
          <w:b/>
          <w:bCs/>
          <w:color w:val="000000"/>
          <w:szCs w:val="20"/>
        </w:rPr>
        <w:t>4.10.</w:t>
      </w:r>
      <w:r>
        <w:rPr>
          <w:rFonts w:ascii="Century Gothic" w:hAnsi="Century Gothic" w:eastAsia="Arial" w:cs="Arial"/>
          <w:color w:val="000000"/>
          <w:szCs w:val="20"/>
        </w:rPr>
        <w:t xml:space="preserve"> A execução do contrato será acompanhada por fiscais e gestores designados pela Administração Pública Municipal, devidamente capacitados, com o objetivo de monitorar e avaliar a qualidade dos serviços prestados, garantir o cumprimento das obrigações contratuais, zelar pela correta aplicação dos recursos públicos e assegurar a adequada prestação do serviço público de alimentação escolar.</w:t>
      </w:r>
    </w:p>
    <w:p w14:paraId="48497754">
      <w:pPr>
        <w:pStyle w:val="233"/>
        <w:tabs>
          <w:tab w:val="left" w:pos="363"/>
        </w:tabs>
        <w:spacing w:before="57" w:after="57" w:line="276" w:lineRule="auto"/>
        <w:ind w:right="283"/>
        <w:jc w:val="both"/>
        <w:rPr>
          <w:rFonts w:ascii="Century Gothic" w:hAnsi="Century Gothic"/>
          <w:szCs w:val="20"/>
        </w:rPr>
      </w:pPr>
      <w:bookmarkStart w:id="51" w:name="_heading=h.1cwkc3rv8fw_Copia_1"/>
      <w:bookmarkEnd w:id="51"/>
      <w:r>
        <w:rPr>
          <w:rStyle w:val="128"/>
          <w:rFonts w:ascii="Century Gothic" w:hAnsi="Century Gothic"/>
          <w:b/>
          <w:bCs/>
          <w:color w:val="000000"/>
          <w:szCs w:val="20"/>
          <w:lang w:eastAsia="zh-CN"/>
        </w:rPr>
        <w:t>4.11.</w:t>
      </w:r>
      <w:r>
        <w:rPr>
          <w:rStyle w:val="128"/>
          <w:rFonts w:ascii="Century Gothic" w:hAnsi="Century Gothic"/>
          <w:color w:val="000000"/>
          <w:szCs w:val="20"/>
          <w:lang w:eastAsia="zh-CN"/>
        </w:rPr>
        <w:t xml:space="preserve"> Dessa forma, a contratação de empresa especializada revela-se a solução mais eficaz e vantajosa para atender às demandas operacionais da rede municipal de ensino, garantindo o respeito ao direito constitucional dos estudantes à alimentação escolar de qualidade, segura, adequada e contínua.</w:t>
      </w:r>
    </w:p>
    <w:tbl>
      <w:tblPr>
        <w:tblStyle w:val="12"/>
        <w:tblW w:w="9719" w:type="dxa"/>
        <w:tblInd w:w="165" w:type="dxa"/>
        <w:tblLayout w:type="fixed"/>
        <w:tblCellMar>
          <w:top w:w="0" w:type="dxa"/>
          <w:left w:w="108" w:type="dxa"/>
          <w:bottom w:w="0" w:type="dxa"/>
          <w:right w:w="108" w:type="dxa"/>
        </w:tblCellMar>
      </w:tblPr>
      <w:tblGrid>
        <w:gridCol w:w="9719"/>
      </w:tblGrid>
      <w:tr w14:paraId="042AD516">
        <w:tblPrEx>
          <w:tblCellMar>
            <w:top w:w="0" w:type="dxa"/>
            <w:left w:w="108" w:type="dxa"/>
            <w:bottom w:w="0" w:type="dxa"/>
            <w:right w:w="108" w:type="dxa"/>
          </w:tblCellMar>
        </w:tblPrEx>
        <w:trPr>
          <w:trHeight w:val="290" w:hRule="atLeast"/>
        </w:trPr>
        <w:tc>
          <w:tcPr>
            <w:tcW w:w="9719" w:type="dxa"/>
            <w:tcBorders>
              <w:top w:val="single" w:color="000000" w:sz="4" w:space="0"/>
              <w:left w:val="single" w:color="000000" w:sz="4" w:space="0"/>
              <w:bottom w:val="single" w:color="000000" w:sz="4" w:space="0"/>
              <w:right w:val="single" w:color="000000" w:sz="4" w:space="0"/>
            </w:tcBorders>
            <w:shd w:val="clear" w:color="auto" w:fill="DDDDDD"/>
          </w:tcPr>
          <w:p w14:paraId="4573BD1D">
            <w:pPr>
              <w:widowControl w:val="0"/>
              <w:spacing w:before="57" w:after="57"/>
              <w:jc w:val="center"/>
              <w:rPr>
                <w:sz w:val="22"/>
                <w:szCs w:val="22"/>
              </w:rPr>
            </w:pPr>
            <w:r>
              <w:rPr>
                <w:rFonts w:ascii="Century Gothic" w:hAnsi="Century Gothic"/>
                <w:b/>
                <w:bCs/>
                <w:sz w:val="22"/>
                <w:szCs w:val="22"/>
              </w:rPr>
              <w:t>5. DESCRIÇÃO DA SOLUÇÃO COMO UM TODO – Art. 6º, XXIII, “c”</w:t>
            </w:r>
          </w:p>
        </w:tc>
      </w:tr>
    </w:tbl>
    <w:p w14:paraId="7A3D4E68">
      <w:pPr>
        <w:spacing w:line="276" w:lineRule="auto"/>
        <w:ind w:left="-567" w:right="454"/>
        <w:jc w:val="both"/>
        <w:rPr>
          <w:rFonts w:ascii="Century Gothic" w:hAnsi="Century Gothic"/>
          <w:sz w:val="10"/>
          <w:szCs w:val="10"/>
        </w:rPr>
      </w:pPr>
    </w:p>
    <w:p w14:paraId="1CF5EC70">
      <w:pPr>
        <w:spacing w:line="276" w:lineRule="auto"/>
        <w:ind w:right="227"/>
        <w:jc w:val="both"/>
      </w:pPr>
      <w:r>
        <w:rPr>
          <w:rFonts w:ascii="Century Gothic" w:hAnsi="Century Gothic"/>
        </w:rPr>
        <w:t>A solução proposta para a prestação dos serviços de alimentação escolar no município de Rondonópolis/MT foi concebida com foco na continuidade, qualidade e regularidade da oferta de refeições aos alunos da rede pública municipal de ensino. O modelo adotado contempla a contratação de empresa especializada, com experiência comprovada no fornecimento de alimentação institucional, mediante processo licitatório, conforme diretrizes da Lei nº 14.133/2021.</w:t>
      </w:r>
    </w:p>
    <w:p w14:paraId="217C3385">
      <w:pPr>
        <w:spacing w:line="276" w:lineRule="auto"/>
        <w:jc w:val="both"/>
      </w:pPr>
      <w:r>
        <w:rPr>
          <w:rFonts w:ascii="Century Gothic" w:hAnsi="Century Gothic"/>
        </w:rPr>
        <w:t>A execução do serviço abrangerá todas as etapas operacionais da alimentação escolar, incluindo:</w:t>
      </w:r>
    </w:p>
    <w:p w14:paraId="34D13CF3">
      <w:pPr>
        <w:numPr>
          <w:ilvl w:val="0"/>
          <w:numId w:val="6"/>
        </w:numPr>
        <w:spacing w:before="57" w:after="57" w:line="276" w:lineRule="auto"/>
        <w:jc w:val="both"/>
      </w:pPr>
      <w:r>
        <w:rPr>
          <w:rFonts w:ascii="Century Gothic" w:hAnsi="Century Gothic"/>
        </w:rPr>
        <w:t>Aquisição, recebimento, armazenagem e controle de estoque de gêneros alimentícios;</w:t>
      </w:r>
    </w:p>
    <w:p w14:paraId="5A1C02A1">
      <w:pPr>
        <w:numPr>
          <w:ilvl w:val="0"/>
          <w:numId w:val="6"/>
        </w:numPr>
        <w:spacing w:before="57" w:after="57" w:line="276" w:lineRule="auto"/>
        <w:jc w:val="both"/>
      </w:pPr>
      <w:r>
        <w:rPr>
          <w:rFonts w:ascii="Century Gothic" w:hAnsi="Century Gothic"/>
        </w:rPr>
        <w:t>Planejamento e elaboração de cardápios por nutricionista habilitado;</w:t>
      </w:r>
    </w:p>
    <w:p w14:paraId="7F9DB7D8">
      <w:pPr>
        <w:numPr>
          <w:ilvl w:val="0"/>
          <w:numId w:val="6"/>
        </w:numPr>
        <w:spacing w:before="57" w:after="57" w:line="276" w:lineRule="auto"/>
        <w:jc w:val="both"/>
      </w:pPr>
      <w:r>
        <w:rPr>
          <w:rFonts w:ascii="Century Gothic" w:hAnsi="Century Gothic"/>
        </w:rPr>
        <w:t>Preparo, porcionamento e distribuição das refeições;</w:t>
      </w:r>
    </w:p>
    <w:p w14:paraId="60A2E61C">
      <w:pPr>
        <w:numPr>
          <w:ilvl w:val="0"/>
          <w:numId w:val="6"/>
        </w:numPr>
        <w:spacing w:before="57" w:after="57" w:line="276" w:lineRule="auto"/>
        <w:jc w:val="both"/>
      </w:pPr>
      <w:r>
        <w:rPr>
          <w:rFonts w:ascii="Century Gothic" w:hAnsi="Century Gothic"/>
        </w:rPr>
        <w:t>Logística de transporte dos insumos e refeições, quando necessário;</w:t>
      </w:r>
    </w:p>
    <w:p w14:paraId="646297C3">
      <w:pPr>
        <w:numPr>
          <w:ilvl w:val="0"/>
          <w:numId w:val="6"/>
        </w:numPr>
        <w:spacing w:before="57" w:after="57" w:line="276" w:lineRule="auto"/>
        <w:jc w:val="both"/>
      </w:pPr>
      <w:r>
        <w:rPr>
          <w:rFonts w:ascii="Century Gothic" w:hAnsi="Century Gothic"/>
        </w:rPr>
        <w:t>Limpeza, conservação e manutenção dos equipamentos e utensílios utilizados;</w:t>
      </w:r>
    </w:p>
    <w:p w14:paraId="3564FAA4">
      <w:pPr>
        <w:numPr>
          <w:ilvl w:val="0"/>
          <w:numId w:val="6"/>
        </w:numPr>
        <w:spacing w:before="57" w:after="57" w:line="276" w:lineRule="auto"/>
        <w:jc w:val="both"/>
      </w:pPr>
      <w:r>
        <w:rPr>
          <w:rFonts w:ascii="Century Gothic" w:hAnsi="Century Gothic"/>
        </w:rPr>
        <w:t>Supervisão técnica, acompanhamento nutricional e emissão de relatórios periódicos.</w:t>
      </w:r>
    </w:p>
    <w:p w14:paraId="7DF04782">
      <w:pPr>
        <w:spacing w:before="114" w:after="114" w:line="276" w:lineRule="auto"/>
        <w:ind w:right="227"/>
        <w:jc w:val="both"/>
      </w:pPr>
      <w:r>
        <w:rPr>
          <w:rFonts w:ascii="Century Gothic" w:hAnsi="Century Gothic"/>
        </w:rPr>
        <w:t>A prestação do serviço será orientada pelas diretrizes do Programa Nacional de Alimentação Escolar (PNAE), assegurando a conformidade com os padrões nutricionais, sanitários e operacionais estabelecidos pelo FNDE, ANVISA e demais normas aplicáveis. A empresa contratada deverá dispor de equipe técnica qualificada, incluindo:</w:t>
      </w:r>
    </w:p>
    <w:p w14:paraId="05F42F94">
      <w:pPr>
        <w:numPr>
          <w:ilvl w:val="0"/>
          <w:numId w:val="6"/>
        </w:numPr>
        <w:spacing w:before="57" w:after="57" w:line="276" w:lineRule="auto"/>
        <w:jc w:val="both"/>
      </w:pPr>
      <w:r>
        <w:rPr>
          <w:rFonts w:ascii="Century Gothic" w:hAnsi="Century Gothic"/>
        </w:rPr>
        <w:t>Nutricionistas responsáveis pela elaboração e validação dos cardápios;</w:t>
      </w:r>
    </w:p>
    <w:p w14:paraId="03D2033B">
      <w:pPr>
        <w:numPr>
          <w:ilvl w:val="0"/>
          <w:numId w:val="6"/>
        </w:numPr>
        <w:spacing w:before="57" w:after="57" w:line="276" w:lineRule="auto"/>
        <w:jc w:val="both"/>
      </w:pPr>
      <w:r>
        <w:rPr>
          <w:rFonts w:ascii="Century Gothic" w:hAnsi="Century Gothic"/>
        </w:rPr>
        <w:t>Cozinheiros e auxiliares de cozinha capacitados;</w:t>
      </w:r>
    </w:p>
    <w:p w14:paraId="2AD2A655">
      <w:pPr>
        <w:numPr>
          <w:ilvl w:val="0"/>
          <w:numId w:val="6"/>
        </w:numPr>
        <w:spacing w:before="57" w:after="57" w:line="276" w:lineRule="auto"/>
        <w:jc w:val="both"/>
      </w:pPr>
      <w:r>
        <w:rPr>
          <w:rFonts w:ascii="Century Gothic" w:hAnsi="Century Gothic"/>
        </w:rPr>
        <w:t>Supervisores operacionais e de logística.</w:t>
      </w:r>
    </w:p>
    <w:p w14:paraId="6E43D1AF">
      <w:pPr>
        <w:spacing w:before="114" w:after="114" w:line="276" w:lineRule="auto"/>
        <w:ind w:right="227"/>
        <w:jc w:val="both"/>
      </w:pPr>
      <w:r>
        <w:rPr>
          <w:rFonts w:ascii="Century Gothic" w:hAnsi="Century Gothic"/>
        </w:rPr>
        <w:t>A logística de fornecimento dos insumos será organizada para atender à demanda das unidades escolares de forma contínua, periódica e proporcional ao número de alunos e turnos. Os alimentos deverão ser entregues em perfeitas condições de transporte, integridade e conservação, respeitando os prazos de validade, as temperaturas ideais e as normas de acondicionamento adequadas para consumo escolar.</w:t>
      </w:r>
    </w:p>
    <w:p w14:paraId="3AD0195D">
      <w:pPr>
        <w:spacing w:before="114" w:after="114" w:line="276" w:lineRule="auto"/>
        <w:ind w:right="227"/>
        <w:jc w:val="both"/>
      </w:pPr>
      <w:r>
        <w:rPr>
          <w:rFonts w:ascii="Century Gothic" w:hAnsi="Century Gothic"/>
        </w:rPr>
        <w:t>O preparo das refeições deverá ocorrer nas cozinhas das próprias unidades escolares, quando dotadas de estrutura adequada, ou em unidades externas autorizadas e certificadas, conforme análise prévia da infraestrutura existente. Caberá à contratada o fornecimento do gás de cozinha (GLP) e a manutenção preventiva e corretiva dos equipamentos utilizados, tais como fogões industriais, fornos, freezers, geladeiras, bancadas térmicas, entre outros.</w:t>
      </w:r>
    </w:p>
    <w:p w14:paraId="5C69E91D">
      <w:pPr>
        <w:spacing w:before="114" w:after="114" w:line="276" w:lineRule="auto"/>
        <w:ind w:right="227"/>
        <w:jc w:val="both"/>
      </w:pPr>
      <w:r>
        <w:rPr>
          <w:rFonts w:ascii="Century Gothic" w:hAnsi="Century Gothic"/>
        </w:rPr>
        <w:t>A solução contempla ainda a implantação de mecanismos de controle e fiscalização contratual, incluindo:</w:t>
      </w:r>
    </w:p>
    <w:p w14:paraId="6620DFB0">
      <w:pPr>
        <w:numPr>
          <w:ilvl w:val="0"/>
          <w:numId w:val="6"/>
        </w:numPr>
        <w:spacing w:before="57" w:after="57" w:line="276" w:lineRule="auto"/>
        <w:ind w:left="850" w:right="227" w:hanging="340"/>
        <w:jc w:val="both"/>
      </w:pPr>
      <w:r>
        <w:rPr>
          <w:rFonts w:ascii="Century Gothic" w:hAnsi="Century Gothic"/>
        </w:rPr>
        <w:t>Relatórios mensais contendo a quantidade de refeições produzidas, lista de insumos utilizados, registros sanitários e avaliações técnicas;</w:t>
      </w:r>
    </w:p>
    <w:p w14:paraId="16326132">
      <w:pPr>
        <w:numPr>
          <w:ilvl w:val="0"/>
          <w:numId w:val="6"/>
        </w:numPr>
        <w:spacing w:before="57" w:after="57" w:line="276" w:lineRule="auto"/>
        <w:jc w:val="both"/>
      </w:pPr>
      <w:r>
        <w:rPr>
          <w:rFonts w:ascii="Century Gothic" w:hAnsi="Century Gothic"/>
        </w:rPr>
        <w:t>Sistema de acompanhamento da qualidade e da conformidade do serviço prestado;</w:t>
      </w:r>
    </w:p>
    <w:p w14:paraId="25C7711D">
      <w:pPr>
        <w:numPr>
          <w:ilvl w:val="0"/>
          <w:numId w:val="6"/>
        </w:numPr>
        <w:spacing w:before="57" w:after="57" w:line="276" w:lineRule="auto"/>
        <w:ind w:left="850" w:right="227" w:hanging="340"/>
        <w:jc w:val="both"/>
      </w:pPr>
      <w:r>
        <w:rPr>
          <w:rFonts w:ascii="Century Gothic" w:hAnsi="Century Gothic"/>
        </w:rPr>
        <w:t>Inspeções regulares realizadas por equipe da Administração Municipal, com o apoio de nutricionistas e fiscais designados.</w:t>
      </w:r>
    </w:p>
    <w:p w14:paraId="6F4B36FB">
      <w:pPr>
        <w:spacing w:line="276" w:lineRule="auto"/>
        <w:ind w:right="227"/>
        <w:jc w:val="both"/>
      </w:pPr>
      <w:bookmarkStart w:id="52" w:name="_heading=h.ynhoy55v6ddw_Copia_4"/>
      <w:bookmarkEnd w:id="52"/>
      <w:r>
        <w:rPr>
          <w:rFonts w:ascii="Century Gothic" w:hAnsi="Century Gothic"/>
        </w:rPr>
        <w:t>Dessa forma, a solução proposta garante que a alimentação escolar oferecida aos alunos da rede municipal seja nutricionalmente adequada, segura, contínua e executada com excelência, promovendo a saúde, o bem-estar e o desenvolvimento educacional dos estudantes de Rondonópolis/MT.</w:t>
      </w:r>
    </w:p>
    <w:p w14:paraId="33892608">
      <w:pPr>
        <w:spacing w:line="276" w:lineRule="auto"/>
        <w:jc w:val="both"/>
      </w:pPr>
      <w:r>
        <w:rPr>
          <w:rFonts w:ascii="Century Gothic" w:hAnsi="Century Gothic"/>
          <w:b/>
          <w:bCs/>
        </w:rPr>
        <w:t>5.1. Operacionalização das atividades</w:t>
      </w:r>
    </w:p>
    <w:p w14:paraId="2F84DBA5">
      <w:pPr>
        <w:spacing w:before="57" w:after="57" w:line="276" w:lineRule="auto"/>
        <w:ind w:left="397" w:right="170"/>
        <w:jc w:val="both"/>
      </w:pPr>
      <w:r>
        <w:rPr>
          <w:rFonts w:ascii="Century Gothic" w:hAnsi="Century Gothic"/>
          <w:b/>
          <w:bCs/>
        </w:rPr>
        <w:t xml:space="preserve">5.1.1. </w:t>
      </w:r>
      <w:r>
        <w:rPr>
          <w:rFonts w:ascii="Century Gothic" w:hAnsi="Century Gothic"/>
        </w:rPr>
        <w:t>Fornecimentos de mão de obra capacitada para a execução de todas as atividades de acompanhamento do recebimento de gêneros alimentícios, armazenamento e higienização dos mesmos, pré-preparo, preparo e servimento aos alunos, higienização de utensílios, equipamentos e instalações das cozinhas e depósito de alimentos das Unidades Escolares (UEs) e supervisão das atividades relacionadas;</w:t>
      </w:r>
    </w:p>
    <w:p w14:paraId="16EB2182">
      <w:pPr>
        <w:spacing w:before="57" w:after="57" w:line="276" w:lineRule="auto"/>
        <w:ind w:left="397" w:right="170"/>
        <w:jc w:val="both"/>
      </w:pPr>
      <w:r>
        <w:rPr>
          <w:rFonts w:ascii="Century Gothic" w:hAnsi="Century Gothic"/>
          <w:b/>
          <w:bCs/>
        </w:rPr>
        <w:t xml:space="preserve">5.1.2. </w:t>
      </w:r>
      <w:r>
        <w:rPr>
          <w:rFonts w:ascii="Century Gothic" w:hAnsi="Century Gothic"/>
        </w:rPr>
        <w:t>Fornecimentos de insumos – gêneros alimentícios, materiais e equipamentos de limpeza, higienização, descartáveis necessários para o pleno funcionamento das áreas de preparo da alimentação escolar (cozinha e depósito de alimentos);</w:t>
      </w:r>
    </w:p>
    <w:p w14:paraId="55714687">
      <w:pPr>
        <w:spacing w:before="57" w:after="57" w:line="276" w:lineRule="auto"/>
        <w:ind w:left="397" w:right="170"/>
        <w:jc w:val="both"/>
      </w:pPr>
      <w:r>
        <w:rPr>
          <w:rFonts w:ascii="Century Gothic" w:hAnsi="Century Gothic"/>
          <w:b/>
          <w:bCs/>
        </w:rPr>
        <w:t xml:space="preserve">5.1.3. </w:t>
      </w:r>
      <w:r>
        <w:rPr>
          <w:rFonts w:ascii="Century Gothic" w:hAnsi="Century Gothic"/>
        </w:rPr>
        <w:t>Registros e controles, pela contratada referente ao estoque de alimentos, quantidade de alimentações solicitadas, solicitações/remanejamentos/cancelamentos de gêneros, respeitando os procedimentos operacionais padronizados - POPs e outros necessários para a execução das atividades</w:t>
      </w:r>
    </w:p>
    <w:p w14:paraId="75AB7BC3">
      <w:pPr>
        <w:spacing w:before="57" w:after="57" w:line="276" w:lineRule="auto"/>
        <w:ind w:left="397" w:right="170"/>
        <w:jc w:val="both"/>
      </w:pPr>
      <w:r>
        <w:rPr>
          <w:rFonts w:ascii="Century Gothic" w:hAnsi="Century Gothic"/>
          <w:b/>
          <w:bCs/>
        </w:rPr>
        <w:t xml:space="preserve">5.1.4. </w:t>
      </w:r>
      <w:r>
        <w:rPr>
          <w:rFonts w:ascii="Century Gothic" w:hAnsi="Century Gothic"/>
        </w:rPr>
        <w:t>A CONTRATADA deverá realizar semestralmente, ou antes, desse período se houver necessidade, o controle de vetores e pragas urbanas, nas cozinhas, despensa de alimentos e refeitório podendo terceirizar o serviço através de empresa especializada; sendo que o comprovante deverá ficar em lugar visível na unidade escolar.</w:t>
      </w:r>
    </w:p>
    <w:p w14:paraId="4EB7D60F">
      <w:pPr>
        <w:spacing w:before="57" w:after="57" w:line="276" w:lineRule="auto"/>
        <w:ind w:left="397" w:right="170"/>
        <w:jc w:val="both"/>
      </w:pPr>
      <w:r>
        <w:rPr>
          <w:rFonts w:ascii="Century Gothic" w:hAnsi="Century Gothic"/>
          <w:b/>
          <w:bCs/>
        </w:rPr>
        <w:t xml:space="preserve">5.1.5. </w:t>
      </w:r>
      <w:r>
        <w:rPr>
          <w:rFonts w:ascii="Century Gothic" w:hAnsi="Century Gothic"/>
        </w:rPr>
        <w:t>A contratada deverá equipar todas as cozinhas das unidades escolares com balança eletrônica conforme especificação do TR, deve apresentar selo de aferição que comprove que sua fabricação e funcionamento estejam em conformidade ao Regulamento Técnico Metrológico para Instrumentos de Pesagem Não Automáticos do INMETRO.</w:t>
      </w:r>
    </w:p>
    <w:p w14:paraId="7D9BDEC7">
      <w:pPr>
        <w:spacing w:line="276" w:lineRule="auto"/>
        <w:jc w:val="both"/>
      </w:pPr>
      <w:r>
        <w:rPr>
          <w:rFonts w:ascii="Century Gothic" w:hAnsi="Century Gothic"/>
          <w:b/>
          <w:bCs/>
        </w:rPr>
        <w:t>5.2. Formas de Execução</w:t>
      </w:r>
    </w:p>
    <w:p w14:paraId="5FBE769F">
      <w:pPr>
        <w:spacing w:before="57" w:after="57" w:line="276" w:lineRule="auto"/>
        <w:ind w:left="397" w:right="113"/>
        <w:jc w:val="both"/>
      </w:pPr>
      <w:r>
        <w:rPr>
          <w:rFonts w:ascii="Century Gothic" w:hAnsi="Century Gothic"/>
          <w:b/>
          <w:bCs/>
        </w:rPr>
        <w:t>6.2.1.</w:t>
      </w:r>
      <w:r>
        <w:rPr>
          <w:rFonts w:ascii="Century Gothic" w:hAnsi="Century Gothic"/>
        </w:rPr>
        <w:t xml:space="preserve"> A execução ocorrerá, impreterivelmente, nas unidades escolares, conforme determina a Resolução do Fundo Nacional de Desenvolvimento da Educação, Conselho Deliberativo, FNDE/CD/nº 06 08/05/2020, por mão de obra qualificada responsável por todas as etapas do processo de operacionalização e da alimentação, conforme o padrão estabelecido pelas normas legais vigentes, número de refeições solicitadas , bem como os respectivos horários de funcionamento, observando-se ainda, as ações de planejamento, organização, coordenação, orientação, acompanhamento e avaliação dos serviços de alimentação escolar executados no âmbito do PNAE;</w:t>
      </w:r>
    </w:p>
    <w:p w14:paraId="28D99531">
      <w:pPr>
        <w:spacing w:before="57" w:after="57" w:line="276" w:lineRule="auto"/>
        <w:ind w:left="397" w:right="113"/>
        <w:jc w:val="both"/>
      </w:pPr>
      <w:r>
        <w:rPr>
          <w:rFonts w:ascii="Century Gothic" w:hAnsi="Century Gothic"/>
          <w:b/>
          <w:bCs/>
        </w:rPr>
        <w:t xml:space="preserve">5.2.2. </w:t>
      </w:r>
      <w:r>
        <w:rPr>
          <w:rFonts w:ascii="Century Gothic" w:hAnsi="Century Gothic"/>
        </w:rPr>
        <w:t>Os serviços serão prestados conforme padrões técnicos recomendados pela legislação vigente, contando com quadro de pessoal técnico e operacional capacitado e em número suficiente e adequado ao exato cumprimento das obrigações assumidas no Termo de Referência;</w:t>
      </w:r>
    </w:p>
    <w:p w14:paraId="3E3D5410">
      <w:pPr>
        <w:spacing w:before="57" w:after="57" w:line="276" w:lineRule="auto"/>
        <w:ind w:left="397" w:right="113"/>
        <w:jc w:val="both"/>
      </w:pPr>
      <w:r>
        <w:rPr>
          <w:rFonts w:ascii="Century Gothic" w:hAnsi="Century Gothic"/>
          <w:b/>
          <w:bCs/>
        </w:rPr>
        <w:t>5.2.3.</w:t>
      </w:r>
      <w:r>
        <w:rPr>
          <w:rFonts w:ascii="Century Gothic" w:hAnsi="Century Gothic"/>
        </w:rPr>
        <w:t xml:space="preserve"> Considerando o Calendário Escolar, os serviços ocorrerão nos dias letivos de segunda à sexta-feira e, excepcionalmente aos sábados motivados por atividades pedagógicas extracurriculares que necessitem a oferta de qualquer tipo de alimentação;</w:t>
      </w:r>
    </w:p>
    <w:p w14:paraId="51CECCCB">
      <w:pPr>
        <w:spacing w:before="57" w:after="57" w:line="276" w:lineRule="auto"/>
        <w:ind w:left="397" w:right="113"/>
        <w:jc w:val="both"/>
      </w:pPr>
      <w:r>
        <w:rPr>
          <w:rFonts w:ascii="Century Gothic" w:hAnsi="Century Gothic"/>
          <w:b/>
          <w:bCs/>
        </w:rPr>
        <w:t>5.2.4.</w:t>
      </w:r>
      <w:r>
        <w:rPr>
          <w:rFonts w:ascii="Century Gothic" w:hAnsi="Century Gothic"/>
        </w:rPr>
        <w:t xml:space="preserve"> Excepcionalmente devido à demanda poderão ser incluídas, durante a execução da prestação de serviços, novas UEs, ampliação/supressão de atendimento de períodos nas UEs ou alterações na modalidade de cardápio seguido, nesses casos, a CONTRATADA deverá ser comunicada com antecedência mínima de 20 (vinte) dias úteis para que possa organizar-se para atendimento da solicitação.</w:t>
      </w:r>
    </w:p>
    <w:p w14:paraId="05935F91">
      <w:pPr>
        <w:spacing w:line="276" w:lineRule="auto"/>
        <w:ind w:right="113"/>
        <w:jc w:val="both"/>
      </w:pPr>
      <w:r>
        <w:rPr>
          <w:rFonts w:ascii="Century Gothic" w:hAnsi="Century Gothic"/>
          <w:b/>
          <w:bCs/>
        </w:rPr>
        <w:t>5.3. Rotina de Execução</w:t>
      </w:r>
    </w:p>
    <w:p w14:paraId="01C5ECA9">
      <w:pPr>
        <w:spacing w:before="57" w:after="57" w:line="276" w:lineRule="auto"/>
        <w:ind w:left="397" w:right="113"/>
        <w:jc w:val="both"/>
      </w:pPr>
      <w:r>
        <w:rPr>
          <w:rFonts w:ascii="Century Gothic" w:hAnsi="Century Gothic"/>
        </w:rPr>
        <w:t>O Pré-preparo, preparo e cocção dos alimentos nas instalações das UEs, observando:</w:t>
      </w:r>
    </w:p>
    <w:p w14:paraId="2114BE9A">
      <w:pPr>
        <w:spacing w:before="57" w:after="57" w:line="276" w:lineRule="auto"/>
        <w:ind w:left="397" w:right="113"/>
        <w:jc w:val="both"/>
      </w:pPr>
      <w:r>
        <w:rPr>
          <w:rFonts w:ascii="Century Gothic" w:hAnsi="Century Gothic"/>
          <w:b/>
          <w:bCs/>
        </w:rPr>
        <w:t xml:space="preserve">5.3.1. </w:t>
      </w:r>
      <w:r>
        <w:rPr>
          <w:rFonts w:ascii="Century Gothic" w:hAnsi="Century Gothic"/>
        </w:rPr>
        <w:t>O planejamento para o pré-preparo, preparo e cocção das refeições, e na quantidade necessária ao número de refeições solicitadas, conforme as quantidades de alimentos retiradas de estoque diariamente, sempre respeitando a quantidade per capita por aluno, estabelecida neste termo como referência.</w:t>
      </w:r>
    </w:p>
    <w:p w14:paraId="33E0DE0F">
      <w:pPr>
        <w:spacing w:before="57" w:after="57" w:line="276" w:lineRule="auto"/>
        <w:ind w:left="397" w:right="113"/>
        <w:jc w:val="both"/>
      </w:pPr>
      <w:r>
        <w:rPr>
          <w:rFonts w:ascii="Century Gothic" w:hAnsi="Century Gothic"/>
          <w:b/>
          <w:bCs/>
        </w:rPr>
        <w:t xml:space="preserve">5.3.2. </w:t>
      </w:r>
      <w:r>
        <w:rPr>
          <w:rFonts w:ascii="Century Gothic" w:hAnsi="Century Gothic"/>
        </w:rPr>
        <w:t>As refeições serão preparadas e distribuídas diariamente, de segunda à sexta- feira, nos horários pré-determinados pela SECRETARIA MUNICIPAL DE EDUCAÇÃO diretamente nas unidades relacionadas, conforme calendário escolar vigente;</w:t>
      </w:r>
    </w:p>
    <w:p w14:paraId="54B3B433">
      <w:pPr>
        <w:spacing w:before="57" w:after="57" w:line="276" w:lineRule="auto"/>
        <w:ind w:left="397" w:right="113"/>
        <w:jc w:val="both"/>
      </w:pPr>
      <w:r>
        <w:rPr>
          <w:rFonts w:ascii="Century Gothic" w:hAnsi="Century Gothic"/>
          <w:b/>
          <w:bCs/>
        </w:rPr>
        <w:t>5.3.3.</w:t>
      </w:r>
      <w:r>
        <w:rPr>
          <w:rFonts w:ascii="Century Gothic" w:hAnsi="Century Gothic"/>
        </w:rPr>
        <w:t xml:space="preserve"> O preparo da alimentação adequada garantindo a qualidade higiênico sanitária;</w:t>
      </w:r>
    </w:p>
    <w:p w14:paraId="0D14DEB3">
      <w:pPr>
        <w:spacing w:before="57" w:after="57" w:line="276" w:lineRule="auto"/>
        <w:ind w:left="397" w:right="113"/>
        <w:jc w:val="both"/>
      </w:pPr>
      <w:r>
        <w:rPr>
          <w:rFonts w:ascii="Century Gothic" w:hAnsi="Century Gothic"/>
          <w:b/>
          <w:bCs/>
        </w:rPr>
        <w:t>5.3.4.</w:t>
      </w:r>
      <w:r>
        <w:rPr>
          <w:rFonts w:ascii="Century Gothic" w:hAnsi="Century Gothic"/>
        </w:rPr>
        <w:t xml:space="preserve"> A preparação de dietas especiais, mediante solicitação das nutricionistas da SECRETARIA MUNICIPAL DE EDUCAÇÃO, com 48 (quarenta e oito) horas de antecedência;</w:t>
      </w:r>
    </w:p>
    <w:p w14:paraId="74B02828">
      <w:pPr>
        <w:spacing w:before="57" w:after="57" w:line="276" w:lineRule="auto"/>
        <w:ind w:left="397" w:right="113"/>
        <w:jc w:val="both"/>
      </w:pPr>
      <w:r>
        <w:rPr>
          <w:rFonts w:ascii="Century Gothic" w:hAnsi="Century Gothic"/>
          <w:b/>
          <w:bCs/>
        </w:rPr>
        <w:t>5.3.5.</w:t>
      </w:r>
      <w:r>
        <w:rPr>
          <w:rFonts w:ascii="Century Gothic" w:hAnsi="Century Gothic"/>
        </w:rPr>
        <w:t xml:space="preserve"> A área usada para a manipulação dos alimentos deverá ser higienizada constantemente, bem como todos os utensílios que serão utilizados no seu preparo de forma a evitar a contaminação cruzada, conforme POP estabelecido;</w:t>
      </w:r>
    </w:p>
    <w:p w14:paraId="25016A0A">
      <w:pPr>
        <w:spacing w:before="57" w:after="57" w:line="276" w:lineRule="auto"/>
        <w:ind w:left="397" w:right="113"/>
        <w:jc w:val="both"/>
      </w:pPr>
      <w:r>
        <w:rPr>
          <w:rFonts w:ascii="Century Gothic" w:hAnsi="Century Gothic"/>
          <w:b/>
          <w:bCs/>
        </w:rPr>
        <w:t>5.3.6.</w:t>
      </w:r>
      <w:r>
        <w:rPr>
          <w:rFonts w:ascii="Century Gothic" w:hAnsi="Century Gothic"/>
        </w:rPr>
        <w:t xml:space="preserve"> Durante o preparo da alimentação, os profissionais deverão manter as mãos bem higienizadas de acordo com POP específico;</w:t>
      </w:r>
    </w:p>
    <w:p w14:paraId="424DBD80">
      <w:pPr>
        <w:spacing w:before="57" w:after="57" w:line="276" w:lineRule="auto"/>
        <w:ind w:left="397" w:right="113"/>
        <w:jc w:val="both"/>
      </w:pPr>
      <w:r>
        <w:rPr>
          <w:rFonts w:ascii="Century Gothic" w:hAnsi="Century Gothic"/>
          <w:b/>
          <w:bCs/>
        </w:rPr>
        <w:t>5.3.7.</w:t>
      </w:r>
      <w:r>
        <w:rPr>
          <w:rFonts w:ascii="Century Gothic" w:hAnsi="Century Gothic"/>
        </w:rPr>
        <w:t xml:space="preserve"> A mensuração da temperatura das preparações, após o preparo e até o momento final da distribuição, registrando os resultados conforme MBP;</w:t>
      </w:r>
    </w:p>
    <w:p w14:paraId="3B6BB65C">
      <w:pPr>
        <w:spacing w:before="57" w:after="57" w:line="276" w:lineRule="auto"/>
        <w:ind w:left="397" w:right="113"/>
        <w:jc w:val="both"/>
      </w:pPr>
      <w:r>
        <w:rPr>
          <w:rFonts w:ascii="Century Gothic" w:hAnsi="Century Gothic"/>
          <w:b/>
          <w:bCs/>
        </w:rPr>
        <w:t>5.3.8.</w:t>
      </w:r>
      <w:r>
        <w:rPr>
          <w:rFonts w:ascii="Century Gothic" w:hAnsi="Century Gothic"/>
        </w:rPr>
        <w:t xml:space="preserve"> O adequado manuseio e higienização dos alimentos, de modo a garantir os padrões de qualidade e atender às normas técnicas e sanitárias vigentes e MBP;</w:t>
      </w:r>
    </w:p>
    <w:p w14:paraId="2E3FBF9D">
      <w:pPr>
        <w:spacing w:before="57" w:after="57" w:line="276" w:lineRule="auto"/>
        <w:ind w:left="397" w:right="113"/>
        <w:jc w:val="both"/>
      </w:pPr>
      <w:r>
        <w:rPr>
          <w:rFonts w:ascii="Century Gothic" w:hAnsi="Century Gothic"/>
          <w:b/>
          <w:bCs/>
        </w:rPr>
        <w:t>5.3.9.</w:t>
      </w:r>
      <w:r>
        <w:rPr>
          <w:rFonts w:ascii="Century Gothic" w:hAnsi="Century Gothic"/>
        </w:rPr>
        <w:t xml:space="preserve"> É vedado o emprego de qualquer aditivo para facilitar a cocção, textura ou realçar o sabor dos alimentos;</w:t>
      </w:r>
    </w:p>
    <w:p w14:paraId="5EA6BBDB">
      <w:pPr>
        <w:spacing w:before="57" w:after="57" w:line="276" w:lineRule="auto"/>
        <w:ind w:left="397" w:right="113"/>
        <w:jc w:val="both"/>
      </w:pPr>
      <w:r>
        <w:rPr>
          <w:rFonts w:ascii="Century Gothic" w:hAnsi="Century Gothic"/>
          <w:b/>
          <w:bCs/>
        </w:rPr>
        <w:t>5.3.10.</w:t>
      </w:r>
      <w:r>
        <w:rPr>
          <w:rFonts w:ascii="Century Gothic" w:hAnsi="Century Gothic"/>
        </w:rPr>
        <w:t xml:space="preserve"> Os critérios de higienização durante o pré-preparo dos alimentos constante no MBP/POP, ressaltando que vegetais crus e frutas deverão ser submetidos ao processo de desinfecção com solução clorada (hipoclorito de sódio), com registro na ANVISA, obedecendo a correta diluição, de acordo com as normas vigentes;</w:t>
      </w:r>
    </w:p>
    <w:p w14:paraId="3D81A7E3">
      <w:pPr>
        <w:spacing w:before="57" w:after="57" w:line="276" w:lineRule="auto"/>
        <w:ind w:left="397" w:right="113"/>
        <w:jc w:val="both"/>
      </w:pPr>
      <w:r>
        <w:rPr>
          <w:rFonts w:ascii="Century Gothic" w:hAnsi="Century Gothic"/>
          <w:b/>
          <w:bCs/>
        </w:rPr>
        <w:t>5.3.11.</w:t>
      </w:r>
      <w:r>
        <w:rPr>
          <w:rFonts w:ascii="Century Gothic" w:hAnsi="Century Gothic"/>
        </w:rPr>
        <w:t xml:space="preserve"> O descongelamento de alimentos deve ser efetuado de acordo com as normas estabelecidas em legislação vigente e MBP; é proibido recongelar os alimentos que tenham sido descongelados anteriormente para serem manipulados;</w:t>
      </w:r>
    </w:p>
    <w:p w14:paraId="32127573">
      <w:pPr>
        <w:spacing w:before="57" w:after="57" w:line="276" w:lineRule="auto"/>
        <w:ind w:left="397" w:right="113"/>
        <w:jc w:val="both"/>
      </w:pPr>
      <w:r>
        <w:rPr>
          <w:rFonts w:ascii="Century Gothic" w:hAnsi="Century Gothic"/>
          <w:b/>
          <w:bCs/>
        </w:rPr>
        <w:t>5.3.12.</w:t>
      </w:r>
      <w:r>
        <w:rPr>
          <w:rFonts w:ascii="Century Gothic" w:hAnsi="Century Gothic"/>
        </w:rPr>
        <w:t xml:space="preserve"> Os alimentos em descongelamento, para posterior preparo, devem ser protegidos e identificados com o nome do produto, data do início do processo e data de uso, em conformidade com o estabelecido em legislação vigente e MBP;</w:t>
      </w:r>
    </w:p>
    <w:p w14:paraId="09308948">
      <w:pPr>
        <w:spacing w:before="57" w:after="57" w:line="276" w:lineRule="auto"/>
        <w:ind w:left="397" w:right="113"/>
        <w:jc w:val="both"/>
      </w:pPr>
      <w:r>
        <w:rPr>
          <w:rFonts w:ascii="Century Gothic" w:hAnsi="Century Gothic"/>
          <w:b/>
          <w:bCs/>
        </w:rPr>
        <w:t xml:space="preserve">5.3.13. </w:t>
      </w:r>
      <w:r>
        <w:rPr>
          <w:rFonts w:ascii="Century Gothic" w:hAnsi="Century Gothic"/>
        </w:rPr>
        <w:t>Manter os alimentos, após o preparo e até o momento final da distribuição acondicionado em recipientes apropriados e em temperatura adequada à preservação de sua qualidade sanitária.</w:t>
      </w:r>
    </w:p>
    <w:p w14:paraId="260F5418">
      <w:pPr>
        <w:spacing w:before="57" w:after="57" w:line="276" w:lineRule="auto"/>
        <w:ind w:left="397" w:right="113"/>
        <w:jc w:val="both"/>
      </w:pPr>
      <w:r>
        <w:rPr>
          <w:rFonts w:ascii="Century Gothic" w:hAnsi="Century Gothic"/>
          <w:b/>
          <w:bCs/>
        </w:rPr>
        <w:t xml:space="preserve">5.3.14. </w:t>
      </w:r>
      <w:r>
        <w:rPr>
          <w:rFonts w:ascii="Century Gothic" w:hAnsi="Century Gothic"/>
        </w:rPr>
        <w:t>Fica proibida a preparação das refeições escolares no período, do dia (manhã, tarde, noite) anterior ao seu servimento;</w:t>
      </w:r>
    </w:p>
    <w:p w14:paraId="3519D464">
      <w:pPr>
        <w:spacing w:before="57" w:after="57" w:line="276" w:lineRule="auto"/>
        <w:ind w:left="397" w:right="113"/>
        <w:jc w:val="both"/>
      </w:pPr>
      <w:r>
        <w:rPr>
          <w:rFonts w:ascii="Century Gothic" w:hAnsi="Century Gothic"/>
          <w:b/>
          <w:bCs/>
        </w:rPr>
        <w:t>5.3.15.</w:t>
      </w:r>
      <w:r>
        <w:rPr>
          <w:rFonts w:ascii="Century Gothic" w:hAnsi="Century Gothic"/>
        </w:rPr>
        <w:t xml:space="preserve"> Desprezar, ao final de cada período, as sobras de alimentos não distribuídos, devidamente pesadas e registradas em planilha de controle diário, sendo proibido o reaproveitamento de sobra limpa de uma preparação para outra, de uma refeição para outra ou de um período para o outro;</w:t>
      </w:r>
    </w:p>
    <w:p w14:paraId="3AF5D898">
      <w:pPr>
        <w:spacing w:before="57" w:after="57" w:line="276" w:lineRule="auto"/>
        <w:ind w:right="113"/>
        <w:jc w:val="both"/>
      </w:pPr>
      <w:r>
        <w:rPr>
          <w:rFonts w:ascii="Century Gothic" w:hAnsi="Century Gothic"/>
          <w:b/>
          <w:bCs/>
        </w:rPr>
        <w:t>5.4. Distribuições das refeições aos alunos nos horários estabelecidos, observando:</w:t>
      </w:r>
    </w:p>
    <w:p w14:paraId="04831803">
      <w:pPr>
        <w:spacing w:before="57" w:after="57" w:line="276" w:lineRule="auto"/>
        <w:ind w:left="397" w:right="113"/>
        <w:jc w:val="both"/>
      </w:pPr>
      <w:r>
        <w:rPr>
          <w:rFonts w:ascii="Century Gothic" w:hAnsi="Century Gothic"/>
          <w:b/>
          <w:bCs/>
        </w:rPr>
        <w:t>5.4.1.</w:t>
      </w:r>
      <w:r>
        <w:rPr>
          <w:rFonts w:ascii="Century Gothic" w:hAnsi="Century Gothic"/>
        </w:rPr>
        <w:t xml:space="preserve"> A adequada limpeza e higienização das áreas de distribuição e dos utensílios utilizados no acondicionamento dos alimentos e na distribuição das alimentações, incluindo pratos, talheres e canecas/copos;</w:t>
      </w:r>
    </w:p>
    <w:p w14:paraId="343CE7EF">
      <w:pPr>
        <w:spacing w:before="57" w:after="57" w:line="276" w:lineRule="auto"/>
        <w:ind w:left="397" w:right="113"/>
        <w:jc w:val="both"/>
      </w:pPr>
      <w:r>
        <w:rPr>
          <w:rFonts w:ascii="Century Gothic" w:hAnsi="Century Gothic"/>
          <w:b/>
          <w:bCs/>
        </w:rPr>
        <w:t xml:space="preserve">5.4.2. </w:t>
      </w:r>
      <w:r>
        <w:rPr>
          <w:rFonts w:ascii="Century Gothic" w:hAnsi="Century Gothic"/>
        </w:rPr>
        <w:t>Que os alimentos estejam devidamente acondicionados, com temperatura e qualidade mantidas em condições adequadas, registrando a temperatura de acordo com MBP/POP;</w:t>
      </w:r>
    </w:p>
    <w:p w14:paraId="1F9A822F">
      <w:pPr>
        <w:spacing w:before="57" w:after="57" w:line="276" w:lineRule="auto"/>
        <w:ind w:left="397" w:right="113"/>
        <w:jc w:val="both"/>
      </w:pPr>
      <w:r>
        <w:rPr>
          <w:rFonts w:ascii="Century Gothic" w:hAnsi="Century Gothic"/>
          <w:b/>
          <w:bCs/>
        </w:rPr>
        <w:t>5.4.3.</w:t>
      </w:r>
      <w:r>
        <w:rPr>
          <w:rFonts w:ascii="Century Gothic" w:hAnsi="Century Gothic"/>
        </w:rPr>
        <w:t xml:space="preserve"> O correto porcionamento das preparações solicitadas (alimentações) aos alunos, de acordo com as quantidades per capita aluno estabelecidas referenciados neste termo. Poderá sofrer adequações, de acordo com as características das unidades escolares, desde que sejam discutidas e aprovadas pelas partes.</w:t>
      </w:r>
    </w:p>
    <w:p w14:paraId="05810E0F">
      <w:pPr>
        <w:spacing w:before="57" w:after="57" w:line="276" w:lineRule="auto"/>
        <w:ind w:left="397" w:right="113"/>
        <w:jc w:val="both"/>
      </w:pPr>
      <w:r>
        <w:rPr>
          <w:rFonts w:ascii="Century Gothic" w:hAnsi="Century Gothic"/>
          <w:b/>
          <w:bCs/>
        </w:rPr>
        <w:t xml:space="preserve">5.4.4. </w:t>
      </w:r>
      <w:r>
        <w:rPr>
          <w:rFonts w:ascii="Century Gothic" w:hAnsi="Century Gothic"/>
        </w:rPr>
        <w:t>O registro de informações diárias de quantidade de alimentações solicitadas/preparadas em planilha específica;</w:t>
      </w:r>
    </w:p>
    <w:p w14:paraId="430505C7">
      <w:pPr>
        <w:spacing w:before="57" w:after="57" w:line="276" w:lineRule="auto"/>
        <w:ind w:left="397" w:right="113"/>
        <w:jc w:val="both"/>
      </w:pPr>
      <w:r>
        <w:rPr>
          <w:rFonts w:ascii="Century Gothic" w:hAnsi="Century Gothic"/>
          <w:b/>
          <w:bCs/>
        </w:rPr>
        <w:t xml:space="preserve">5.4.5. </w:t>
      </w:r>
      <w:r>
        <w:rPr>
          <w:rFonts w:ascii="Century Gothic" w:hAnsi="Century Gothic"/>
        </w:rPr>
        <w:t>A distribuição da alimentação ocorrerá nas UEs, em quantidade e qualidade definidas neste instrumento, com apresentação e temperatura adequadas, cumprindo os horários estabelecidos e em conformidade com o cardápio previamente aprovado, não podendo ocorrer adiantamentos ou atrasos na preparação ou servimento das refeições e/ou a falta parcial ou total de alimentos ou refeições (desjejum, colação, almoço, lanche, jantar)</w:t>
      </w:r>
    </w:p>
    <w:p w14:paraId="32BB8334">
      <w:pPr>
        <w:spacing w:before="57" w:after="57" w:line="276" w:lineRule="auto"/>
        <w:ind w:left="397" w:right="113"/>
        <w:jc w:val="both"/>
      </w:pPr>
      <w:r>
        <w:rPr>
          <w:rFonts w:ascii="Century Gothic" w:hAnsi="Century Gothic"/>
          <w:b/>
          <w:bCs/>
        </w:rPr>
        <w:t xml:space="preserve">5.4.6. </w:t>
      </w:r>
      <w:r>
        <w:rPr>
          <w:rFonts w:ascii="Century Gothic" w:hAnsi="Century Gothic"/>
        </w:rPr>
        <w:t>Excepcionalmente, e com autorização do setor responsável, admitir-se-á o transporte interno (dentro da UE) da alimentação a ser distribuída, que deverá ser devidamente acondicionada em caixas tipo “hot box” e carrinho específico para transporte das mesmas (material de obrigação da contratante), em boas condições de higiene, conservação e temperatura, do local de preparo até o de distribuição.</w:t>
      </w:r>
    </w:p>
    <w:p w14:paraId="5EA5288C">
      <w:pPr>
        <w:spacing w:before="57" w:after="57" w:line="276" w:lineRule="auto"/>
        <w:ind w:left="397" w:right="113"/>
        <w:jc w:val="both"/>
      </w:pPr>
      <w:r>
        <w:rPr>
          <w:rFonts w:ascii="Century Gothic" w:hAnsi="Century Gothic"/>
          <w:b/>
          <w:bCs/>
        </w:rPr>
        <w:t xml:space="preserve">5.4.7. </w:t>
      </w:r>
      <w:r>
        <w:rPr>
          <w:rFonts w:ascii="Century Gothic" w:hAnsi="Century Gothic"/>
        </w:rPr>
        <w:t>A CONTRATADA deverá, obrigatoriamente, coletar amostra de cada alimento pronto e servido ao aluno, devidamente identificada com data e horário em que foi servido, em cada período de atendimento, na forma estabelecida pelo MBP/POP, para eventuais análises laboratoriais, observando os seguintes procedimentos:</w:t>
      </w:r>
    </w:p>
    <w:p w14:paraId="011167B8">
      <w:pPr>
        <w:numPr>
          <w:ilvl w:val="0"/>
          <w:numId w:val="6"/>
        </w:numPr>
        <w:spacing w:before="57" w:after="57" w:line="276" w:lineRule="auto"/>
        <w:jc w:val="both"/>
      </w:pPr>
      <w:r>
        <w:rPr>
          <w:rFonts w:ascii="Century Gothic" w:hAnsi="Century Gothic"/>
        </w:rPr>
        <w:t>Amostra de alimentos sólidos: mínimo de 2 amostras de 100g, sob congelamento a – 18ºC;</w:t>
      </w:r>
    </w:p>
    <w:p w14:paraId="13C49DB1">
      <w:pPr>
        <w:numPr>
          <w:ilvl w:val="1"/>
          <w:numId w:val="6"/>
        </w:numPr>
        <w:spacing w:before="57" w:after="57" w:line="276" w:lineRule="auto"/>
        <w:ind w:right="113"/>
        <w:jc w:val="both"/>
      </w:pPr>
      <w:r>
        <w:rPr>
          <w:rFonts w:ascii="Century Gothic" w:hAnsi="Century Gothic"/>
        </w:rPr>
        <w:t>Esta amostra deverá ser conservada por, no mínimo, 72 horas, sendo descartada após este período.</w:t>
      </w:r>
    </w:p>
    <w:p w14:paraId="78E24A58">
      <w:pPr>
        <w:numPr>
          <w:ilvl w:val="0"/>
          <w:numId w:val="6"/>
        </w:numPr>
        <w:spacing w:before="57" w:after="57" w:line="276" w:lineRule="auto"/>
        <w:jc w:val="both"/>
      </w:pPr>
      <w:r>
        <w:rPr>
          <w:rFonts w:ascii="Century Gothic" w:hAnsi="Century Gothic"/>
        </w:rPr>
        <w:t>Amostra de alimentos líquidos: mínimo de 2 amostras de 100ml, sob refrigeração até 4ºC.</w:t>
      </w:r>
    </w:p>
    <w:p w14:paraId="1C4AFC68">
      <w:pPr>
        <w:numPr>
          <w:ilvl w:val="1"/>
          <w:numId w:val="6"/>
        </w:numPr>
        <w:spacing w:before="57" w:after="57" w:line="276" w:lineRule="auto"/>
        <w:ind w:right="113"/>
        <w:jc w:val="both"/>
      </w:pPr>
      <w:r>
        <w:rPr>
          <w:rFonts w:ascii="Century Gothic" w:hAnsi="Century Gothic"/>
        </w:rPr>
        <w:t>Esta amostra deverá ser conservada por, no mínimo, 72 horas, sendo descartada após este período.</w:t>
      </w:r>
    </w:p>
    <w:p w14:paraId="03C1E957">
      <w:pPr>
        <w:spacing w:before="57" w:after="57" w:line="276" w:lineRule="auto"/>
        <w:ind w:left="397" w:right="113"/>
        <w:jc w:val="both"/>
      </w:pPr>
      <w:r>
        <w:rPr>
          <w:rFonts w:ascii="Century Gothic" w:hAnsi="Century Gothic"/>
          <w:b/>
          <w:bCs/>
        </w:rPr>
        <w:t xml:space="preserve">5.4.8. </w:t>
      </w:r>
      <w:r>
        <w:rPr>
          <w:rFonts w:ascii="Century Gothic" w:hAnsi="Century Gothic"/>
        </w:rPr>
        <w:t>A coleta de alimentos do cardápio da dieta especial deve seguir as orientações específicas contidas no MBP;</w:t>
      </w:r>
    </w:p>
    <w:p w14:paraId="412173FD">
      <w:pPr>
        <w:spacing w:before="57" w:after="57" w:line="276" w:lineRule="auto"/>
        <w:ind w:left="397" w:right="113"/>
        <w:jc w:val="both"/>
      </w:pPr>
      <w:r>
        <w:rPr>
          <w:rFonts w:ascii="Century Gothic" w:hAnsi="Century Gothic"/>
          <w:b/>
          <w:bCs/>
        </w:rPr>
        <w:t>5.4.9.</w:t>
      </w:r>
      <w:r>
        <w:rPr>
          <w:rFonts w:ascii="Century Gothic" w:hAnsi="Century Gothic"/>
        </w:rPr>
        <w:t xml:space="preserve"> No caso de alteração no horário de distribuição, de tipo de preparação, solicitação e cancelamento de refeições, o mesmo será comunicado à CONTRATADA em até 03 (três) dias anteriores àquele do consumo.</w:t>
      </w:r>
    </w:p>
    <w:p w14:paraId="3B6B9264">
      <w:pPr>
        <w:spacing w:before="57" w:after="57" w:line="276" w:lineRule="auto"/>
        <w:ind w:left="1020" w:right="113"/>
        <w:jc w:val="both"/>
      </w:pPr>
      <w:r>
        <w:rPr>
          <w:rFonts w:ascii="Century Gothic" w:hAnsi="Century Gothic"/>
          <w:b/>
          <w:bCs/>
        </w:rPr>
        <w:t>5.4.9.1.</w:t>
      </w:r>
      <w:r>
        <w:rPr>
          <w:rFonts w:ascii="Century Gothic" w:hAnsi="Century Gothic"/>
        </w:rPr>
        <w:t xml:space="preserve"> Caso o cancelamento não seja realizado no tempo hábil acima previsto, a CONTRATANTE repassará a CONTRATADA 60% do valor das refeições previstas, para fins de ressarcimento custos fixos relativo aos serviços, conforme disposto na proposta comercial. </w:t>
      </w:r>
    </w:p>
    <w:p w14:paraId="28DBEC3B">
      <w:pPr>
        <w:spacing w:before="57" w:after="57" w:line="276" w:lineRule="auto"/>
        <w:ind w:left="397" w:right="113"/>
        <w:jc w:val="both"/>
      </w:pPr>
      <w:r>
        <w:rPr>
          <w:rFonts w:ascii="Century Gothic" w:hAnsi="Century Gothic"/>
          <w:b/>
          <w:bCs/>
        </w:rPr>
        <w:t>5.4.10.</w:t>
      </w:r>
      <w:r>
        <w:rPr>
          <w:rFonts w:ascii="Century Gothic" w:hAnsi="Century Gothic"/>
        </w:rPr>
        <w:t xml:space="preserve"> Higienização e limpeza de todas as dependências utilizadas para o armazenamento, pré-preparo e preparo das alimentações, equipamentos e dos utensílios de cozinha e dos utensílios utilizados pelos alunos, observando:</w:t>
      </w:r>
    </w:p>
    <w:p w14:paraId="18026E79">
      <w:pPr>
        <w:spacing w:before="57" w:after="57" w:line="276" w:lineRule="auto"/>
        <w:ind w:left="397" w:right="113"/>
        <w:jc w:val="both"/>
      </w:pPr>
      <w:r>
        <w:rPr>
          <w:rFonts w:ascii="Century Gothic" w:hAnsi="Century Gothic"/>
          <w:b/>
          <w:bCs/>
        </w:rPr>
        <w:t xml:space="preserve">5.4.11. </w:t>
      </w:r>
      <w:r>
        <w:rPr>
          <w:rFonts w:ascii="Century Gothic" w:hAnsi="Century Gothic"/>
        </w:rPr>
        <w:t>Cronograma de limpeza diária, semanal e mensal;</w:t>
      </w:r>
    </w:p>
    <w:p w14:paraId="3054E609">
      <w:pPr>
        <w:spacing w:before="57" w:after="57" w:line="276" w:lineRule="auto"/>
        <w:ind w:left="397" w:right="113"/>
        <w:jc w:val="both"/>
      </w:pPr>
      <w:r>
        <w:rPr>
          <w:rFonts w:ascii="Century Gothic" w:hAnsi="Century Gothic"/>
          <w:b/>
          <w:bCs/>
        </w:rPr>
        <w:t>5.4.12.</w:t>
      </w:r>
      <w:r>
        <w:rPr>
          <w:rFonts w:ascii="Century Gothic" w:hAnsi="Century Gothic"/>
        </w:rPr>
        <w:t xml:space="preserve"> A adequada higienização das áreas destinadas a alimentação na UE (cozinha e depósito de alimentos) utilizadas no serviço diário, observadas as normas sanitárias vigentes, de acordo com MBP/POP;</w:t>
      </w:r>
    </w:p>
    <w:p w14:paraId="4409A516">
      <w:pPr>
        <w:spacing w:before="57" w:after="57" w:line="276" w:lineRule="auto"/>
        <w:ind w:left="397" w:right="113"/>
        <w:jc w:val="both"/>
      </w:pPr>
      <w:r>
        <w:rPr>
          <w:rFonts w:ascii="Century Gothic" w:hAnsi="Century Gothic"/>
          <w:b/>
          <w:bCs/>
        </w:rPr>
        <w:t>5.4.13.</w:t>
      </w:r>
      <w:r>
        <w:rPr>
          <w:rFonts w:ascii="Century Gothic" w:hAnsi="Century Gothic"/>
        </w:rPr>
        <w:t xml:space="preserve"> O recolhimento de resíduos alimentares, descartáveis e do lixo produzido durante o período de suas atividades, quantas vezes forem necessárias, acondicionando-os em sacos plásticos de forma adequada e encaminhando-os ao local apropriado determinado pela UE, observando a Legislação Ambiental e de modo a não permitir a exalação de odores e proliferação de vetores e pragas, sendo também de responsabilidade da CONTRATADA a separação do lixo orgânico do inorgânico. Cabe também a CONTRATADA:</w:t>
      </w:r>
    </w:p>
    <w:p w14:paraId="410F1136">
      <w:pPr>
        <w:spacing w:before="57" w:after="57" w:line="276" w:lineRule="auto"/>
        <w:ind w:left="397" w:right="113"/>
        <w:jc w:val="both"/>
      </w:pPr>
      <w:r>
        <w:rPr>
          <w:rFonts w:ascii="Century Gothic" w:hAnsi="Century Gothic"/>
          <w:b/>
          <w:bCs/>
        </w:rPr>
        <w:t>5.4.14.</w:t>
      </w:r>
      <w:r>
        <w:rPr>
          <w:rFonts w:ascii="Century Gothic" w:hAnsi="Century Gothic"/>
        </w:rPr>
        <w:t xml:space="preserve"> O fornecimento dos produtos para a limpeza e higienização da área de alimentação, equipamentos e utensílios;</w:t>
      </w:r>
    </w:p>
    <w:p w14:paraId="7A1424BF">
      <w:pPr>
        <w:spacing w:before="57" w:after="57" w:line="276" w:lineRule="auto"/>
        <w:ind w:left="397" w:right="113"/>
        <w:jc w:val="both"/>
      </w:pPr>
      <w:r>
        <w:rPr>
          <w:rFonts w:ascii="Century Gothic" w:hAnsi="Century Gothic"/>
          <w:b/>
          <w:bCs/>
        </w:rPr>
        <w:t>5.4.15.</w:t>
      </w:r>
      <w:r>
        <w:rPr>
          <w:rFonts w:ascii="Century Gothic" w:hAnsi="Century Gothic"/>
        </w:rPr>
        <w:t xml:space="preserve"> O fornecimento de produtos para a higienização dos alimentos, conforme RDC 216/2004;</w:t>
      </w:r>
    </w:p>
    <w:p w14:paraId="71D2B54F">
      <w:pPr>
        <w:spacing w:before="57" w:after="57" w:line="276" w:lineRule="auto"/>
        <w:ind w:left="397" w:right="113"/>
        <w:jc w:val="both"/>
      </w:pPr>
      <w:r>
        <w:rPr>
          <w:rFonts w:ascii="Century Gothic" w:hAnsi="Century Gothic"/>
          <w:b/>
          <w:bCs/>
        </w:rPr>
        <w:t xml:space="preserve">5.4.16. </w:t>
      </w:r>
      <w:r>
        <w:rPr>
          <w:rFonts w:ascii="Century Gothic" w:hAnsi="Century Gothic"/>
        </w:rPr>
        <w:t>O fornecimento dos descartáveis utilizados no preparo e manipulação dos alimentos, bem como para a coleta de amostras (alimentos/água), conforme legislação;</w:t>
      </w:r>
    </w:p>
    <w:p w14:paraId="3B8296B4">
      <w:pPr>
        <w:spacing w:before="57" w:after="57" w:line="276" w:lineRule="auto"/>
        <w:ind w:left="397" w:right="113"/>
        <w:jc w:val="both"/>
      </w:pPr>
      <w:r>
        <w:rPr>
          <w:rFonts w:ascii="Century Gothic" w:hAnsi="Century Gothic"/>
          <w:b/>
          <w:bCs/>
        </w:rPr>
        <w:t>5.4.17.</w:t>
      </w:r>
      <w:r>
        <w:rPr>
          <w:rFonts w:ascii="Century Gothic" w:hAnsi="Century Gothic"/>
        </w:rPr>
        <w:t xml:space="preserve"> Fornecimentos de insumos para limpeza e desinfecção das áreas utilizadas para o armazenamento, pré-preparo, preparo da alimentação, como também dos equipamentos.</w:t>
      </w:r>
    </w:p>
    <w:p w14:paraId="1BDC4CBD">
      <w:pPr>
        <w:spacing w:before="57" w:after="57" w:line="276" w:lineRule="auto"/>
        <w:ind w:left="397" w:right="113"/>
        <w:jc w:val="both"/>
      </w:pPr>
      <w:r>
        <w:rPr>
          <w:rFonts w:ascii="Century Gothic" w:hAnsi="Century Gothic"/>
          <w:b/>
          <w:bCs/>
        </w:rPr>
        <w:t>5.4.18.</w:t>
      </w:r>
      <w:r>
        <w:rPr>
          <w:rFonts w:ascii="Century Gothic" w:hAnsi="Century Gothic"/>
        </w:rPr>
        <w:t xml:space="preserve"> Insumos diversos em qualidade e quantidade adequada para eficiente prestação de serviços nas Ues;</w:t>
      </w:r>
    </w:p>
    <w:p w14:paraId="6D789DDD">
      <w:pPr>
        <w:spacing w:before="57" w:after="57" w:line="276" w:lineRule="auto"/>
        <w:ind w:left="397" w:right="113"/>
        <w:jc w:val="both"/>
      </w:pPr>
      <w:r>
        <w:rPr>
          <w:rFonts w:ascii="Century Gothic" w:hAnsi="Century Gothic"/>
          <w:b/>
          <w:bCs/>
        </w:rPr>
        <w:t xml:space="preserve">5.4.19. </w:t>
      </w:r>
      <w:r>
        <w:rPr>
          <w:rFonts w:ascii="Century Gothic" w:hAnsi="Century Gothic"/>
        </w:rPr>
        <w:t>Uniformes específicos para o desempenho das funções para troca diária e utilização apenas nas dependências internas da UE, tais como: aventais, calças, camisetas com mangas curtas, meias, calçados fechados e touca descartável para Higienização e limpeza de todas as dependências utilizadas para o armazenamento, pré-preparo e preparo das alimentações, equipamentos e dos utensílios de cozinha e dos utensílios utilizados pelos alunos, observando:</w:t>
      </w:r>
    </w:p>
    <w:p w14:paraId="474D11C2">
      <w:pPr>
        <w:spacing w:before="57" w:after="57" w:line="276" w:lineRule="auto"/>
        <w:ind w:right="113"/>
        <w:jc w:val="both"/>
      </w:pPr>
      <w:r>
        <w:rPr>
          <w:rFonts w:ascii="Century Gothic" w:hAnsi="Century Gothic"/>
          <w:b/>
          <w:bCs/>
        </w:rPr>
        <w:t>5.5. Fornecimentos de insumos para limpeza e desinfecção das áreas utilizadas para o armazenamento, pré-preparo, preparo da alimentação, como também dos equipamentos.</w:t>
      </w:r>
    </w:p>
    <w:p w14:paraId="72AF1DA9">
      <w:pPr>
        <w:spacing w:before="57" w:after="57" w:line="276" w:lineRule="auto"/>
        <w:ind w:left="397" w:right="113"/>
        <w:jc w:val="both"/>
      </w:pPr>
      <w:r>
        <w:rPr>
          <w:rFonts w:ascii="Century Gothic" w:hAnsi="Century Gothic"/>
          <w:b/>
          <w:bCs/>
        </w:rPr>
        <w:t xml:space="preserve">5.5.1. </w:t>
      </w:r>
      <w:r>
        <w:rPr>
          <w:rFonts w:ascii="Century Gothic" w:hAnsi="Century Gothic"/>
        </w:rPr>
        <w:t>Insumos diversos em qualidade e quantidade adequada para eficiente prestação de serviços nas Ues;</w:t>
      </w:r>
    </w:p>
    <w:p w14:paraId="4311C299">
      <w:pPr>
        <w:spacing w:before="57" w:after="57" w:line="276" w:lineRule="auto"/>
        <w:ind w:left="397" w:right="113"/>
        <w:jc w:val="both"/>
      </w:pPr>
      <w:r>
        <w:rPr>
          <w:rFonts w:ascii="Century Gothic" w:hAnsi="Century Gothic"/>
          <w:b/>
          <w:bCs/>
        </w:rPr>
        <w:t xml:space="preserve">5.5.2. </w:t>
      </w:r>
      <w:r>
        <w:rPr>
          <w:rFonts w:ascii="Century Gothic" w:hAnsi="Century Gothic"/>
        </w:rPr>
        <w:t>Uniformes específicos para o desempenho das funções para troca diária e utilização apenas nas dependências internas da UE, tais como: aventais, calças, camisetas com mangas curtas, meias, calçados fechados e touca descartável para proteção dos cabelos, todos de cor branca, com previsão de, no mínimo, duas trocas ao ano, sendo no início de cada semestre;</w:t>
      </w:r>
    </w:p>
    <w:p w14:paraId="1B633822">
      <w:pPr>
        <w:spacing w:before="57" w:after="57" w:line="276" w:lineRule="auto"/>
        <w:ind w:left="397" w:right="113"/>
        <w:jc w:val="both"/>
      </w:pPr>
      <w:r>
        <w:rPr>
          <w:rFonts w:ascii="Century Gothic" w:hAnsi="Century Gothic"/>
          <w:b/>
          <w:bCs/>
        </w:rPr>
        <w:t xml:space="preserve">5.5.3. </w:t>
      </w:r>
      <w:r>
        <w:rPr>
          <w:rFonts w:ascii="Century Gothic" w:hAnsi="Century Gothic"/>
        </w:rPr>
        <w:t>Equipamentos de proteção individual (EPIs) específicos para o desempenho das funções, tais como: botas antiderrapantes, luvas antitérmicas, aventais de PVC/silicone;</w:t>
      </w:r>
    </w:p>
    <w:p w14:paraId="486D2DF1">
      <w:pPr>
        <w:spacing w:before="57" w:after="57" w:line="276" w:lineRule="auto"/>
        <w:ind w:left="397" w:right="113"/>
        <w:jc w:val="both"/>
      </w:pPr>
      <w:r>
        <w:rPr>
          <w:rFonts w:ascii="Century Gothic" w:hAnsi="Century Gothic"/>
          <w:b/>
          <w:bCs/>
        </w:rPr>
        <w:t xml:space="preserve">5.5.4. </w:t>
      </w:r>
      <w:r>
        <w:rPr>
          <w:rFonts w:ascii="Century Gothic" w:hAnsi="Century Gothic"/>
        </w:rPr>
        <w:t>Materiais de limpeza: Os procedimentos de limpeza e sanitização de equipamentos e utensílios devem garantir a não contaminação dos alimentos em conformidade com os MBP e POPs e demais normas pertinentes da Vigilância Sanitária. Serão utilizados: água sanitária, desengordurante/desincrustante, detergente líquido, esponja dupla face, pano de chão, luva para limpeza e pano multiúso descartável;</w:t>
      </w:r>
    </w:p>
    <w:p w14:paraId="1F885C3B">
      <w:pPr>
        <w:spacing w:before="57" w:after="57" w:line="276" w:lineRule="auto"/>
        <w:ind w:left="397" w:right="113"/>
        <w:jc w:val="both"/>
      </w:pPr>
      <w:r>
        <w:rPr>
          <w:rFonts w:ascii="Century Gothic" w:hAnsi="Century Gothic"/>
          <w:b/>
          <w:bCs/>
        </w:rPr>
        <w:t xml:space="preserve">5.5.5. </w:t>
      </w:r>
      <w:r>
        <w:rPr>
          <w:rFonts w:ascii="Century Gothic" w:hAnsi="Century Gothic"/>
        </w:rPr>
        <w:t>Materiais de higienização: sabonete líquido, álcool 70% líquido e em gel e hipoclorito de sódio 1% cloro ativo.</w:t>
      </w:r>
    </w:p>
    <w:p w14:paraId="4D470991">
      <w:pPr>
        <w:spacing w:before="57" w:after="57" w:line="276" w:lineRule="auto"/>
        <w:ind w:left="397" w:right="113"/>
        <w:jc w:val="both"/>
      </w:pPr>
      <w:r>
        <w:rPr>
          <w:rFonts w:ascii="Century Gothic" w:hAnsi="Century Gothic"/>
          <w:b/>
          <w:bCs/>
        </w:rPr>
        <w:t xml:space="preserve">5.5.6. </w:t>
      </w:r>
      <w:r>
        <w:rPr>
          <w:rFonts w:ascii="Century Gothic" w:hAnsi="Century Gothic"/>
        </w:rPr>
        <w:t>Materiais diversos: balde 15 litros, borrifador plástico, desentupidor de pia, luva plástica descartável, touca descartável, saco para amostra com tarja, bobina de saco plástico para 10 Kg, pá para lixo, escova para mamadeira, rodo, vassoura em nylon, saco para lixo 100 e 150 litros, e acendedor de chama;</w:t>
      </w:r>
    </w:p>
    <w:p w14:paraId="3946DA1D">
      <w:pPr>
        <w:spacing w:before="57" w:after="57" w:line="276" w:lineRule="auto"/>
        <w:ind w:left="397" w:right="113"/>
        <w:jc w:val="both"/>
      </w:pPr>
      <w:r>
        <w:rPr>
          <w:rFonts w:ascii="Century Gothic" w:hAnsi="Century Gothic"/>
          <w:b/>
          <w:bCs/>
        </w:rPr>
        <w:t xml:space="preserve">5.5.7. </w:t>
      </w:r>
      <w:r>
        <w:rPr>
          <w:rFonts w:ascii="Century Gothic" w:hAnsi="Century Gothic"/>
        </w:rPr>
        <w:t>Em hipótese alguma será permitido que os funcionários da CONTRATADA utilizem materiais de higienização ou descartáveis para outros fins que não sejam aqueles aos quais se destinada a prestação do serviço.</w:t>
      </w:r>
    </w:p>
    <w:p w14:paraId="6E2A6D96">
      <w:pPr>
        <w:spacing w:before="57" w:after="57" w:line="276" w:lineRule="auto"/>
        <w:ind w:left="397" w:right="113"/>
        <w:jc w:val="both"/>
      </w:pPr>
      <w:r>
        <w:rPr>
          <w:rFonts w:ascii="Century Gothic" w:hAnsi="Century Gothic"/>
          <w:b/>
          <w:bCs/>
        </w:rPr>
        <w:t xml:space="preserve">5.5.8. </w:t>
      </w:r>
      <w:r>
        <w:rPr>
          <w:rFonts w:ascii="Century Gothic" w:hAnsi="Century Gothic"/>
        </w:rPr>
        <w:t>Outros insumos que se fizerem necessários para adequada prestação de serviço de mão de obra, de acordo com a necessidade específica: aumento/diminuição do número de alunos ou servimentos nas UEs; aumento/diminuição na demanda de refeições devido a implantação de atendimento de novos Projetos Pedagógicos rendimento do produto incompatível (superior ou inferior) com a estimativa mensal de uso; inclusão de novas UEs devido a municipalização ou término de obras, e após análise da Contratante;</w:t>
      </w:r>
    </w:p>
    <w:p w14:paraId="6CBB18A3">
      <w:pPr>
        <w:spacing w:before="57" w:after="57" w:line="276" w:lineRule="auto"/>
        <w:ind w:right="113"/>
        <w:jc w:val="both"/>
      </w:pPr>
      <w:r>
        <w:rPr>
          <w:rFonts w:ascii="Century Gothic" w:hAnsi="Century Gothic"/>
          <w:b/>
          <w:bCs/>
        </w:rPr>
        <w:t>5.6. Armazenamento dos gêneros alimentícios utilizados no preparo das refeições solicitadas aos alunos:</w:t>
      </w:r>
    </w:p>
    <w:p w14:paraId="60AD1CE0">
      <w:pPr>
        <w:spacing w:before="57" w:after="57" w:line="276" w:lineRule="auto"/>
        <w:ind w:left="397" w:right="113"/>
        <w:jc w:val="both"/>
      </w:pPr>
      <w:r>
        <w:rPr>
          <w:rFonts w:ascii="Century Gothic" w:hAnsi="Century Gothic"/>
          <w:b/>
          <w:bCs/>
        </w:rPr>
        <w:t xml:space="preserve">5.6.1. </w:t>
      </w:r>
      <w:r>
        <w:rPr>
          <w:rFonts w:ascii="Century Gothic" w:hAnsi="Century Gothic"/>
        </w:rPr>
        <w:t>Na retirada de alimentos de suas embalagens originais, estes deverão ser adequadamente reembalados para armazenamento, com a aposição ou transcrição do rótulo original, podendo ser colocadas etiquetas em cada nova embalagem, contendo todos os dados necessários para adequada identificação e rastreamento do produto, ficando vedado o reaproveitamento de embalagens;</w:t>
      </w:r>
    </w:p>
    <w:p w14:paraId="6C399A5C">
      <w:pPr>
        <w:spacing w:before="57" w:after="57" w:line="276" w:lineRule="auto"/>
        <w:ind w:left="397" w:right="113"/>
        <w:jc w:val="both"/>
      </w:pPr>
      <w:r>
        <w:rPr>
          <w:rFonts w:ascii="Century Gothic" w:hAnsi="Century Gothic"/>
          <w:b/>
          <w:bCs/>
        </w:rPr>
        <w:t xml:space="preserve">5.6.2. </w:t>
      </w:r>
      <w:r>
        <w:rPr>
          <w:rFonts w:ascii="Century Gothic" w:hAnsi="Century Gothic"/>
        </w:rPr>
        <w:t>Os produtos que possam ser mantidos em suas embalagens originais, após a abertura das mesmas, devem ser identificados com a data de abertura, lote do produto, marca e nova data de validade, de acordo com o MBP;</w:t>
      </w:r>
    </w:p>
    <w:p w14:paraId="78E3A538">
      <w:pPr>
        <w:spacing w:before="57" w:after="57" w:line="276" w:lineRule="auto"/>
        <w:ind w:left="397" w:right="113"/>
        <w:jc w:val="both"/>
      </w:pPr>
      <w:r>
        <w:rPr>
          <w:rFonts w:ascii="Century Gothic" w:hAnsi="Century Gothic"/>
          <w:b/>
          <w:bCs/>
        </w:rPr>
        <w:t xml:space="preserve">5.6.3. </w:t>
      </w:r>
      <w:r>
        <w:rPr>
          <w:rFonts w:ascii="Century Gothic" w:hAnsi="Century Gothic"/>
        </w:rPr>
        <w:t>Quando os alimentos pré-preparados, pré-misturados ou prontos para o consumo não forem utilizados imediatamente, estes devem ser acondicionados adequadamente, protegidos e identificados com o nome do produto, data de manipulação e data de validade, em conformidade com o estabelecido em legislação vigente e MBP;</w:t>
      </w:r>
    </w:p>
    <w:p w14:paraId="50464177">
      <w:pPr>
        <w:spacing w:before="57" w:after="57" w:line="276" w:lineRule="auto"/>
        <w:ind w:left="397" w:right="113"/>
        <w:jc w:val="both"/>
      </w:pPr>
      <w:r>
        <w:rPr>
          <w:rFonts w:ascii="Century Gothic" w:hAnsi="Century Gothic"/>
          <w:b/>
          <w:bCs/>
        </w:rPr>
        <w:t xml:space="preserve">5.6.4. </w:t>
      </w:r>
      <w:r>
        <w:rPr>
          <w:rFonts w:ascii="Century Gothic" w:hAnsi="Century Gothic"/>
        </w:rPr>
        <w:t>Armazenar adequadamente os alimentos, materiais de consumo (descartáveis e similares) e produtos de higiene e limpeza, de forma a garantir suas condições de acordo com as orientações da Contratante;</w:t>
      </w:r>
    </w:p>
    <w:p w14:paraId="324A5044">
      <w:pPr>
        <w:spacing w:before="57" w:after="57" w:line="276" w:lineRule="auto"/>
        <w:ind w:left="397" w:right="113"/>
        <w:jc w:val="both"/>
      </w:pPr>
      <w:r>
        <w:rPr>
          <w:rFonts w:ascii="Century Gothic" w:hAnsi="Century Gothic"/>
          <w:b/>
          <w:bCs/>
        </w:rPr>
        <w:t xml:space="preserve">5.6.5. </w:t>
      </w:r>
      <w:r>
        <w:rPr>
          <w:rFonts w:ascii="Century Gothic" w:hAnsi="Century Gothic"/>
        </w:rPr>
        <w:t>Fica vedada a utilização do espaço imediatamente abaixo da cuba da pia para armazenamento de alimentos;</w:t>
      </w:r>
    </w:p>
    <w:p w14:paraId="67F618F7">
      <w:pPr>
        <w:spacing w:before="57" w:after="57" w:line="276" w:lineRule="auto"/>
        <w:ind w:right="113"/>
        <w:jc w:val="both"/>
      </w:pPr>
      <w:r>
        <w:rPr>
          <w:rFonts w:ascii="Century Gothic" w:hAnsi="Century Gothic"/>
          <w:b/>
          <w:bCs/>
        </w:rPr>
        <w:t>5.7. Recebimento, registro e controle do estoque de alimentos e insumos, da quantidade de alimentos servidos e sobras, por meio de planilhas físicas para gestão e controle, devendo a CONTRATADA:</w:t>
      </w:r>
    </w:p>
    <w:p w14:paraId="6728BAE2">
      <w:pPr>
        <w:spacing w:before="57" w:after="57" w:line="276" w:lineRule="auto"/>
        <w:ind w:left="397" w:right="113"/>
        <w:jc w:val="both"/>
      </w:pPr>
      <w:r>
        <w:rPr>
          <w:rFonts w:ascii="Century Gothic" w:hAnsi="Century Gothic"/>
          <w:b/>
          <w:bCs/>
        </w:rPr>
        <w:t xml:space="preserve">5.7.1. </w:t>
      </w:r>
      <w:r>
        <w:rPr>
          <w:rFonts w:ascii="Century Gothic" w:hAnsi="Century Gothic"/>
        </w:rPr>
        <w:t>Acompanhar a direção da UE ou funcionário por ela designado no recebimento de alimentos provenientes da Agricultura Familiar, orientando quanto a sua qualidade e quantidade para que o mesmo assine o devido recebimento do gênero ou material; Receber os insumos e demais materiais em horários pré-determinados por meio de seus funcionários ou fornecedores, devidamente uniformizados e identificados;</w:t>
      </w:r>
    </w:p>
    <w:p w14:paraId="2096534F">
      <w:pPr>
        <w:spacing w:before="57" w:after="57" w:line="276" w:lineRule="auto"/>
        <w:ind w:left="397" w:right="113"/>
        <w:jc w:val="both"/>
      </w:pPr>
      <w:r>
        <w:rPr>
          <w:rFonts w:ascii="Century Gothic" w:hAnsi="Century Gothic"/>
          <w:b/>
          <w:bCs/>
        </w:rPr>
        <w:t xml:space="preserve">5.7.2. </w:t>
      </w:r>
      <w:r>
        <w:rPr>
          <w:rFonts w:ascii="Century Gothic" w:hAnsi="Century Gothic"/>
        </w:rPr>
        <w:t>Fornecedores e/ou seus funcionários que precisarem entrar na cozinha para efetuar entregas, bem como outras pessoas estranhas à equipe das áreas de produção, deverão estar identificados e utilizando proteção para os cabelos, fornecida pela CONTRATADA, de forma a não colocar em risco a sanidade do local;</w:t>
      </w:r>
    </w:p>
    <w:p w14:paraId="4206C40F">
      <w:pPr>
        <w:spacing w:before="57" w:after="57" w:line="276" w:lineRule="auto"/>
        <w:ind w:left="397" w:right="113"/>
        <w:jc w:val="both"/>
      </w:pPr>
      <w:r>
        <w:rPr>
          <w:rFonts w:ascii="Century Gothic" w:hAnsi="Century Gothic"/>
          <w:b/>
          <w:bCs/>
        </w:rPr>
        <w:t>5.7.3.</w:t>
      </w:r>
      <w:r>
        <w:rPr>
          <w:rFonts w:ascii="Century Gothic" w:hAnsi="Century Gothic"/>
        </w:rPr>
        <w:t xml:space="preserve"> Proceder ao controle quantitativo e qualitativo dos alimentos para utilização na UE, mantendo o estoque de gêneros e materiais em compatibilidade com as quantidades necessárias para o atendimento aos alunos;</w:t>
      </w:r>
    </w:p>
    <w:p w14:paraId="189C3C6F">
      <w:pPr>
        <w:spacing w:before="57" w:after="57" w:line="276" w:lineRule="auto"/>
        <w:ind w:left="397" w:right="113"/>
        <w:jc w:val="both"/>
      </w:pPr>
      <w:r>
        <w:rPr>
          <w:rFonts w:ascii="Century Gothic" w:hAnsi="Century Gothic"/>
          <w:b/>
          <w:bCs/>
        </w:rPr>
        <w:t xml:space="preserve">5.7.4. </w:t>
      </w:r>
      <w:r>
        <w:rPr>
          <w:rFonts w:ascii="Century Gothic" w:hAnsi="Century Gothic"/>
        </w:rPr>
        <w:t>Inventariar o estoque de gêneros e produtos alimentícios mensalmente. Todas as atividades inerentes ao recebimento, armazenamento e controle de estoque de alimentos deverão observar as informações contidas no MBP;</w:t>
      </w:r>
    </w:p>
    <w:p w14:paraId="3CC71EA7">
      <w:pPr>
        <w:spacing w:before="57" w:after="57" w:line="276" w:lineRule="auto"/>
        <w:ind w:left="397" w:right="113"/>
        <w:jc w:val="both"/>
      </w:pPr>
      <w:r>
        <w:rPr>
          <w:rFonts w:ascii="Century Gothic" w:hAnsi="Century Gothic"/>
          <w:b/>
          <w:bCs/>
        </w:rPr>
        <w:t>5.7.5.</w:t>
      </w:r>
      <w:r>
        <w:rPr>
          <w:rFonts w:ascii="Century Gothic" w:hAnsi="Century Gothic"/>
        </w:rPr>
        <w:t xml:space="preserve"> Relacionar diariamente em Livro Ata ou formulário próprio de controle as informações pertinentes a: cardápio do dia, entradas e saídas de gêneros alimentícios utilizados na cocção/preparação, quantidade de refeições solicitadas, sobras devidamente pesadas e controle de temperatura no momento da cocção e da distribuição conforme POP específico;</w:t>
      </w:r>
    </w:p>
    <w:p w14:paraId="3DEFCC94">
      <w:pPr>
        <w:spacing w:before="57" w:after="57" w:line="276" w:lineRule="auto"/>
        <w:ind w:left="397" w:right="113"/>
        <w:jc w:val="both"/>
      </w:pPr>
      <w:r>
        <w:rPr>
          <w:rFonts w:ascii="Century Gothic" w:hAnsi="Century Gothic"/>
          <w:b/>
          <w:bCs/>
        </w:rPr>
        <w:t>5.7.6.</w:t>
      </w:r>
      <w:r>
        <w:rPr>
          <w:rFonts w:ascii="Century Gothic" w:hAnsi="Century Gothic"/>
        </w:rPr>
        <w:t xml:space="preserve"> Manter o estoque de insumos e materiais de higiene e limpeza em quantidade compatível, realizando o controle quantitativo e qualitativo e verificando seu estado de conservação e higiene, acondicionamento e condições da embalagem, prazo de validade e, ainda, as exigências legais vigentes de registro/notificação dos materiais de higiene e limpeza nos órgãos competentes, para atender a necessidade pertinente à adequada prestação do serviço;</w:t>
      </w:r>
    </w:p>
    <w:p w14:paraId="3388106D">
      <w:pPr>
        <w:spacing w:before="57" w:after="57" w:line="276" w:lineRule="auto"/>
        <w:ind w:left="397" w:right="113"/>
        <w:jc w:val="both"/>
      </w:pPr>
      <w:r>
        <w:rPr>
          <w:rFonts w:ascii="Century Gothic" w:hAnsi="Century Gothic"/>
          <w:b/>
          <w:bCs/>
        </w:rPr>
        <w:t xml:space="preserve">5.7.7. </w:t>
      </w:r>
      <w:r>
        <w:rPr>
          <w:rFonts w:ascii="Century Gothic" w:hAnsi="Century Gothic"/>
        </w:rPr>
        <w:t>Os equipamentos de limpeza, vassouras e rodos, quando não estiverem em uso, deverão estar guardados em suporte apropriado, em lavanderia ou local próximo à cozinha, mas fora da área de manipulação dos alimentos.</w:t>
      </w:r>
    </w:p>
    <w:p w14:paraId="05EAE417">
      <w:pPr>
        <w:spacing w:before="57" w:after="57" w:line="276" w:lineRule="auto"/>
        <w:ind w:right="113"/>
        <w:jc w:val="both"/>
      </w:pPr>
      <w:r>
        <w:rPr>
          <w:rFonts w:ascii="Century Gothic" w:hAnsi="Century Gothic"/>
          <w:b/>
          <w:bCs/>
        </w:rPr>
        <w:t>5.8. Gêneros Alimentícios</w:t>
      </w:r>
    </w:p>
    <w:p w14:paraId="1F3D0C91">
      <w:pPr>
        <w:spacing w:line="276" w:lineRule="auto"/>
        <w:ind w:left="397" w:right="113"/>
        <w:jc w:val="both"/>
      </w:pPr>
      <w:r>
        <w:rPr>
          <w:rFonts w:ascii="Century Gothic" w:hAnsi="Century Gothic"/>
          <w:b/>
          <w:bCs/>
        </w:rPr>
        <w:t xml:space="preserve">5.8.1. </w:t>
      </w:r>
      <w:r>
        <w:rPr>
          <w:rFonts w:ascii="Century Gothic" w:hAnsi="Century Gothic"/>
        </w:rPr>
        <w:t>A CONTRATADA deverá garantir a logística de abastecimento de insumos em todas as unidades escolares de acordo com a necessidade dos cardápios e realizar o planejamento de entregas conforme infraestrutura disponibilizada de armazenamento de cada local para devida prestação dos serviços e ao fornecimento definidos no Termo de Referência.</w:t>
      </w:r>
    </w:p>
    <w:p w14:paraId="0417D1B9">
      <w:pPr>
        <w:spacing w:before="57" w:after="57" w:line="276" w:lineRule="auto"/>
        <w:ind w:left="397" w:right="113"/>
        <w:jc w:val="both"/>
      </w:pPr>
      <w:r>
        <w:rPr>
          <w:rFonts w:ascii="Century Gothic" w:hAnsi="Century Gothic"/>
          <w:b/>
          <w:bCs/>
        </w:rPr>
        <w:t xml:space="preserve">5.8.2. </w:t>
      </w:r>
      <w:r>
        <w:rPr>
          <w:rFonts w:ascii="Century Gothic" w:hAnsi="Century Gothic"/>
        </w:rPr>
        <w:t>Do total dos recursos financeiros repassados pelo FNDE, no âmbito do PNAE, no mínimo 30% (trinta por cento) deverão ser utilizados na aquisição de gêneros alimentícios diretamente da Agricultura Familiar e do Empreendedor Familiar Rural ou suas organizações, priorizando os assentamentos da reforma agrária, as comunidades tradicionais indígenas e comunidades quilombolas, conforme o art. 14, da Lei n° 11.947/2009. A CONTRATANTE realizará os chamamentos públicos para as devidas aquisições.</w:t>
      </w:r>
    </w:p>
    <w:p w14:paraId="20D55EC8">
      <w:pPr>
        <w:spacing w:before="57" w:after="57" w:line="276" w:lineRule="auto"/>
        <w:ind w:left="397" w:right="113"/>
        <w:jc w:val="both"/>
      </w:pPr>
      <w:r>
        <w:rPr>
          <w:rFonts w:ascii="Century Gothic" w:hAnsi="Century Gothic"/>
          <w:b/>
          <w:bCs/>
        </w:rPr>
        <w:t xml:space="preserve">5.8.3. </w:t>
      </w:r>
      <w:r>
        <w:rPr>
          <w:rFonts w:ascii="Century Gothic" w:hAnsi="Century Gothic"/>
        </w:rPr>
        <w:t>A CONTRATANTE a seu critério, disponibilizará para a CONTRATADA os alimentos adquiridos da agricultura familiar, através dos chamamentos públicos para serem utilizados na complementação dos cardápios. Será priorizado a compra dos produtores regionais.</w:t>
      </w:r>
    </w:p>
    <w:p w14:paraId="34A1D774">
      <w:pPr>
        <w:spacing w:before="57" w:after="57" w:line="276" w:lineRule="auto"/>
        <w:ind w:left="397" w:right="113"/>
        <w:jc w:val="both"/>
      </w:pPr>
      <w:r>
        <w:rPr>
          <w:rFonts w:ascii="Century Gothic" w:hAnsi="Century Gothic"/>
          <w:b/>
          <w:bCs/>
        </w:rPr>
        <w:t>5.8.4.</w:t>
      </w:r>
      <w:r>
        <w:rPr>
          <w:rFonts w:ascii="Century Gothic" w:hAnsi="Century Gothic"/>
        </w:rPr>
        <w:t xml:space="preserve"> Os produtos utilizados para a produção da Alimentação Escolar devem atender as especificações técnicas descritas. Sendo registrado e aprovado com análise da SECRETARIA MUNICIPAL DE EDUCAÇÃO. Não poderá ser utilizado nenhum produto e ou substituído sem aprovação da análise e aprovação da SECRETARIA MUNICIPAL DE EDUCAÇÃO.</w:t>
      </w:r>
    </w:p>
    <w:p w14:paraId="3FD34AD7">
      <w:pPr>
        <w:spacing w:before="57" w:after="57" w:line="276" w:lineRule="auto"/>
        <w:ind w:left="397" w:right="113"/>
        <w:jc w:val="both"/>
      </w:pPr>
      <w:r>
        <w:rPr>
          <w:rFonts w:ascii="Century Gothic" w:hAnsi="Century Gothic"/>
          <w:b/>
          <w:bCs/>
        </w:rPr>
        <w:t>5.8.5.</w:t>
      </w:r>
      <w:r>
        <w:rPr>
          <w:rFonts w:ascii="Century Gothic" w:hAnsi="Century Gothic"/>
        </w:rPr>
        <w:t xml:space="preserve"> Assegurar o abastecimento das Unidades Educacionais, com os gêneros alimentícios necessários ao cumprimento do cardápio, observando suas especificações, qualidade, quantidade e prazos de validade.</w:t>
      </w:r>
    </w:p>
    <w:p w14:paraId="27EB01CF">
      <w:pPr>
        <w:spacing w:before="57" w:after="57" w:line="276" w:lineRule="auto"/>
        <w:ind w:left="397" w:right="113"/>
        <w:jc w:val="both"/>
      </w:pPr>
      <w:r>
        <w:rPr>
          <w:rFonts w:ascii="Century Gothic" w:hAnsi="Century Gothic"/>
          <w:b/>
          <w:bCs/>
        </w:rPr>
        <w:t xml:space="preserve">5.8.6. </w:t>
      </w:r>
      <w:r>
        <w:rPr>
          <w:rFonts w:ascii="Century Gothic" w:hAnsi="Century Gothic"/>
        </w:rPr>
        <w:t>O transporte dos gêneros alimentícios para as Unidades Escolares deve ser de acordo com legislação específica, e deverão ser transportados em veículos apropriados e devidamente higienizados, atendendo às normas sanitárias vigentes, veículos estes que deverão estar em perfeito estado de funcionamento, a fim de evitar quebras e/ou atrasos desnecessários na entrega dos produtos. A manutenção e higienização destes veículos devem estar sempre de acordo com a descrição dos serviços prestados.</w:t>
      </w:r>
    </w:p>
    <w:p w14:paraId="7DB124A8">
      <w:pPr>
        <w:spacing w:before="57" w:after="57" w:line="276" w:lineRule="auto"/>
        <w:ind w:left="397" w:right="113"/>
        <w:jc w:val="both"/>
      </w:pPr>
      <w:r>
        <w:rPr>
          <w:rFonts w:ascii="Century Gothic" w:hAnsi="Century Gothic"/>
          <w:b/>
          <w:bCs/>
        </w:rPr>
        <w:t xml:space="preserve">5.8.7. </w:t>
      </w:r>
      <w:r>
        <w:rPr>
          <w:rFonts w:ascii="Century Gothic" w:hAnsi="Century Gothic"/>
        </w:rPr>
        <w:t>Poderão ser acrescentados outros gêneros alimentícios além dos listados, para a variação dos cardápios, no prazo de 30 dias antes da vigência do cardápio em que os mesmos serão utilizados, justificando os motivos da introdução destes alimentos e de custos semelhantes aos produtos utilizados.</w:t>
      </w:r>
    </w:p>
    <w:p w14:paraId="0FD845A8">
      <w:pPr>
        <w:spacing w:before="57" w:after="57" w:line="276" w:lineRule="auto"/>
        <w:ind w:left="397" w:right="113"/>
        <w:jc w:val="both"/>
      </w:pPr>
      <w:r>
        <w:rPr>
          <w:rFonts w:ascii="Century Gothic" w:hAnsi="Century Gothic"/>
          <w:b/>
          <w:bCs/>
        </w:rPr>
        <w:t>5.8.8.</w:t>
      </w:r>
      <w:r>
        <w:rPr>
          <w:rFonts w:ascii="Century Gothic" w:hAnsi="Century Gothic"/>
        </w:rPr>
        <w:t xml:space="preserve"> As análises apresentadas no Laudo ou Certificados deverão ser do mesmo lote de fabricação. Os custos das análises serão de responsabilidade da CONTRATADA. Quando a análise de um ou mais gêneros estiver em desacordo com os parâmetros exigidos no processo e a legislação vigente, a CONTRATADA deverá substituir o lote de alimentos em todas as Unidades Educacionais que tiverem estoque daquele alimento.</w:t>
      </w:r>
    </w:p>
    <w:p w14:paraId="76F504FC">
      <w:pPr>
        <w:spacing w:before="57" w:after="57" w:line="276" w:lineRule="auto"/>
        <w:ind w:left="397" w:right="113"/>
        <w:jc w:val="both"/>
      </w:pPr>
      <w:r>
        <w:rPr>
          <w:rFonts w:ascii="Century Gothic" w:hAnsi="Century Gothic"/>
          <w:b/>
          <w:bCs/>
        </w:rPr>
        <w:t xml:space="preserve">5.8.9. </w:t>
      </w:r>
      <w:r>
        <w:rPr>
          <w:rFonts w:ascii="Century Gothic" w:hAnsi="Century Gothic"/>
        </w:rPr>
        <w:t>Caso ocorra algum problema como roubos, falta de energia, entre outros, a CONTRATADA deverá disponibilizar os gêneros necessários para elaboração de cardápios alternativos acordado entre as partes.</w:t>
      </w:r>
    </w:p>
    <w:p w14:paraId="30CD3846">
      <w:pPr>
        <w:spacing w:before="57" w:after="57" w:line="276" w:lineRule="auto"/>
        <w:ind w:left="397" w:right="113"/>
        <w:jc w:val="both"/>
      </w:pPr>
      <w:r>
        <w:rPr>
          <w:rFonts w:ascii="Century Gothic" w:hAnsi="Century Gothic"/>
          <w:b/>
          <w:bCs/>
        </w:rPr>
        <w:t xml:space="preserve">5.8.10. </w:t>
      </w:r>
      <w:r>
        <w:rPr>
          <w:rFonts w:ascii="Century Gothic" w:hAnsi="Century Gothic"/>
        </w:rPr>
        <w:t>Na execução do presente contrato será considerado a repetição de 50 % (cinquenta por cento) do per capta e do valor unitário do serviço. O limite de repetição será fixado em 30% (trinta por cento) por unidade escolar, no entanto para aquelas unidades escolares que seja identificado necessidade maior de repetição, deverá ser atendido conforme solicitação/autorização da diretora da unidade escolar e SECRETARIA MUNICIPAL DE EDUCAÇÃO.</w:t>
      </w:r>
    </w:p>
    <w:p w14:paraId="4BF4B1AA">
      <w:pPr>
        <w:spacing w:before="57" w:after="57" w:line="276" w:lineRule="auto"/>
        <w:ind w:left="397" w:right="113"/>
        <w:jc w:val="both"/>
      </w:pPr>
      <w:r>
        <w:rPr>
          <w:rFonts w:ascii="Century Gothic" w:hAnsi="Century Gothic"/>
          <w:b/>
          <w:bCs/>
        </w:rPr>
        <w:t xml:space="preserve">5.8.11. </w:t>
      </w:r>
      <w:r>
        <w:rPr>
          <w:rFonts w:ascii="Century Gothic" w:hAnsi="Century Gothic"/>
        </w:rPr>
        <w:t>As despesas com transporte, fretes, bem como, qualquer outra relacionada à entrega do produto, é de total responsabilidade da CONTRATADA.</w:t>
      </w:r>
    </w:p>
    <w:p w14:paraId="0550B79B">
      <w:pPr>
        <w:spacing w:before="57" w:after="57" w:line="276" w:lineRule="auto"/>
        <w:ind w:left="397" w:right="113"/>
        <w:jc w:val="both"/>
      </w:pPr>
      <w:r>
        <w:rPr>
          <w:rFonts w:ascii="Century Gothic" w:hAnsi="Century Gothic"/>
          <w:b/>
          <w:bCs/>
        </w:rPr>
        <w:t>5.8.12.</w:t>
      </w:r>
      <w:r>
        <w:rPr>
          <w:rFonts w:ascii="Century Gothic" w:hAnsi="Century Gothic"/>
        </w:rPr>
        <w:t xml:space="preserve"> Os gêneros deverão estar sobrepostos em paletes e/ou em caixa de polietileno higienizadas quando necessário, não sendo permitido o transporte de hortifrútis em caixas de madeira ou papelão, com exceção dos ovos que poderão ser acondicionados em embalagem de papelão e/ou isopor, e/ou polietileno atóxico.</w:t>
      </w:r>
    </w:p>
    <w:p w14:paraId="04A0578E">
      <w:pPr>
        <w:spacing w:before="57" w:after="57" w:line="276" w:lineRule="auto"/>
        <w:ind w:right="113"/>
        <w:jc w:val="both"/>
      </w:pPr>
      <w:r>
        <w:rPr>
          <w:rFonts w:ascii="Century Gothic" w:hAnsi="Century Gothic"/>
          <w:b/>
          <w:bCs/>
        </w:rPr>
        <w:t>5.9. Serviços por horário</w:t>
      </w:r>
    </w:p>
    <w:p w14:paraId="164B9670">
      <w:pPr>
        <w:spacing w:before="57" w:after="57" w:line="276" w:lineRule="auto"/>
        <w:ind w:right="113"/>
        <w:jc w:val="both"/>
      </w:pPr>
      <w:r>
        <w:rPr>
          <w:rFonts w:ascii="Century Gothic" w:hAnsi="Century Gothic"/>
        </w:rPr>
        <w:t>O fornecimento das refeições no âmbito da alimentação escolar será realizado em conformidade com os turnos de funcionamento das unidades educacionais da rede municipal de ensino de Rondonópolis/MT, obedecendo à rotina pedagógica de cada modalidade de ensino e ao tempo de permanência do aluno na escola. Os horários exatos para a oferta das refeições serão estabelecidos pela Secretaria Municipal de Educação, em conjunto com as direções escolares, garantindo a adequação às necessidades nutricionais e ao calendário escolar.</w:t>
      </w:r>
    </w:p>
    <w:p w14:paraId="6CD714D6">
      <w:pPr>
        <w:spacing w:before="57" w:after="57" w:line="276" w:lineRule="auto"/>
        <w:ind w:right="113"/>
        <w:jc w:val="both"/>
      </w:pPr>
      <w:r>
        <w:rPr>
          <w:rFonts w:ascii="Century Gothic" w:hAnsi="Century Gothic"/>
        </w:rPr>
        <w:t>A seguir, apresenta-se a descrição dos serviços alimentares previstos por horário e modalidade de ensino:</w:t>
      </w:r>
    </w:p>
    <w:p w14:paraId="124740E5">
      <w:pPr>
        <w:spacing w:line="276" w:lineRule="auto"/>
        <w:ind w:left="397"/>
        <w:jc w:val="both"/>
      </w:pPr>
      <w:r>
        <w:rPr>
          <w:rFonts w:ascii="Century Gothic" w:hAnsi="Century Gothic"/>
          <w:b/>
          <w:bCs/>
        </w:rPr>
        <w:t>5.9.1. Educação Infantil – Creche (0 a 3 anos)</w:t>
      </w:r>
    </w:p>
    <w:p w14:paraId="52913B13">
      <w:pPr>
        <w:numPr>
          <w:ilvl w:val="0"/>
          <w:numId w:val="7"/>
        </w:numPr>
        <w:spacing w:line="276" w:lineRule="auto"/>
        <w:ind w:left="737" w:right="113" w:hanging="340"/>
        <w:jc w:val="both"/>
      </w:pPr>
      <w:r>
        <w:rPr>
          <w:rFonts w:ascii="Century Gothic" w:hAnsi="Century Gothic"/>
          <w:b/>
          <w:bCs/>
        </w:rPr>
        <w:t>Turno Parcial:</w:t>
      </w:r>
      <w:r>
        <w:rPr>
          <w:rFonts w:ascii="Century Gothic" w:hAnsi="Century Gothic"/>
        </w:rPr>
        <w:t xml:space="preserve"> Os alunos recebem duas refeições por dia, distribuídas entre o </w:t>
      </w:r>
      <w:r>
        <w:rPr>
          <w:rFonts w:ascii="Century Gothic" w:hAnsi="Century Gothic"/>
          <w:b/>
          <w:bCs/>
        </w:rPr>
        <w:t>café da manhã</w:t>
      </w:r>
      <w:r>
        <w:rPr>
          <w:rFonts w:ascii="Century Gothic" w:hAnsi="Century Gothic"/>
        </w:rPr>
        <w:t xml:space="preserve"> </w:t>
      </w:r>
      <w:r>
        <w:rPr>
          <w:rFonts w:ascii="Century Gothic" w:hAnsi="Century Gothic"/>
          <w:b/>
          <w:bCs/>
        </w:rPr>
        <w:t>e almoço</w:t>
      </w:r>
      <w:r>
        <w:rPr>
          <w:rFonts w:ascii="Century Gothic" w:hAnsi="Century Gothic"/>
        </w:rPr>
        <w:t>, conforme cardápio elaborado.</w:t>
      </w:r>
    </w:p>
    <w:p w14:paraId="28943659">
      <w:pPr>
        <w:numPr>
          <w:ilvl w:val="0"/>
          <w:numId w:val="7"/>
        </w:numPr>
        <w:spacing w:line="276" w:lineRule="auto"/>
        <w:ind w:left="737" w:right="170" w:hanging="340"/>
        <w:jc w:val="both"/>
      </w:pPr>
      <w:r>
        <w:rPr>
          <w:rFonts w:ascii="Century Gothic" w:hAnsi="Century Gothic"/>
          <w:b/>
          <w:bCs/>
        </w:rPr>
        <w:t xml:space="preserve">Turno Integral: </w:t>
      </w:r>
      <w:r>
        <w:rPr>
          <w:rFonts w:ascii="Century Gothic" w:hAnsi="Century Gothic"/>
        </w:rPr>
        <w:t xml:space="preserve">Os alunos permanecem na unidade durante período estendido e, por isso, recebem até </w:t>
      </w:r>
      <w:r>
        <w:rPr>
          <w:rFonts w:ascii="Century Gothic" w:hAnsi="Century Gothic"/>
          <w:b/>
          <w:bCs/>
        </w:rPr>
        <w:t>quatro refeições diárias</w:t>
      </w:r>
      <w:r>
        <w:rPr>
          <w:rFonts w:ascii="Century Gothic" w:hAnsi="Century Gothic"/>
        </w:rPr>
        <w:t>, incluindo:</w:t>
      </w:r>
    </w:p>
    <w:p w14:paraId="58F5C421">
      <w:pPr>
        <w:numPr>
          <w:ilvl w:val="1"/>
          <w:numId w:val="7"/>
        </w:numPr>
        <w:spacing w:before="57" w:after="57" w:line="276" w:lineRule="auto"/>
        <w:ind w:left="1417" w:right="113" w:hanging="340"/>
        <w:jc w:val="both"/>
      </w:pPr>
      <w:r>
        <w:rPr>
          <w:rFonts w:ascii="Century Gothic" w:hAnsi="Century Gothic"/>
          <w:b/>
          <w:bCs/>
        </w:rPr>
        <w:t>Café da manhã</w:t>
      </w:r>
      <w:r>
        <w:rPr>
          <w:rFonts w:ascii="Century Gothic" w:hAnsi="Century Gothic"/>
        </w:rPr>
        <w:t>;</w:t>
      </w:r>
    </w:p>
    <w:p w14:paraId="677210FC">
      <w:pPr>
        <w:numPr>
          <w:ilvl w:val="1"/>
          <w:numId w:val="7"/>
        </w:numPr>
        <w:spacing w:before="57" w:after="57" w:line="276" w:lineRule="auto"/>
        <w:ind w:left="1417" w:right="170" w:hanging="340"/>
        <w:jc w:val="both"/>
      </w:pPr>
      <w:r>
        <w:rPr>
          <w:rFonts w:ascii="Century Gothic" w:hAnsi="Century Gothic"/>
          <w:b/>
          <w:bCs/>
        </w:rPr>
        <w:t>Almoço</w:t>
      </w:r>
      <w:r>
        <w:rPr>
          <w:rFonts w:ascii="Century Gothic" w:hAnsi="Century Gothic"/>
        </w:rPr>
        <w:t>;</w:t>
      </w:r>
    </w:p>
    <w:p w14:paraId="1E027C13">
      <w:pPr>
        <w:numPr>
          <w:ilvl w:val="1"/>
          <w:numId w:val="7"/>
        </w:numPr>
        <w:spacing w:before="57" w:after="57" w:line="276" w:lineRule="auto"/>
        <w:jc w:val="both"/>
      </w:pPr>
      <w:r>
        <w:rPr>
          <w:rFonts w:ascii="Century Gothic" w:hAnsi="Century Gothic"/>
          <w:b/>
          <w:bCs/>
        </w:rPr>
        <w:t>Lanche da tarde</w:t>
      </w:r>
      <w:r>
        <w:rPr>
          <w:rFonts w:ascii="Century Gothic" w:hAnsi="Century Gothic"/>
        </w:rPr>
        <w:t>;</w:t>
      </w:r>
    </w:p>
    <w:p w14:paraId="605EA74A">
      <w:pPr>
        <w:numPr>
          <w:ilvl w:val="1"/>
          <w:numId w:val="7"/>
        </w:numPr>
        <w:spacing w:before="57" w:after="57" w:line="276" w:lineRule="auto"/>
        <w:jc w:val="both"/>
      </w:pPr>
      <w:r>
        <w:rPr>
          <w:rFonts w:ascii="Century Gothic" w:hAnsi="Century Gothic"/>
          <w:b/>
          <w:bCs/>
        </w:rPr>
        <w:t>Jantar</w:t>
      </w:r>
    </w:p>
    <w:p w14:paraId="2A44992D">
      <w:pPr>
        <w:spacing w:before="57" w:after="57" w:line="276" w:lineRule="auto"/>
        <w:ind w:left="397" w:right="113"/>
        <w:jc w:val="both"/>
      </w:pPr>
      <w:r>
        <w:rPr>
          <w:rFonts w:ascii="Century Gothic" w:hAnsi="Century Gothic"/>
          <w:b/>
          <w:bCs/>
        </w:rPr>
        <w:t>5.9.2. Educação Infantil – Pré-Escola (4 e 5 anos)</w:t>
      </w:r>
    </w:p>
    <w:p w14:paraId="24B51E47">
      <w:pPr>
        <w:numPr>
          <w:ilvl w:val="0"/>
          <w:numId w:val="7"/>
        </w:numPr>
        <w:spacing w:line="276" w:lineRule="auto"/>
        <w:ind w:left="737" w:right="170" w:hanging="340"/>
        <w:jc w:val="both"/>
      </w:pPr>
      <w:r>
        <w:rPr>
          <w:rFonts w:ascii="Century Gothic" w:hAnsi="Century Gothic"/>
          <w:b/>
          <w:bCs/>
        </w:rPr>
        <w:t>Turno Parcial:</w:t>
      </w:r>
      <w:r>
        <w:rPr>
          <w:rFonts w:ascii="Century Gothic" w:hAnsi="Century Gothic"/>
        </w:rPr>
        <w:t xml:space="preserve"> Prevê-se o fornecimento de uma refeição diária, correspondente ao turno em que o aluno está matriculado. </w:t>
      </w:r>
    </w:p>
    <w:p w14:paraId="535755D8">
      <w:pPr>
        <w:numPr>
          <w:ilvl w:val="0"/>
          <w:numId w:val="7"/>
        </w:numPr>
        <w:spacing w:line="276" w:lineRule="auto"/>
        <w:ind w:left="737" w:right="113" w:hanging="340"/>
        <w:jc w:val="both"/>
      </w:pPr>
      <w:r>
        <w:rPr>
          <w:rFonts w:ascii="Century Gothic" w:hAnsi="Century Gothic"/>
          <w:b/>
          <w:bCs/>
        </w:rPr>
        <w:t xml:space="preserve">Turno Integral: </w:t>
      </w:r>
      <w:r>
        <w:rPr>
          <w:rFonts w:ascii="Century Gothic" w:hAnsi="Century Gothic"/>
        </w:rPr>
        <w:t>Os alunos recebem até quatro refeições por dia, similares à estrutura adotada nas creches integrais:</w:t>
      </w:r>
    </w:p>
    <w:p w14:paraId="58852751">
      <w:pPr>
        <w:numPr>
          <w:ilvl w:val="1"/>
          <w:numId w:val="8"/>
        </w:numPr>
        <w:spacing w:before="57" w:after="57" w:line="276" w:lineRule="auto"/>
        <w:jc w:val="both"/>
      </w:pPr>
      <w:r>
        <w:rPr>
          <w:rFonts w:ascii="Century Gothic" w:hAnsi="Century Gothic"/>
          <w:b/>
          <w:bCs/>
        </w:rPr>
        <w:t>Café da manhã,</w:t>
      </w:r>
    </w:p>
    <w:p w14:paraId="07424531">
      <w:pPr>
        <w:numPr>
          <w:ilvl w:val="1"/>
          <w:numId w:val="8"/>
        </w:numPr>
        <w:spacing w:before="57" w:after="57" w:line="276" w:lineRule="auto"/>
        <w:jc w:val="both"/>
      </w:pPr>
      <w:r>
        <w:rPr>
          <w:rFonts w:ascii="Century Gothic" w:hAnsi="Century Gothic"/>
          <w:b/>
          <w:bCs/>
        </w:rPr>
        <w:t>Almoço,</w:t>
      </w:r>
    </w:p>
    <w:p w14:paraId="14651875">
      <w:pPr>
        <w:numPr>
          <w:ilvl w:val="1"/>
          <w:numId w:val="8"/>
        </w:numPr>
        <w:spacing w:before="57" w:after="57" w:line="276" w:lineRule="auto"/>
        <w:jc w:val="both"/>
      </w:pPr>
      <w:r>
        <w:rPr>
          <w:rFonts w:ascii="Century Gothic" w:hAnsi="Century Gothic"/>
          <w:b/>
          <w:bCs/>
        </w:rPr>
        <w:t>Lanche da tarde,</w:t>
      </w:r>
    </w:p>
    <w:p w14:paraId="05680810">
      <w:pPr>
        <w:numPr>
          <w:ilvl w:val="1"/>
          <w:numId w:val="8"/>
        </w:numPr>
        <w:spacing w:before="57" w:after="57" w:line="276" w:lineRule="auto"/>
        <w:jc w:val="both"/>
      </w:pPr>
      <w:r>
        <w:rPr>
          <w:rFonts w:ascii="Century Gothic" w:hAnsi="Century Gothic"/>
          <w:b/>
          <w:bCs/>
        </w:rPr>
        <w:t>Jantar</w:t>
      </w:r>
    </w:p>
    <w:p w14:paraId="030A1333">
      <w:pPr>
        <w:spacing w:before="57" w:after="57" w:line="276" w:lineRule="auto"/>
        <w:ind w:left="397"/>
        <w:jc w:val="both"/>
      </w:pPr>
      <w:r>
        <w:rPr>
          <w:rFonts w:ascii="Century Gothic" w:hAnsi="Century Gothic"/>
          <w:b/>
          <w:bCs/>
        </w:rPr>
        <w:t>5.9.3. Ensino Fundamental – Anos Iniciais e Finais (1º ao º ano)</w:t>
      </w:r>
    </w:p>
    <w:p w14:paraId="348F46A6">
      <w:pPr>
        <w:numPr>
          <w:ilvl w:val="0"/>
          <w:numId w:val="9"/>
        </w:numPr>
        <w:spacing w:before="57" w:after="57" w:line="276" w:lineRule="auto"/>
        <w:ind w:left="737" w:right="170" w:hanging="340"/>
        <w:jc w:val="both"/>
      </w:pPr>
      <w:r>
        <w:rPr>
          <w:rFonts w:ascii="Century Gothic" w:hAnsi="Century Gothic"/>
          <w:b/>
          <w:bCs/>
        </w:rPr>
        <w:t>Turno Parcial:</w:t>
      </w:r>
      <w:r>
        <w:rPr>
          <w:rFonts w:ascii="Century Gothic" w:hAnsi="Century Gothic"/>
        </w:rPr>
        <w:t xml:space="preserve"> Os estudantes recebem </w:t>
      </w:r>
      <w:r>
        <w:rPr>
          <w:rFonts w:ascii="Century Gothic" w:hAnsi="Century Gothic"/>
          <w:b/>
          <w:bCs/>
        </w:rPr>
        <w:t>uma refeição diária</w:t>
      </w:r>
      <w:r>
        <w:rPr>
          <w:rFonts w:ascii="Century Gothic" w:hAnsi="Century Gothic"/>
        </w:rPr>
        <w:t xml:space="preserve">, que poderá ser servida no </w:t>
      </w:r>
      <w:r>
        <w:rPr>
          <w:rFonts w:ascii="Century Gothic" w:hAnsi="Century Gothic"/>
          <w:b/>
          <w:bCs/>
        </w:rPr>
        <w:t>período da manhã ou da tarde</w:t>
      </w:r>
      <w:r>
        <w:rPr>
          <w:rFonts w:ascii="Century Gothic" w:hAnsi="Century Gothic"/>
        </w:rPr>
        <w:t>, conforme o turno escolar. Essa refeição é planejada para fornecer os nutrientes necessários à permanência em sala de aula</w:t>
      </w:r>
      <w:r>
        <w:t>.</w:t>
      </w:r>
    </w:p>
    <w:p w14:paraId="77960DD8">
      <w:pPr>
        <w:numPr>
          <w:ilvl w:val="0"/>
          <w:numId w:val="9"/>
        </w:numPr>
        <w:spacing w:before="57" w:after="57" w:line="276" w:lineRule="auto"/>
        <w:ind w:left="737" w:right="170" w:hanging="340"/>
        <w:jc w:val="both"/>
      </w:pPr>
      <w:r>
        <w:rPr>
          <w:rFonts w:ascii="Century Gothic" w:hAnsi="Century Gothic"/>
          <w:b/>
          <w:bCs/>
        </w:rPr>
        <w:t>Turno Integral:</w:t>
      </w:r>
      <w:r>
        <w:rPr>
          <w:rFonts w:ascii="Century Gothic" w:hAnsi="Century Gothic"/>
        </w:rPr>
        <w:t xml:space="preserve"> Para as unidades que operam com jornada ampliada, os alunos recebem </w:t>
      </w:r>
      <w:r>
        <w:rPr>
          <w:rFonts w:ascii="Century Gothic" w:hAnsi="Century Gothic"/>
          <w:b/>
          <w:bCs/>
        </w:rPr>
        <w:t>quatro refeições por dia:</w:t>
      </w:r>
    </w:p>
    <w:p w14:paraId="529E0982">
      <w:pPr>
        <w:numPr>
          <w:ilvl w:val="1"/>
          <w:numId w:val="9"/>
        </w:numPr>
        <w:spacing w:before="57" w:after="57" w:line="276" w:lineRule="auto"/>
        <w:jc w:val="both"/>
      </w:pPr>
      <w:r>
        <w:rPr>
          <w:rFonts w:ascii="Century Gothic" w:hAnsi="Century Gothic"/>
        </w:rPr>
        <w:t>Café da manhã,</w:t>
      </w:r>
    </w:p>
    <w:p w14:paraId="13DFABC0">
      <w:pPr>
        <w:numPr>
          <w:ilvl w:val="1"/>
          <w:numId w:val="9"/>
        </w:numPr>
        <w:spacing w:before="57" w:after="57" w:line="276" w:lineRule="auto"/>
        <w:jc w:val="both"/>
      </w:pPr>
      <w:r>
        <w:rPr>
          <w:rFonts w:ascii="Century Gothic" w:hAnsi="Century Gothic"/>
        </w:rPr>
        <w:t>Almoço, com cardápio balanceado incluindo arroz, feijão, carne, vegetais e frutas;</w:t>
      </w:r>
    </w:p>
    <w:p w14:paraId="06CCB155">
      <w:pPr>
        <w:numPr>
          <w:ilvl w:val="1"/>
          <w:numId w:val="9"/>
        </w:numPr>
        <w:spacing w:before="57" w:after="57" w:line="276" w:lineRule="auto"/>
        <w:jc w:val="both"/>
      </w:pPr>
      <w:r>
        <w:rPr>
          <w:rFonts w:ascii="Century Gothic" w:hAnsi="Century Gothic"/>
        </w:rPr>
        <w:t>Lanche da tarde, com alimentos leves e nutritivos;</w:t>
      </w:r>
    </w:p>
    <w:p w14:paraId="75BBAF6A">
      <w:pPr>
        <w:numPr>
          <w:ilvl w:val="1"/>
          <w:numId w:val="9"/>
        </w:numPr>
        <w:spacing w:before="57" w:after="57" w:line="276" w:lineRule="auto"/>
        <w:jc w:val="both"/>
      </w:pPr>
      <w:r>
        <w:rPr>
          <w:rFonts w:ascii="Century Gothic" w:hAnsi="Century Gothic"/>
        </w:rPr>
        <w:t>Jantar, quando aplicável, com variação do cardápio principal.</w:t>
      </w:r>
    </w:p>
    <w:p w14:paraId="3C4575C9">
      <w:pPr>
        <w:spacing w:before="57" w:after="57" w:line="276" w:lineRule="auto"/>
        <w:ind w:left="397"/>
        <w:jc w:val="both"/>
      </w:pPr>
      <w:r>
        <w:rPr>
          <w:rFonts w:ascii="Century Gothic" w:hAnsi="Century Gothic"/>
          <w:b/>
          <w:bCs/>
        </w:rPr>
        <w:t xml:space="preserve">5.9.4. </w:t>
      </w:r>
      <w:r>
        <w:rPr>
          <w:rFonts w:ascii="Century Gothic" w:hAnsi="Century Gothic"/>
          <w:b/>
          <w:bCs/>
          <w:color w:val="000000"/>
        </w:rPr>
        <w:t>Atendimento Educacional Especializado (AEE)</w:t>
      </w:r>
    </w:p>
    <w:p w14:paraId="4FC478A9">
      <w:pPr>
        <w:numPr>
          <w:ilvl w:val="0"/>
          <w:numId w:val="10"/>
        </w:numPr>
        <w:spacing w:before="57" w:after="57" w:line="276" w:lineRule="auto"/>
        <w:ind w:left="397" w:right="170" w:hanging="340"/>
        <w:jc w:val="both"/>
      </w:pPr>
      <w:r>
        <w:rPr>
          <w:rFonts w:ascii="Century Gothic" w:hAnsi="Century Gothic"/>
          <w:b/>
          <w:bCs/>
        </w:rPr>
        <w:t>Para alunos da Educação Infantil (Creche):</w:t>
      </w:r>
      <w:r>
        <w:rPr>
          <w:rFonts w:ascii="Century Gothic" w:hAnsi="Century Gothic"/>
        </w:rPr>
        <w:t xml:space="preserve"> São servidas </w:t>
      </w:r>
      <w:r>
        <w:rPr>
          <w:rFonts w:ascii="Century Gothic" w:hAnsi="Century Gothic"/>
          <w:b/>
          <w:bCs/>
        </w:rPr>
        <w:t>duas refeições por dia</w:t>
      </w:r>
      <w:r>
        <w:rPr>
          <w:rFonts w:ascii="Century Gothic" w:hAnsi="Century Gothic"/>
        </w:rPr>
        <w:t>, sendo um durante o turno que o aluno estuda e a outra no turno em que ele recebe atendimento educacional especializado.</w:t>
      </w:r>
    </w:p>
    <w:p w14:paraId="3F55C0AA">
      <w:pPr>
        <w:numPr>
          <w:ilvl w:val="0"/>
          <w:numId w:val="10"/>
        </w:numPr>
        <w:spacing w:before="57" w:after="57" w:line="276" w:lineRule="auto"/>
        <w:ind w:left="397" w:right="170" w:hanging="340"/>
        <w:jc w:val="both"/>
      </w:pPr>
      <w:r>
        <w:rPr>
          <w:rFonts w:ascii="Century Gothic" w:hAnsi="Century Gothic"/>
          <w:b/>
          <w:bCs/>
        </w:rPr>
        <w:t>Para alunos da Pré-Escola e do Ensino Fundamental:</w:t>
      </w:r>
      <w:r>
        <w:rPr>
          <w:rFonts w:ascii="Century Gothic" w:hAnsi="Century Gothic"/>
        </w:rPr>
        <w:t xml:space="preserve"> São servidas </w:t>
      </w:r>
      <w:r>
        <w:rPr>
          <w:rFonts w:ascii="Century Gothic" w:hAnsi="Century Gothic"/>
          <w:b/>
          <w:bCs/>
        </w:rPr>
        <w:t>duas refeições por dia</w:t>
      </w:r>
      <w:r>
        <w:rPr>
          <w:rFonts w:ascii="Century Gothic" w:hAnsi="Century Gothic"/>
        </w:rPr>
        <w:t>, sendo um durante o turno que o aluno estuda e a outra no turno em que ele recebe atendimento educacional especializado.</w:t>
      </w:r>
    </w:p>
    <w:p w14:paraId="57CD085B">
      <w:pPr>
        <w:spacing w:before="57" w:after="57" w:line="276" w:lineRule="auto"/>
        <w:ind w:left="397" w:right="170"/>
        <w:jc w:val="both"/>
      </w:pPr>
      <w:r>
        <w:rPr>
          <w:rFonts w:ascii="Century Gothic" w:hAnsi="Century Gothic"/>
          <w:b/>
          <w:bCs/>
          <w:color w:val="000000"/>
        </w:rPr>
        <w:t>5.9.5. Educação de Jovens e Adultos (EJA)</w:t>
      </w:r>
    </w:p>
    <w:p w14:paraId="6FC679A6">
      <w:pPr>
        <w:numPr>
          <w:ilvl w:val="0"/>
          <w:numId w:val="11"/>
        </w:numPr>
        <w:spacing w:line="276" w:lineRule="auto"/>
        <w:ind w:left="340" w:right="170" w:hanging="340"/>
        <w:jc w:val="both"/>
      </w:pPr>
      <w:r>
        <w:rPr>
          <w:rFonts w:ascii="Century Gothic" w:hAnsi="Century Gothic"/>
          <w:b/>
          <w:bCs/>
        </w:rPr>
        <w:t>Os alunos da modalidade EJA, atendidos no período noturno, recebem uma refeição por dia, correspondente ao jantar</w:t>
      </w:r>
    </w:p>
    <w:p w14:paraId="2C35D968">
      <w:pPr>
        <w:spacing w:line="276" w:lineRule="auto"/>
        <w:ind w:left="340" w:right="170"/>
        <w:jc w:val="both"/>
      </w:pPr>
      <w:r>
        <w:rPr>
          <w:rFonts w:ascii="Century Gothic" w:hAnsi="Century Gothic"/>
          <w:b/>
          <w:bCs/>
        </w:rPr>
        <w:t xml:space="preserve">5.9.6. </w:t>
      </w:r>
      <w:r>
        <w:rPr>
          <w:rFonts w:ascii="Century Gothic" w:hAnsi="Century Gothic"/>
        </w:rPr>
        <w:t>A definição dos horários de cada refeição será formalizada no plano operacional da contratada, conforme diretrizes da equipe técnica da Secretaria Municipal de Educação, respeitando os critérios de higiene, conservação dos alimentos, intervalo entre refeições e preferências alimentares estabelecidas nos cardápios elaborados por nutricionista habilitado.</w:t>
      </w:r>
    </w:p>
    <w:p w14:paraId="28E22740">
      <w:pPr>
        <w:spacing w:before="57" w:after="57" w:line="276" w:lineRule="auto"/>
        <w:ind w:left="340" w:right="170"/>
        <w:jc w:val="both"/>
      </w:pPr>
      <w:r>
        <w:rPr>
          <w:rFonts w:ascii="Century Gothic" w:hAnsi="Century Gothic"/>
          <w:b/>
          <w:bCs/>
        </w:rPr>
        <w:t>5.9.7.</w:t>
      </w:r>
      <w:r>
        <w:rPr>
          <w:rFonts w:ascii="Century Gothic" w:hAnsi="Century Gothic"/>
        </w:rPr>
        <w:t xml:space="preserve"> Substituições serão feitas para atender alunos com restrições alimentares (diabéticos, intolerantes à lactose, celíacos, entre outros).</w:t>
      </w:r>
    </w:p>
    <w:p w14:paraId="07088C22">
      <w:pPr>
        <w:spacing w:before="57" w:after="57" w:line="276" w:lineRule="auto"/>
        <w:ind w:left="340" w:right="170"/>
        <w:jc w:val="both"/>
      </w:pPr>
      <w:r>
        <w:rPr>
          <w:rFonts w:ascii="Century Gothic" w:hAnsi="Century Gothic"/>
          <w:b/>
          <w:bCs/>
        </w:rPr>
        <w:t xml:space="preserve">5.9.8. </w:t>
      </w:r>
      <w:r>
        <w:rPr>
          <w:rFonts w:ascii="Century Gothic" w:hAnsi="Century Gothic"/>
        </w:rPr>
        <w:t>As refeições serão balanceadas e supervisionadas por nutricionistas, garantindo a adequação calórica e nutricional para cada faixa etária.</w:t>
      </w:r>
    </w:p>
    <w:p w14:paraId="6DF4AB92">
      <w:pPr>
        <w:spacing w:before="57" w:after="57" w:line="276" w:lineRule="auto"/>
        <w:ind w:left="340" w:right="170"/>
        <w:jc w:val="both"/>
      </w:pPr>
      <w:r>
        <w:rPr>
          <w:rFonts w:ascii="Century Gothic" w:hAnsi="Century Gothic"/>
          <w:b/>
          <w:bCs/>
        </w:rPr>
        <w:t>5.9.9.</w:t>
      </w:r>
      <w:r>
        <w:rPr>
          <w:rFonts w:ascii="Century Gothic" w:hAnsi="Century Gothic"/>
        </w:rPr>
        <w:t xml:space="preserve"> Prioridade ao uso de produtos naturais e minimamente processados, evitando ultraprocessados e excesso de açúcares e sódio.</w:t>
      </w:r>
    </w:p>
    <w:p w14:paraId="5E66FB38">
      <w:pPr>
        <w:spacing w:before="57" w:after="57" w:line="276" w:lineRule="auto"/>
        <w:ind w:left="340" w:right="170"/>
        <w:jc w:val="both"/>
      </w:pPr>
      <w:r>
        <w:rPr>
          <w:rFonts w:ascii="Century Gothic" w:hAnsi="Century Gothic"/>
          <w:b/>
          <w:bCs/>
        </w:rPr>
        <w:t>5.9.10.</w:t>
      </w:r>
      <w:r>
        <w:rPr>
          <w:rFonts w:ascii="Century Gothic" w:hAnsi="Century Gothic"/>
        </w:rPr>
        <w:t xml:space="preserve"> Incentivo à agricultura familiar, respeitando a exigência mínima de 30% de insumos provenientes deste setor.</w:t>
      </w:r>
    </w:p>
    <w:p w14:paraId="2FC084DD">
      <w:pPr>
        <w:spacing w:before="57" w:after="57" w:line="276" w:lineRule="auto"/>
        <w:ind w:left="340" w:right="170"/>
        <w:jc w:val="both"/>
      </w:pPr>
      <w:r>
        <w:rPr>
          <w:rFonts w:ascii="Century Gothic" w:hAnsi="Century Gothic"/>
          <w:b/>
          <w:bCs/>
        </w:rPr>
        <w:t xml:space="preserve">5.9.11. </w:t>
      </w:r>
      <w:r>
        <w:rPr>
          <w:rFonts w:ascii="Century Gothic" w:hAnsi="Century Gothic"/>
        </w:rPr>
        <w:t>A distribuição deverá ocorrer nas unidades educacionais, nos horários especificados ou conforme acordado com a direção da unidade educacional, de segunda a sexta feira, obedecendo aos dias calendários do ano letivo. Em caso de suspensão das atividades com os educandos, não prevista nos calendários, a CONTRATADA será comunicada com 48 (quarenta e oito) horas de antecedência.</w:t>
      </w:r>
    </w:p>
    <w:p w14:paraId="07B5CCE2">
      <w:pPr>
        <w:spacing w:before="57" w:after="57" w:line="276" w:lineRule="auto"/>
        <w:ind w:left="340" w:right="170"/>
        <w:jc w:val="both"/>
      </w:pPr>
      <w:r>
        <w:rPr>
          <w:rFonts w:ascii="Century Gothic" w:hAnsi="Century Gothic"/>
          <w:b/>
          <w:bCs/>
        </w:rPr>
        <w:t xml:space="preserve">5.9.12. </w:t>
      </w:r>
      <w:r>
        <w:rPr>
          <w:rFonts w:ascii="Century Gothic" w:hAnsi="Century Gothic"/>
        </w:rPr>
        <w:t>Para os serviços, nos CMEI/CEI, que atendem crianças de 4 (quatro) a 12 meses, o horário poderá ser flexível conforme solicitação da diretora e aprovação da SECRETARIA MUNICIPAL DE EDUCAÇÃO.</w:t>
      </w:r>
    </w:p>
    <w:p w14:paraId="6481AF39">
      <w:pPr>
        <w:spacing w:before="57" w:after="57" w:line="276" w:lineRule="auto"/>
        <w:ind w:left="340" w:right="170"/>
        <w:jc w:val="both"/>
      </w:pPr>
      <w:r>
        <w:rPr>
          <w:rFonts w:ascii="Century Gothic" w:hAnsi="Century Gothic"/>
          <w:b/>
          <w:bCs/>
        </w:rPr>
        <w:t xml:space="preserve">5.9.13. </w:t>
      </w:r>
      <w:r>
        <w:rPr>
          <w:rFonts w:ascii="Century Gothic" w:hAnsi="Century Gothic"/>
        </w:rPr>
        <w:t>A SECRETARIA MUNICIPAL DE EDUCAÇÃO juntamente com a direção das Unidades Educacionais, poderá acompanhar a qualquer tempo a produção e distribuição dos gêneros alimentícios utilizados na prática dos cardápios.</w:t>
      </w:r>
    </w:p>
    <w:p w14:paraId="5E2C1597">
      <w:pPr>
        <w:spacing w:before="57" w:after="57" w:line="276" w:lineRule="auto"/>
        <w:ind w:left="340" w:right="170"/>
        <w:jc w:val="both"/>
      </w:pPr>
      <w:r>
        <w:rPr>
          <w:rFonts w:ascii="Century Gothic" w:hAnsi="Century Gothic"/>
          <w:b/>
          <w:bCs/>
        </w:rPr>
        <w:t xml:space="preserve">5.9.14. </w:t>
      </w:r>
      <w:r>
        <w:rPr>
          <w:rFonts w:ascii="Century Gothic" w:hAnsi="Century Gothic"/>
        </w:rPr>
        <w:t>Em qualquer tempo, com aviso à CONTRATADA de no mínimo 30 (trinta) dias de antecedência, poderão ser incluídas ou excluídas Unidades Educacionais, observado o disposto na Lei n° 14.133/21.</w:t>
      </w:r>
    </w:p>
    <w:p w14:paraId="5C4533AC">
      <w:pPr>
        <w:spacing w:line="276" w:lineRule="auto"/>
        <w:ind w:right="170"/>
        <w:jc w:val="both"/>
      </w:pPr>
      <w:r>
        <w:rPr>
          <w:rFonts w:ascii="Century Gothic" w:hAnsi="Century Gothic"/>
          <w:b/>
          <w:bCs/>
        </w:rPr>
        <w:t>5.10. Cardápios</w:t>
      </w:r>
    </w:p>
    <w:p w14:paraId="65DC23F3">
      <w:pPr>
        <w:spacing w:line="276" w:lineRule="auto"/>
        <w:ind w:left="340" w:right="170"/>
        <w:jc w:val="both"/>
      </w:pPr>
      <w:r>
        <w:rPr>
          <w:rFonts w:ascii="Century Gothic" w:hAnsi="Century Gothic"/>
          <w:b/>
          <w:bCs/>
        </w:rPr>
        <w:t xml:space="preserve">5.10.1. </w:t>
      </w:r>
      <w:r>
        <w:rPr>
          <w:rFonts w:ascii="Century Gothic" w:hAnsi="Century Gothic"/>
        </w:rPr>
        <w:t>Os cardápios serão elaborados por nutricionista habilitado da SECRETARIA MUNICIPAL DE EDUCAÇÃO, atendendo as determinações estabelecidas nas diretrizes nutricionais do Programa Nacional de Alimentação Escolar (PNAE), conforme Resolução Nº 06 de 08 de maio de 2020, alterações na Resolução CD/FNDE Nº 20 de 02/12/2020; de Lei Nº 11.947 de junho 2009, Portaria Interministerial N º1.010, de 08 de maio de 2006, e de acordo com os critérios estabelecidos pela Secretaria Municipal de Educação, conforme cardápios referenciados constantes no TR. Todos os cardápios deverão estar devidamente assinados e aprovados pelas Partes, com 30 (trinta) dias antes do início da execução.</w:t>
      </w:r>
    </w:p>
    <w:p w14:paraId="495C12A5">
      <w:pPr>
        <w:spacing w:before="57" w:after="57" w:line="276" w:lineRule="auto"/>
        <w:ind w:left="340" w:right="170"/>
        <w:jc w:val="both"/>
      </w:pPr>
      <w:r>
        <w:rPr>
          <w:rFonts w:ascii="Century Gothic" w:hAnsi="Century Gothic"/>
          <w:b/>
          <w:bCs/>
        </w:rPr>
        <w:t>5.10.2.</w:t>
      </w:r>
      <w:r>
        <w:rPr>
          <w:rFonts w:ascii="Century Gothic" w:hAnsi="Century Gothic"/>
        </w:rPr>
        <w:t xml:space="preserve"> A SECRETARIA MUNICIPAL DE EDUCAÇÃO, disponibilizará os cardápios para verificação e análise da contratada, e em caso de identificação de dificuldade operacional, ou indisponibilidade de produtos específicos, a mesma poderá indicar as possíveis substituições similares para análise das nutricionistas da SECRETARIA, sem prejuízo nutricional aos alunos atendidos.</w:t>
      </w:r>
    </w:p>
    <w:p w14:paraId="6C4416F6">
      <w:pPr>
        <w:spacing w:before="57" w:after="57" w:line="276" w:lineRule="auto"/>
        <w:ind w:left="340" w:right="170"/>
        <w:jc w:val="both"/>
      </w:pPr>
      <w:r>
        <w:rPr>
          <w:rFonts w:ascii="Century Gothic" w:hAnsi="Century Gothic"/>
          <w:b/>
          <w:bCs/>
        </w:rPr>
        <w:t>5.10.3.</w:t>
      </w:r>
      <w:r>
        <w:rPr>
          <w:rFonts w:ascii="Century Gothic" w:hAnsi="Century Gothic"/>
        </w:rPr>
        <w:t xml:space="preserve"> A empresa contratada obriga-se a atender em quantitativo de cardápios, tendo como base mínima o balanceamento protéico-calórico e as especificações de cardápio, de acordo com a RESOLUÇÃO/CD/FNDE Nº 06 de 08/05/2020.</w:t>
      </w:r>
    </w:p>
    <w:p w14:paraId="0B31BF1A">
      <w:pPr>
        <w:spacing w:before="57" w:after="57" w:line="276" w:lineRule="auto"/>
        <w:ind w:left="340" w:right="170"/>
        <w:jc w:val="both"/>
      </w:pPr>
      <w:r>
        <w:rPr>
          <w:rFonts w:ascii="Century Gothic" w:hAnsi="Century Gothic"/>
          <w:b/>
          <w:bCs/>
        </w:rPr>
        <w:t>5.10.4.</w:t>
      </w:r>
      <w:r>
        <w:rPr>
          <w:rFonts w:ascii="Century Gothic" w:hAnsi="Century Gothic"/>
        </w:rPr>
        <w:t xml:space="preserve"> Haverá o fornecimento cardápios ou produtos específicos para alunos portadores de Necessidades Alimentares Especiais, mediante laudo médico, de acordo com a necessidade de cada Unidade de Ensino, sem custo financeiro maior que os cardápios estipulados para os demais escolares. Os cardápios com alimentação especial serão elaborados por nutricionista da SECRETARIA MUNICIPAL DE EDUCAÇÃO e deverão, sempre que possível, ficar o mais próximo das refeições solicitadas a todos os escolares.</w:t>
      </w:r>
    </w:p>
    <w:p w14:paraId="0E7CF2EF">
      <w:pPr>
        <w:spacing w:before="57" w:after="57" w:line="276" w:lineRule="auto"/>
        <w:ind w:left="340" w:right="170"/>
        <w:jc w:val="both"/>
      </w:pPr>
      <w:r>
        <w:rPr>
          <w:rFonts w:ascii="Century Gothic" w:hAnsi="Century Gothic"/>
          <w:b/>
          <w:bCs/>
        </w:rPr>
        <w:t xml:space="preserve">5.10.5. </w:t>
      </w:r>
      <w:r>
        <w:rPr>
          <w:rFonts w:ascii="Century Gothic" w:hAnsi="Century Gothic"/>
        </w:rPr>
        <w:t>A CONTRATANTE poderá solicitar cardápios diferenciados para datas comemorativas e demais projetos e eventos desenvolvidos pela SECRETARIA MUNICIPAL DE EDUCAÇÃO como: páscoa, dia da criança, festa junina, dia mundial da Alimentação, entre outros, sem ônus para a contratante e com custos semelhantes aos cardápios praticados.</w:t>
      </w:r>
    </w:p>
    <w:p w14:paraId="6A806DEC">
      <w:pPr>
        <w:spacing w:before="57" w:after="57" w:line="276" w:lineRule="auto"/>
        <w:ind w:left="340" w:right="170"/>
        <w:jc w:val="both"/>
      </w:pPr>
      <w:r>
        <w:rPr>
          <w:rFonts w:ascii="Century Gothic" w:hAnsi="Century Gothic"/>
          <w:b/>
          <w:bCs/>
        </w:rPr>
        <w:t xml:space="preserve">5.10.6. </w:t>
      </w:r>
      <w:r>
        <w:rPr>
          <w:rFonts w:ascii="Century Gothic" w:hAnsi="Century Gothic"/>
        </w:rPr>
        <w:t>Na última sexta-feira de cada mês, nas Escolas (EMEFs) e CMEI/CEI (para maiores de 3 anos) no cardápio do dia, deverá ser servido bolo simples (cenoura, laranja), sanduíche (pão com ovo/frango) e suco natural, para comemoração dos aniversariantes do mês, sem custo financeiro maior que os cardápios normalmente praticados.</w:t>
      </w:r>
    </w:p>
    <w:p w14:paraId="5C05F24A">
      <w:pPr>
        <w:spacing w:before="57" w:after="57" w:line="276" w:lineRule="auto"/>
        <w:ind w:left="340" w:right="170"/>
        <w:jc w:val="both"/>
      </w:pPr>
      <w:r>
        <w:rPr>
          <w:rFonts w:ascii="Century Gothic" w:hAnsi="Century Gothic"/>
          <w:b/>
          <w:bCs/>
        </w:rPr>
        <w:t xml:space="preserve">5.10.7. </w:t>
      </w:r>
      <w:r>
        <w:rPr>
          <w:rFonts w:ascii="Century Gothic" w:hAnsi="Century Gothic"/>
        </w:rPr>
        <w:t>A composição do cardápio será estabelecida e cumprida pela (s) empresas (s) contratada(s), e seguirá os parâmetros indicados no Termo de Referência.</w:t>
      </w:r>
    </w:p>
    <w:p w14:paraId="6B2CEEE0">
      <w:pPr>
        <w:spacing w:before="57" w:after="57" w:line="276" w:lineRule="auto"/>
        <w:ind w:left="340" w:right="170"/>
        <w:jc w:val="both"/>
      </w:pPr>
      <w:r>
        <w:rPr>
          <w:rFonts w:ascii="Century Gothic" w:hAnsi="Century Gothic"/>
          <w:b/>
          <w:bCs/>
        </w:rPr>
        <w:t xml:space="preserve">5.10.8. </w:t>
      </w:r>
      <w:r>
        <w:rPr>
          <w:rFonts w:ascii="Century Gothic" w:hAnsi="Century Gothic"/>
        </w:rPr>
        <w:t>As merendas que compõem os vários cardápios serão oferecidas a todos os educandos das respectivas unidades educacionais municipais e filantrópicas.</w:t>
      </w:r>
    </w:p>
    <w:p w14:paraId="35D4FA17">
      <w:pPr>
        <w:spacing w:before="57" w:after="57" w:line="276" w:lineRule="auto"/>
        <w:ind w:left="340" w:right="170"/>
        <w:jc w:val="both"/>
      </w:pPr>
      <w:r>
        <w:rPr>
          <w:rFonts w:ascii="Century Gothic" w:hAnsi="Century Gothic"/>
          <w:b/>
          <w:bCs/>
        </w:rPr>
        <w:t xml:space="preserve">5.10.9. </w:t>
      </w:r>
      <w:r>
        <w:rPr>
          <w:rFonts w:ascii="Century Gothic" w:hAnsi="Century Gothic"/>
        </w:rPr>
        <w:t>A SECRETARIA MUNICIPAL DE EDUCAÇÃO poderá solicitar teste de Aceitabilidade dos cardápios praticados com acompanhamento da equipe da Secretaria de Educação e Ensino Integral sempre que necessário.</w:t>
      </w:r>
    </w:p>
    <w:p w14:paraId="468B21CA">
      <w:pPr>
        <w:spacing w:before="57" w:after="57" w:line="276" w:lineRule="auto"/>
        <w:ind w:left="340" w:right="170"/>
        <w:jc w:val="both"/>
      </w:pPr>
      <w:r>
        <w:rPr>
          <w:rFonts w:ascii="Century Gothic" w:hAnsi="Century Gothic"/>
          <w:b/>
          <w:bCs/>
        </w:rPr>
        <w:t xml:space="preserve">5.10.10. </w:t>
      </w:r>
      <w:r>
        <w:rPr>
          <w:rFonts w:ascii="Century Gothic" w:hAnsi="Century Gothic"/>
        </w:rPr>
        <w:t>O preparo deve ser realizado sempre de acordo com o cardápio, utilizando-se como referência a per capta contratual para períodos específicos e de acordo com o consumo de cada unidade educacional. Para tanto, deve ser estabelecido um receituário padrão que deverá ser seguido como referência.</w:t>
      </w:r>
    </w:p>
    <w:p w14:paraId="629C2FA0">
      <w:pPr>
        <w:spacing w:before="57" w:after="57" w:line="276" w:lineRule="auto"/>
        <w:ind w:left="340" w:right="170"/>
        <w:jc w:val="both"/>
      </w:pPr>
      <w:r>
        <w:rPr>
          <w:rFonts w:ascii="Century Gothic" w:hAnsi="Century Gothic"/>
          <w:b/>
          <w:bCs/>
        </w:rPr>
        <w:t xml:space="preserve">5.10.11. </w:t>
      </w:r>
      <w:r>
        <w:rPr>
          <w:rFonts w:ascii="Century Gothic" w:hAnsi="Century Gothic"/>
        </w:rPr>
        <w:t>A empresa CONTRATADA deverá elaborar “Receituário Padrão” contendo as fichas técnicas de todas as preparações que constam dos cardápios oferecidos na alimentação escolar. Esse receituário deverá ser confeccionado com base no per capta do TR, que faz referência à composição do cardápio padrão, com a seguinte composição: ingredientes, percapitas por aluno, rendimento, descrição da receita e informação nutricional.</w:t>
      </w:r>
    </w:p>
    <w:p w14:paraId="1CDC06E3">
      <w:pPr>
        <w:spacing w:before="57" w:after="57" w:line="276" w:lineRule="auto"/>
        <w:ind w:left="340" w:right="170"/>
        <w:jc w:val="both"/>
      </w:pPr>
      <w:r>
        <w:rPr>
          <w:rFonts w:ascii="Century Gothic" w:hAnsi="Century Gothic"/>
          <w:b/>
          <w:bCs/>
        </w:rPr>
        <w:t xml:space="preserve">5.10.12. </w:t>
      </w:r>
      <w:r>
        <w:rPr>
          <w:rFonts w:ascii="Century Gothic" w:hAnsi="Century Gothic"/>
        </w:rPr>
        <w:t>Considerando a Lei Federal nº 11.947, de 16 de junho de 2009, ressaltando-se o artigo 14, e Resolução /CD/FNDE nº 06 de 08/05/2020 que dispõe sobre o atendimento da Alimentação Escolar, a Prefeitura Municipal de Rondonópolis/MT fica obrigada a adquirir gêneros alimentícios da agricultura familiar e do empreendedor familiar rural, ou de suas organizações, no valor mínimo de 30% do total dos recursos provenientes do PNAE/ FNDE.</w:t>
      </w:r>
    </w:p>
    <w:p w14:paraId="4000EC4F">
      <w:pPr>
        <w:spacing w:before="57" w:after="57" w:line="276" w:lineRule="auto"/>
        <w:ind w:left="340" w:right="170"/>
        <w:jc w:val="both"/>
      </w:pPr>
      <w:r>
        <w:rPr>
          <w:rFonts w:ascii="Century Gothic" w:hAnsi="Century Gothic"/>
          <w:b/>
          <w:bCs/>
        </w:rPr>
        <w:t>5.10.13.</w:t>
      </w:r>
      <w:r>
        <w:rPr>
          <w:rFonts w:ascii="Century Gothic" w:hAnsi="Century Gothic"/>
        </w:rPr>
        <w:t xml:space="preserve"> A CONTRATANTE através dos produtores/cooperativas efetuará a entrega dos produtos diretamente nos locais de consumo, onde a conferência será realizada pela Direção da Unidade Educacional juntamente com um representante da Empresa Contratada.</w:t>
      </w:r>
    </w:p>
    <w:p w14:paraId="7E76753A">
      <w:pPr>
        <w:spacing w:before="57" w:after="57" w:line="276" w:lineRule="auto"/>
        <w:ind w:left="340" w:right="170"/>
        <w:jc w:val="both"/>
        <w:rPr>
          <w:rFonts w:ascii="Century Gothic" w:hAnsi="Century Gothic"/>
        </w:rPr>
      </w:pPr>
      <w:r>
        <w:rPr>
          <w:rFonts w:ascii="Century Gothic" w:hAnsi="Century Gothic"/>
          <w:b/>
          <w:bCs/>
        </w:rPr>
        <w:t xml:space="preserve">5.10.14. </w:t>
      </w:r>
      <w:r>
        <w:rPr>
          <w:rFonts w:ascii="Century Gothic" w:hAnsi="Century Gothic"/>
        </w:rPr>
        <w:t>A manufatura dos produtos oriundos da Agricultura Familiar deverá ser realizada pelos profissionais da Empresa Contratada e realizado o servimento aos alunos como um item adicional ao cardápio.</w:t>
      </w:r>
    </w:p>
    <w:p w14:paraId="217C2CCE">
      <w:pPr>
        <w:spacing w:before="57" w:after="57" w:line="276" w:lineRule="auto"/>
        <w:ind w:left="340" w:right="170"/>
        <w:jc w:val="both"/>
        <w:rPr>
          <w:rFonts w:ascii="Century Gothic" w:hAnsi="Century Gothic"/>
        </w:rPr>
      </w:pPr>
      <w:r>
        <w:rPr>
          <w:rFonts w:ascii="Century Gothic" w:hAnsi="Century Gothic"/>
          <w:b/>
          <w:bCs/>
        </w:rPr>
        <w:t xml:space="preserve">5.10.15. </w:t>
      </w:r>
      <w:r>
        <w:rPr>
          <w:rFonts w:ascii="Century Gothic" w:hAnsi="Century Gothic"/>
        </w:rPr>
        <w:t>A quantidade de gêneros fornecida pela agricultura familiar será descontada integralmente da CONTRATADA com base nos preços homologados na chamada pública realizada pela Secretaria Municipal de Educação para compra dos produtos.</w:t>
      </w:r>
    </w:p>
    <w:p w14:paraId="33CFA2B1">
      <w:pPr>
        <w:spacing w:before="57" w:after="57" w:line="276" w:lineRule="auto"/>
        <w:ind w:right="170"/>
        <w:jc w:val="both"/>
        <w:rPr>
          <w:rFonts w:ascii="Century Gothic" w:hAnsi="Century Gothic"/>
          <w:b/>
          <w:bCs/>
        </w:rPr>
      </w:pPr>
    </w:p>
    <w:p w14:paraId="3FA1418F">
      <w:pPr>
        <w:spacing w:before="57" w:after="57" w:line="276" w:lineRule="auto"/>
        <w:ind w:right="170"/>
        <w:jc w:val="both"/>
      </w:pPr>
      <w:r>
        <w:rPr>
          <w:rFonts w:ascii="Century Gothic" w:hAnsi="Century Gothic"/>
          <w:b/>
          <w:bCs/>
        </w:rPr>
        <w:t>5.11. Mão de Obra</w:t>
      </w:r>
    </w:p>
    <w:p w14:paraId="285CDBF3">
      <w:pPr>
        <w:spacing w:before="57" w:after="57" w:line="276" w:lineRule="auto"/>
        <w:ind w:left="340" w:right="170"/>
        <w:jc w:val="both"/>
      </w:pPr>
      <w:r>
        <w:rPr>
          <w:rFonts w:ascii="Century Gothic" w:hAnsi="Century Gothic"/>
          <w:b/>
          <w:bCs/>
        </w:rPr>
        <w:t xml:space="preserve">5.11.1. </w:t>
      </w:r>
      <w:r>
        <w:rPr>
          <w:rFonts w:ascii="Century Gothic" w:hAnsi="Century Gothic"/>
        </w:rPr>
        <w:t>A CONTRATADA deverá executar os serviços com supervisão de nutricionistas e coordenador geral, observando as condições de higiene e segurança no preparo dos alimentos.</w:t>
      </w:r>
    </w:p>
    <w:p w14:paraId="0D6EBA52">
      <w:pPr>
        <w:spacing w:before="57" w:after="57" w:line="276" w:lineRule="auto"/>
        <w:ind w:left="964" w:right="170"/>
        <w:jc w:val="both"/>
      </w:pPr>
      <w:r>
        <w:rPr>
          <w:rFonts w:ascii="Century Gothic" w:hAnsi="Century Gothic"/>
          <w:b/>
          <w:bCs/>
        </w:rPr>
        <w:t>5.11.1.1.</w:t>
      </w:r>
      <w:r>
        <w:rPr>
          <w:rFonts w:ascii="Century Gothic" w:hAnsi="Century Gothic"/>
        </w:rPr>
        <w:t xml:space="preserve"> A CONTRATADA deverá prever 01 (um) nutricionista para supervisão para cada 10 (dez) unidades escolares.</w:t>
      </w:r>
    </w:p>
    <w:p w14:paraId="6BEE8260">
      <w:pPr>
        <w:spacing w:before="57" w:after="57" w:line="276" w:lineRule="auto"/>
        <w:ind w:left="340" w:right="170"/>
        <w:jc w:val="both"/>
      </w:pPr>
      <w:r>
        <w:rPr>
          <w:rFonts w:ascii="Century Gothic" w:hAnsi="Century Gothic"/>
          <w:b/>
          <w:bCs/>
        </w:rPr>
        <w:t xml:space="preserve">5.11.2. </w:t>
      </w:r>
      <w:r>
        <w:rPr>
          <w:rFonts w:ascii="Century Gothic" w:hAnsi="Century Gothic"/>
        </w:rPr>
        <w:t>Os profissionais envolvidos na preparação das refeições deverão ser comprovadamente capacitados, através de certificação fornecida pela contratada.</w:t>
      </w:r>
    </w:p>
    <w:p w14:paraId="380C8B9F">
      <w:pPr>
        <w:spacing w:before="57" w:after="57" w:line="276" w:lineRule="auto"/>
        <w:ind w:left="340" w:right="170"/>
        <w:jc w:val="both"/>
      </w:pPr>
      <w:r>
        <w:rPr>
          <w:rFonts w:ascii="Century Gothic" w:hAnsi="Century Gothic"/>
          <w:b/>
          <w:bCs/>
        </w:rPr>
        <w:t>5.11.3.</w:t>
      </w:r>
      <w:r>
        <w:rPr>
          <w:rFonts w:ascii="Century Gothic" w:hAnsi="Century Gothic"/>
        </w:rPr>
        <w:t xml:space="preserve"> Manter equipe técnica para orientação sobre os procedimentos de recebimento e armazenamento dos gêneros alimentícios preparo e distribuição nas Unidades Educacionais, assegurando a qualidade dos serviços e os níveis nutricionais objetivados.</w:t>
      </w:r>
    </w:p>
    <w:p w14:paraId="54551838">
      <w:pPr>
        <w:spacing w:before="57" w:after="57" w:line="276" w:lineRule="auto"/>
        <w:ind w:left="340" w:right="170"/>
        <w:jc w:val="both"/>
      </w:pPr>
      <w:r>
        <w:rPr>
          <w:rFonts w:ascii="Century Gothic" w:hAnsi="Century Gothic"/>
          <w:b/>
          <w:bCs/>
        </w:rPr>
        <w:t>5.11.4.</w:t>
      </w:r>
      <w:r>
        <w:rPr>
          <w:rFonts w:ascii="Century Gothic" w:hAnsi="Century Gothic"/>
        </w:rPr>
        <w:t xml:space="preserve"> Registrar todas as visitas realizadas pelas nutricionistas e/ou responsável técnico da CONTRATADA, reclamações, bem como quaisquer ocorrências e encaminhar relatório mensal à SECRETARIA MUNICIPAL DE EDUCAÇÃO. Na Secretaria da escola haverá um termo de registro de visita que deverá ser assinado pela nutricionista responsável com entrada e saída para acompanhamento da SECRETARIA MUNICIPAL DE EDUCAÇÃO.</w:t>
      </w:r>
    </w:p>
    <w:p w14:paraId="5F8F04CB">
      <w:pPr>
        <w:spacing w:before="57" w:after="57" w:line="276" w:lineRule="auto"/>
        <w:ind w:left="340" w:right="170"/>
        <w:jc w:val="both"/>
      </w:pPr>
      <w:r>
        <w:rPr>
          <w:rFonts w:ascii="Century Gothic" w:hAnsi="Century Gothic"/>
          <w:b/>
          <w:bCs/>
        </w:rPr>
        <w:t>5.11.5.</w:t>
      </w:r>
      <w:r>
        <w:rPr>
          <w:rFonts w:ascii="Century Gothic" w:hAnsi="Century Gothic"/>
        </w:rPr>
        <w:t xml:space="preserve"> Comunicar à SECRETARIA MUNICIPAL DE EDUCAÇÃO, imediatamente e por escrito, qualquer anormalidade que interfira na execução dos serviços.</w:t>
      </w:r>
    </w:p>
    <w:p w14:paraId="0CB7C188">
      <w:pPr>
        <w:spacing w:before="57" w:after="57" w:line="276" w:lineRule="auto"/>
        <w:ind w:left="340" w:right="170"/>
        <w:jc w:val="both"/>
      </w:pPr>
      <w:r>
        <w:rPr>
          <w:rFonts w:ascii="Century Gothic" w:hAnsi="Century Gothic"/>
          <w:b/>
          <w:bCs/>
        </w:rPr>
        <w:t>5.11.6.</w:t>
      </w:r>
      <w:r>
        <w:rPr>
          <w:rFonts w:ascii="Century Gothic" w:hAnsi="Century Gothic"/>
        </w:rPr>
        <w:t xml:space="preserve"> O quadro de pessoal deverá ser encaminhado para à SECRETARIA MUNICIPAL DE EDUCAÇÃO em até 30 dias antes do início dos trabalhos, e sempre que houver alteração.</w:t>
      </w:r>
    </w:p>
    <w:p w14:paraId="00883376">
      <w:pPr>
        <w:spacing w:before="57" w:after="57" w:line="276" w:lineRule="auto"/>
        <w:ind w:left="340" w:right="170"/>
        <w:jc w:val="both"/>
      </w:pPr>
      <w:r>
        <w:rPr>
          <w:rFonts w:ascii="Century Gothic" w:hAnsi="Century Gothic"/>
          <w:b/>
          <w:bCs/>
        </w:rPr>
        <w:t>5.11.7.</w:t>
      </w:r>
      <w:r>
        <w:rPr>
          <w:rFonts w:ascii="Century Gothic" w:hAnsi="Century Gothic"/>
        </w:rPr>
        <w:t xml:space="preserve"> Manter equipe volante no quadro operacional para substituição de pessoal, em eventuais ausências ao trabalho, sem ônus ao Poder Público.</w:t>
      </w:r>
    </w:p>
    <w:p w14:paraId="042ADA10">
      <w:pPr>
        <w:spacing w:before="57" w:after="57" w:line="276" w:lineRule="auto"/>
        <w:ind w:left="340" w:right="170"/>
        <w:jc w:val="both"/>
      </w:pPr>
      <w:r>
        <w:rPr>
          <w:rFonts w:ascii="Century Gothic" w:hAnsi="Century Gothic"/>
          <w:b/>
          <w:bCs/>
        </w:rPr>
        <w:t xml:space="preserve">5.11.8. </w:t>
      </w:r>
      <w:r>
        <w:rPr>
          <w:rFonts w:ascii="Century Gothic" w:hAnsi="Century Gothic"/>
        </w:rPr>
        <w:t>Os funcionários contratados pela empresa vencedora deverão ser supervisionados, treinados, qualificados e uniformizados, observada a legislação trabalhista, previdenciária, assistência e sanitária, sendo considerada nesse particular, como única empregadora, sem que haja vínculo de solidariedade empregatícia desta Secretaria.</w:t>
      </w:r>
    </w:p>
    <w:p w14:paraId="7AFC4105">
      <w:pPr>
        <w:spacing w:before="57" w:after="57" w:line="276" w:lineRule="auto"/>
        <w:ind w:left="340" w:right="170"/>
        <w:jc w:val="both"/>
      </w:pPr>
      <w:r>
        <w:rPr>
          <w:rFonts w:ascii="Century Gothic" w:hAnsi="Century Gothic"/>
          <w:b/>
          <w:bCs/>
        </w:rPr>
        <w:t xml:space="preserve">5.11.9. </w:t>
      </w:r>
      <w:r>
        <w:rPr>
          <w:rFonts w:ascii="Century Gothic" w:hAnsi="Century Gothic"/>
        </w:rPr>
        <w:t>Manter durante a execução dos serviços equipe de profissionais nutricionistas para supervisão, conforme exigência da Resolução CFN nº 465 de 23/08/2010 do Conselho Federal de Nutricionistas, e, no mínimo 01 (um) (a) coordenador (a) responsável (nutricionista) para cada 30.000 alunos, com poderes suficientes para representá-la em tudo que se relacionar com os serviços contratados.</w:t>
      </w:r>
    </w:p>
    <w:p w14:paraId="3A5764C5">
      <w:pPr>
        <w:spacing w:before="57" w:after="57" w:line="276" w:lineRule="auto"/>
        <w:ind w:left="340" w:right="170"/>
        <w:jc w:val="both"/>
      </w:pPr>
      <w:r>
        <w:rPr>
          <w:rFonts w:ascii="Century Gothic" w:hAnsi="Century Gothic"/>
          <w:b/>
          <w:bCs/>
        </w:rPr>
        <w:t>Art. 7. Consideram-se, para fins desta Resolução, os seguintes parâmetros numéricos mínimos de referência, por entidade executora, para a educação básica:</w:t>
      </w:r>
    </w:p>
    <w:p w14:paraId="45C1AF36">
      <w:pPr>
        <w:spacing w:before="57" w:after="57" w:line="276" w:lineRule="auto"/>
        <w:ind w:left="340" w:right="170"/>
        <w:jc w:val="both"/>
      </w:pPr>
      <w:r>
        <w:rPr>
          <w:rFonts w:ascii="Century Gothic" w:hAnsi="Century Gothic"/>
          <w:b/>
          <w:bCs/>
        </w:rPr>
        <w:t>§1º Para os municípios das regiões Centro-Oeste e Nordeste A (Bahia, Ceará, Piauí e Maranhão).</w:t>
      </w:r>
    </w:p>
    <w:p w14:paraId="326B75B2">
      <w:pPr>
        <w:spacing w:before="57" w:after="57" w:line="276" w:lineRule="auto"/>
        <w:ind w:left="340" w:right="170"/>
        <w:jc w:val="both"/>
      </w:pPr>
      <w:r>
        <w:rPr>
          <w:rFonts w:ascii="Century Gothic" w:hAnsi="Century Gothic"/>
          <w:b/>
          <w:bCs/>
        </w:rPr>
        <w:t>I- Municípios de porte pequeno 1 (um) e de porte pequeno 2 (dois): a) 1 (um) RT até 250 (duzentos e cinquenta) estudantes; b) 1 (um) RT + 1 (um) QT de 251 (duzentos e cinquenta e um) até 1.000 (mil) estudantes; c) A partir de 1.001 (mil e um) estudantes – 1 (um) RT + 1 (um) QT para cada conjunto de 3 escolas rurais/indígenas/quilombolas/conveniadas + 1 (um) QT para cada conjunto de 5 escolas urbanas.</w:t>
      </w:r>
    </w:p>
    <w:p w14:paraId="5F8F07A7">
      <w:pPr>
        <w:spacing w:before="57" w:after="57" w:line="276" w:lineRule="auto"/>
        <w:ind w:left="340" w:right="170"/>
        <w:jc w:val="both"/>
      </w:pPr>
      <w:r>
        <w:rPr>
          <w:rFonts w:ascii="Century Gothic" w:hAnsi="Century Gothic"/>
          <w:b/>
          <w:bCs/>
        </w:rPr>
        <w:t>II- Municípios de porte médio e grande:1 (um) RT + 1 (um) QT para cada conjunto de 4 (quatro) escolas rurais/indígenas/quilombolas/conveniadas + 1 (um) QT para cada conjunto de 5 (cinco) escolas urbanas;</w:t>
      </w:r>
    </w:p>
    <w:p w14:paraId="0D257148">
      <w:pPr>
        <w:spacing w:before="57" w:after="57" w:line="276" w:lineRule="auto"/>
        <w:ind w:left="340" w:right="170"/>
        <w:jc w:val="both"/>
        <w:rPr>
          <w:b/>
          <w:bCs/>
        </w:rPr>
      </w:pPr>
      <w:r>
        <w:rPr>
          <w:rFonts w:ascii="Century Gothic" w:hAnsi="Century Gothic"/>
        </w:rPr>
        <w:t>III- Municípios com porte de metrópole – 1 (um) RT + 1 (um) QT para cada 2 (duas) regionais de ensino/superintendência/gerências/ coordenações ou afins + 1 (um) QT para cada conjunto de 5 (cinco) escolas rurais/indígenas/quilombolas/conveniadas + 1 (um) QT para cada conjunto de 6 (seis) escolas urbanas.</w:t>
      </w:r>
    </w:p>
    <w:p w14:paraId="707781F0">
      <w:pPr>
        <w:spacing w:before="57" w:after="57" w:line="276" w:lineRule="auto"/>
        <w:ind w:left="340" w:right="170"/>
        <w:jc w:val="both"/>
      </w:pPr>
      <w:r>
        <w:rPr>
          <w:rFonts w:ascii="Century Gothic" w:hAnsi="Century Gothic"/>
          <w:b/>
          <w:bCs/>
          <w:color w:val="000000"/>
        </w:rPr>
        <w:t xml:space="preserve">5.11.10. </w:t>
      </w:r>
      <w:r>
        <w:rPr>
          <w:rFonts w:ascii="Century Gothic" w:hAnsi="Century Gothic"/>
        </w:rPr>
        <w:t>Entregar, no prazo de até 30 (trinta) dias após a assinatura do contrato, relação (contendo nome e nº de registro no CRN) dos Nutricionistas Responsáveis Técnicos (RT) pelo serviço de alimentação contratado, e daquele que será o contato direto com a CONTRATANTE.</w:t>
      </w:r>
    </w:p>
    <w:p w14:paraId="33C0C987">
      <w:pPr>
        <w:spacing w:before="57" w:after="57" w:line="276" w:lineRule="auto"/>
        <w:ind w:left="340" w:right="170"/>
        <w:jc w:val="both"/>
      </w:pPr>
      <w:r>
        <w:rPr>
          <w:rFonts w:ascii="Century Gothic" w:hAnsi="Century Gothic"/>
          <w:b/>
          <w:bCs/>
        </w:rPr>
        <w:t xml:space="preserve">5.11.11. </w:t>
      </w:r>
      <w:r>
        <w:rPr>
          <w:rFonts w:ascii="Century Gothic" w:hAnsi="Century Gothic"/>
        </w:rPr>
        <w:t>Os nutricionistas responsáveis pelas unidades escolares deverão apresentar à direção escolar, os relatórios de suas visitas técnicas contendo as providências tomadas e orientações dadas aos manipuladores de alimentos, bem como realizar treinamentos “in loco” sempre que houver necessidade.</w:t>
      </w:r>
    </w:p>
    <w:p w14:paraId="060004E8">
      <w:pPr>
        <w:spacing w:before="57" w:after="57" w:line="276" w:lineRule="auto"/>
        <w:ind w:left="340" w:right="170"/>
        <w:jc w:val="both"/>
      </w:pPr>
      <w:r>
        <w:rPr>
          <w:rFonts w:ascii="Century Gothic" w:hAnsi="Century Gothic"/>
          <w:b/>
          <w:bCs/>
        </w:rPr>
        <w:t>5.11.12.</w:t>
      </w:r>
      <w:r>
        <w:rPr>
          <w:rFonts w:ascii="Century Gothic" w:hAnsi="Century Gothic"/>
        </w:rPr>
        <w:t xml:space="preserve"> Fornecer e manter uniforme para todos os funcionários do Serviço de Alimentação. O uniforme deverá ser de cor branca, sem estampa, composta obrigatoriamente de touca, calça comprida, camiseta branca, avental e calçado fechado, respeitando a Legislação Sanitária vigente.</w:t>
      </w:r>
    </w:p>
    <w:p w14:paraId="49C8E8FC">
      <w:pPr>
        <w:spacing w:before="57" w:after="57" w:line="276" w:lineRule="auto"/>
        <w:ind w:left="340" w:right="170"/>
        <w:jc w:val="both"/>
      </w:pPr>
      <w:r>
        <w:rPr>
          <w:rFonts w:ascii="Century Gothic" w:hAnsi="Century Gothic"/>
          <w:b/>
          <w:bCs/>
        </w:rPr>
        <w:t xml:space="preserve">5.11.13. </w:t>
      </w:r>
      <w:r>
        <w:rPr>
          <w:rFonts w:ascii="Century Gothic" w:hAnsi="Century Gothic"/>
        </w:rPr>
        <w:t>Fornecer e manter todos os materiais de proteção e segurança, indispensáveis para a execução dos serviços que assim o exigirem, em quantidades compatíveis com o número de pessoas empregadas.</w:t>
      </w:r>
    </w:p>
    <w:p w14:paraId="3B9EE7EF">
      <w:pPr>
        <w:spacing w:before="57" w:after="57" w:line="276" w:lineRule="auto"/>
        <w:ind w:left="340" w:right="170"/>
        <w:jc w:val="both"/>
      </w:pPr>
      <w:r>
        <w:rPr>
          <w:rFonts w:ascii="Century Gothic" w:hAnsi="Century Gothic"/>
          <w:b/>
          <w:bCs/>
        </w:rPr>
        <w:t xml:space="preserve">5.11.14. </w:t>
      </w:r>
      <w:r>
        <w:rPr>
          <w:rFonts w:ascii="Century Gothic" w:hAnsi="Century Gothic"/>
        </w:rPr>
        <w:t>Com relação à mão de obra operacional, a CONTRATADA se obriga a disponibilizar no mínimo 150 merendeiras para atendimento, e dimensionamento conforme a necessidade das unidades escolares de modo a garantir o fornecimento das refeições.</w:t>
      </w:r>
    </w:p>
    <w:p w14:paraId="5A34943D">
      <w:pPr>
        <w:spacing w:before="57" w:after="57" w:line="276" w:lineRule="auto"/>
        <w:ind w:left="340" w:right="170"/>
        <w:jc w:val="both"/>
      </w:pPr>
      <w:r>
        <w:rPr>
          <w:rFonts w:ascii="Century Gothic" w:hAnsi="Century Gothic"/>
          <w:b/>
          <w:bCs/>
        </w:rPr>
        <w:t>5.11.15.</w:t>
      </w:r>
      <w:r>
        <w:rPr>
          <w:rFonts w:ascii="Century Gothic" w:hAnsi="Century Gothic"/>
        </w:rPr>
        <w:t xml:space="preserve"> A responsabilidade total das contratações da Mão de obra necessária é responsabilidade da CONTRATADA.</w:t>
      </w:r>
    </w:p>
    <w:p w14:paraId="2E27CEE3">
      <w:pPr>
        <w:spacing w:before="57" w:after="57" w:line="276" w:lineRule="auto"/>
        <w:ind w:left="340" w:right="170"/>
        <w:jc w:val="both"/>
      </w:pPr>
      <w:r>
        <w:rPr>
          <w:rFonts w:ascii="Century Gothic" w:hAnsi="Century Gothic"/>
          <w:b/>
          <w:bCs/>
        </w:rPr>
        <w:t>5.11.16.</w:t>
      </w:r>
      <w:r>
        <w:rPr>
          <w:rFonts w:ascii="Century Gothic" w:hAnsi="Century Gothic"/>
        </w:rPr>
        <w:t xml:space="preserve"> No caso da falta de funcionários ou aumento das unidades educacionais no período de vigência do contrato, a contratada deverá complementar a mão de obra.</w:t>
      </w:r>
    </w:p>
    <w:p w14:paraId="4838B56D">
      <w:pPr>
        <w:spacing w:before="57" w:after="57" w:line="276" w:lineRule="auto"/>
        <w:ind w:left="340" w:right="170"/>
        <w:jc w:val="both"/>
      </w:pPr>
      <w:r>
        <w:rPr>
          <w:rFonts w:ascii="Century Gothic" w:hAnsi="Century Gothic"/>
          <w:b/>
          <w:bCs/>
        </w:rPr>
        <w:t xml:space="preserve">5.11.17. </w:t>
      </w:r>
      <w:r>
        <w:rPr>
          <w:rFonts w:ascii="Century Gothic" w:hAnsi="Century Gothic"/>
        </w:rPr>
        <w:t>Na contratação do pessoal necessário para a execução dos serviços deverá ser dada preferência para os munícipes de Rondonópolis-MT.</w:t>
      </w:r>
    </w:p>
    <w:p w14:paraId="42950411">
      <w:pPr>
        <w:spacing w:before="57" w:after="57" w:line="276" w:lineRule="auto"/>
        <w:ind w:left="340" w:right="170"/>
        <w:jc w:val="both"/>
      </w:pPr>
      <w:r>
        <w:rPr>
          <w:rFonts w:ascii="Century Gothic" w:hAnsi="Century Gothic"/>
          <w:b/>
          <w:bCs/>
        </w:rPr>
        <w:t>5.11.18.</w:t>
      </w:r>
      <w:r>
        <w:rPr>
          <w:rFonts w:ascii="Century Gothic" w:hAnsi="Century Gothic"/>
        </w:rPr>
        <w:t xml:space="preserve"> </w:t>
      </w:r>
      <w:r>
        <w:rPr>
          <w:rFonts w:ascii="Century Gothic" w:hAnsi="Century Gothic"/>
          <w:b/>
          <w:bCs/>
        </w:rPr>
        <w:t>Atribuições específicas das Merendeiras da Contratada:</w:t>
      </w:r>
    </w:p>
    <w:p w14:paraId="69C9E879">
      <w:pPr>
        <w:numPr>
          <w:ilvl w:val="0"/>
          <w:numId w:val="12"/>
        </w:numPr>
        <w:spacing w:before="114" w:after="114" w:line="276" w:lineRule="auto"/>
        <w:ind w:left="737" w:right="113" w:hanging="227"/>
        <w:jc w:val="both"/>
        <w:rPr>
          <w:rFonts w:ascii="Century Gothic" w:hAnsi="Century Gothic"/>
        </w:rPr>
      </w:pPr>
      <w:r>
        <w:rPr>
          <w:rFonts w:ascii="Century Gothic" w:hAnsi="Century Gothic"/>
        </w:rPr>
        <w:t>coordenar os trabalhos dentro da cozinha e do refeitório;</w:t>
      </w:r>
    </w:p>
    <w:p w14:paraId="01E8642B">
      <w:pPr>
        <w:numPr>
          <w:ilvl w:val="0"/>
          <w:numId w:val="12"/>
        </w:numPr>
        <w:spacing w:before="114" w:after="114" w:line="276" w:lineRule="auto"/>
        <w:ind w:left="737" w:right="170" w:hanging="227"/>
        <w:jc w:val="both"/>
        <w:rPr>
          <w:rFonts w:ascii="Century Gothic" w:hAnsi="Century Gothic"/>
        </w:rPr>
      </w:pPr>
      <w:r>
        <w:rPr>
          <w:rFonts w:ascii="Century Gothic" w:hAnsi="Century Gothic"/>
        </w:rPr>
        <w:t>executar, sob supervisão, os serviços inerentes ao preparo e distribuição dos alimentos, selecionando produtos, preparando refeições e distribuindo-as aos alunos, inclusive contemplando aqueles que possuem dietas especiais, de acordo com o cardápio aprovado;</w:t>
      </w:r>
    </w:p>
    <w:p w14:paraId="4B5782E9">
      <w:pPr>
        <w:numPr>
          <w:ilvl w:val="0"/>
          <w:numId w:val="12"/>
        </w:numPr>
        <w:spacing w:before="114" w:after="114" w:line="276" w:lineRule="auto"/>
        <w:ind w:left="737" w:right="170" w:hanging="227"/>
        <w:jc w:val="both"/>
        <w:rPr>
          <w:rFonts w:ascii="Century Gothic" w:hAnsi="Century Gothic"/>
        </w:rPr>
      </w:pPr>
      <w:r>
        <w:rPr>
          <w:rFonts w:ascii="Century Gothic" w:hAnsi="Century Gothic"/>
        </w:rPr>
        <w:t>preparar e servir nas escolas, dentro dos horários previstos, nas quantidades e temperaturas exigidas, as diversas refeições preestabelecidas;</w:t>
      </w:r>
    </w:p>
    <w:p w14:paraId="774614D0">
      <w:pPr>
        <w:numPr>
          <w:ilvl w:val="0"/>
          <w:numId w:val="12"/>
        </w:numPr>
        <w:spacing w:before="114" w:after="114" w:line="276" w:lineRule="auto"/>
        <w:ind w:left="737" w:right="113" w:hanging="227"/>
        <w:jc w:val="both"/>
        <w:rPr>
          <w:rFonts w:ascii="Century Gothic" w:hAnsi="Century Gothic"/>
        </w:rPr>
      </w:pPr>
      <w:r>
        <w:rPr>
          <w:rFonts w:ascii="Century Gothic" w:hAnsi="Century Gothic"/>
        </w:rPr>
        <w:t>adequar a quantidade de alimentação a ser preparada ao consumo exigido;</w:t>
      </w:r>
    </w:p>
    <w:p w14:paraId="56995D2E">
      <w:pPr>
        <w:numPr>
          <w:ilvl w:val="0"/>
          <w:numId w:val="12"/>
        </w:numPr>
        <w:spacing w:before="114" w:after="114" w:line="276" w:lineRule="auto"/>
        <w:ind w:left="737" w:right="113" w:hanging="227"/>
        <w:jc w:val="both"/>
        <w:rPr>
          <w:rFonts w:ascii="Century Gothic" w:hAnsi="Century Gothic"/>
        </w:rPr>
      </w:pPr>
      <w:r>
        <w:rPr>
          <w:rFonts w:ascii="Century Gothic" w:hAnsi="Century Gothic"/>
        </w:rPr>
        <w:t>receber, conferir, armazenar e controlar o consumo de alimentos e demais materiais utilizados no seu preparo, prestando contas, diariamente, dos cardápios, número de refeições e consumo verificados em formulário próprio;</w:t>
      </w:r>
    </w:p>
    <w:p w14:paraId="5498A406">
      <w:pPr>
        <w:numPr>
          <w:ilvl w:val="0"/>
          <w:numId w:val="12"/>
        </w:numPr>
        <w:spacing w:before="114" w:after="114" w:line="276" w:lineRule="auto"/>
        <w:ind w:left="737" w:right="113" w:hanging="227"/>
        <w:jc w:val="both"/>
        <w:rPr>
          <w:rFonts w:ascii="Century Gothic" w:hAnsi="Century Gothic"/>
        </w:rPr>
      </w:pPr>
      <w:r>
        <w:rPr>
          <w:rFonts w:ascii="Century Gothic" w:hAnsi="Century Gothic"/>
        </w:rPr>
        <w:t>zelar pela higiene dos locais de armazenamento, conservação e preparo das refeições, limpeza dos equipamentos, instrumentos e materiais peculiares ao trabalho;</w:t>
      </w:r>
    </w:p>
    <w:p w14:paraId="7ED94CBF">
      <w:pPr>
        <w:numPr>
          <w:ilvl w:val="0"/>
          <w:numId w:val="12"/>
        </w:numPr>
        <w:spacing w:before="114" w:after="114" w:line="276" w:lineRule="auto"/>
        <w:ind w:left="737" w:right="113" w:hanging="227"/>
        <w:jc w:val="both"/>
        <w:rPr>
          <w:rFonts w:ascii="Century Gothic" w:hAnsi="Century Gothic"/>
        </w:rPr>
      </w:pPr>
      <w:r>
        <w:rPr>
          <w:rFonts w:ascii="Century Gothic" w:hAnsi="Century Gothic"/>
        </w:rPr>
        <w:t>usar uniforme completo, limpo, passado e costurado;</w:t>
      </w:r>
    </w:p>
    <w:p w14:paraId="71624208">
      <w:pPr>
        <w:numPr>
          <w:ilvl w:val="0"/>
          <w:numId w:val="12"/>
        </w:numPr>
        <w:spacing w:before="114" w:after="114" w:line="276" w:lineRule="auto"/>
        <w:ind w:left="737" w:right="113" w:hanging="227"/>
        <w:jc w:val="both"/>
        <w:rPr>
          <w:rFonts w:ascii="Century Gothic" w:hAnsi="Century Gothic"/>
        </w:rPr>
      </w:pPr>
      <w:r>
        <w:rPr>
          <w:rFonts w:ascii="Century Gothic" w:hAnsi="Century Gothic"/>
        </w:rPr>
        <w:t>usar calçados fechados;</w:t>
      </w:r>
    </w:p>
    <w:p w14:paraId="618C167A">
      <w:pPr>
        <w:numPr>
          <w:ilvl w:val="0"/>
          <w:numId w:val="12"/>
        </w:numPr>
        <w:spacing w:before="114" w:after="114" w:line="276" w:lineRule="auto"/>
        <w:ind w:left="737" w:right="113" w:hanging="227"/>
        <w:jc w:val="both"/>
        <w:rPr>
          <w:rFonts w:ascii="Century Gothic" w:hAnsi="Century Gothic"/>
        </w:rPr>
      </w:pPr>
      <w:r>
        <w:rPr>
          <w:rFonts w:ascii="Century Gothic" w:hAnsi="Century Gothic"/>
        </w:rPr>
        <w:t>manter as unhas curtas, limpas e sem esmalte;</w:t>
      </w:r>
    </w:p>
    <w:p w14:paraId="564743F9">
      <w:pPr>
        <w:numPr>
          <w:ilvl w:val="0"/>
          <w:numId w:val="12"/>
        </w:numPr>
        <w:spacing w:before="114" w:after="114" w:line="276" w:lineRule="auto"/>
        <w:ind w:left="737" w:right="113" w:hanging="227"/>
        <w:jc w:val="both"/>
        <w:rPr>
          <w:rFonts w:ascii="Century Gothic" w:hAnsi="Century Gothic"/>
        </w:rPr>
      </w:pPr>
      <w:r>
        <w:rPr>
          <w:rFonts w:ascii="Century Gothic" w:hAnsi="Century Gothic"/>
        </w:rPr>
        <w:t>não usar adereços (anéis, pulseiras e similares);</w:t>
      </w:r>
    </w:p>
    <w:p w14:paraId="070798C1">
      <w:pPr>
        <w:numPr>
          <w:ilvl w:val="0"/>
          <w:numId w:val="12"/>
        </w:numPr>
        <w:spacing w:before="114" w:after="114" w:line="276" w:lineRule="auto"/>
        <w:ind w:left="737" w:right="113" w:hanging="227"/>
        <w:jc w:val="both"/>
        <w:rPr>
          <w:rFonts w:ascii="Century Gothic" w:hAnsi="Century Gothic"/>
        </w:rPr>
      </w:pPr>
      <w:r>
        <w:rPr>
          <w:rFonts w:ascii="Century Gothic" w:hAnsi="Century Gothic"/>
        </w:rPr>
        <w:t>lavar as mãos sempre que iniciar cada tarefa;</w:t>
      </w:r>
    </w:p>
    <w:p w14:paraId="497BC9CD">
      <w:pPr>
        <w:numPr>
          <w:ilvl w:val="0"/>
          <w:numId w:val="12"/>
        </w:numPr>
        <w:spacing w:before="114" w:after="114" w:line="276" w:lineRule="auto"/>
        <w:ind w:left="737" w:right="113" w:hanging="227"/>
        <w:jc w:val="both"/>
        <w:rPr>
          <w:rFonts w:ascii="Century Gothic" w:hAnsi="Century Gothic"/>
        </w:rPr>
      </w:pPr>
      <w:r>
        <w:rPr>
          <w:rFonts w:ascii="Century Gothic" w:hAnsi="Century Gothic"/>
        </w:rPr>
        <w:t>não pentear os cabelos na cozinha e suas dependências;</w:t>
      </w:r>
    </w:p>
    <w:p w14:paraId="2CF9A553">
      <w:pPr>
        <w:numPr>
          <w:ilvl w:val="0"/>
          <w:numId w:val="12"/>
        </w:numPr>
      </w:pPr>
      <w:r>
        <w:rPr>
          <w:rFonts w:ascii="Century Gothic" w:hAnsi="Century Gothic"/>
        </w:rPr>
        <w:t>não comercializar nenhum objeto ou alimento no ambiente de trabalho;</w:t>
      </w:r>
    </w:p>
    <w:p w14:paraId="0048318E">
      <w:pPr>
        <w:numPr>
          <w:ilvl w:val="0"/>
          <w:numId w:val="12"/>
        </w:numPr>
        <w:spacing w:before="114" w:after="114" w:line="276" w:lineRule="auto"/>
        <w:ind w:left="737" w:right="113" w:hanging="227"/>
        <w:jc w:val="both"/>
        <w:rPr>
          <w:rFonts w:ascii="Century Gothic" w:hAnsi="Century Gothic"/>
        </w:rPr>
      </w:pPr>
      <w:r>
        <w:rPr>
          <w:rFonts w:ascii="Century Gothic" w:hAnsi="Century Gothic"/>
        </w:rPr>
        <w:t>não fumar na cozinha e suas dependências;</w:t>
      </w:r>
    </w:p>
    <w:p w14:paraId="6CA1C43D">
      <w:pPr>
        <w:numPr>
          <w:ilvl w:val="0"/>
          <w:numId w:val="12"/>
        </w:numPr>
        <w:spacing w:before="114" w:after="114" w:line="276" w:lineRule="auto"/>
        <w:ind w:left="737" w:right="113" w:hanging="227"/>
        <w:jc w:val="both"/>
        <w:rPr>
          <w:rFonts w:ascii="Century Gothic" w:hAnsi="Century Gothic"/>
        </w:rPr>
      </w:pPr>
      <w:r>
        <w:rPr>
          <w:rFonts w:ascii="Century Gothic" w:hAnsi="Century Gothic"/>
        </w:rPr>
        <w:t>não deixar entrar na cozinha pessoas estranhas e sem touca de proteção para os cabelos;</w:t>
      </w:r>
    </w:p>
    <w:p w14:paraId="14F24616">
      <w:pPr>
        <w:numPr>
          <w:ilvl w:val="0"/>
          <w:numId w:val="12"/>
        </w:numPr>
        <w:spacing w:before="114" w:after="114" w:line="276" w:lineRule="auto"/>
        <w:ind w:left="737" w:right="57" w:hanging="227"/>
        <w:jc w:val="both"/>
        <w:rPr>
          <w:rFonts w:ascii="Century Gothic" w:hAnsi="Century Gothic"/>
        </w:rPr>
      </w:pPr>
      <w:r>
        <w:rPr>
          <w:rFonts w:ascii="Century Gothic" w:hAnsi="Century Gothic"/>
        </w:rPr>
        <w:t xml:space="preserve"> não permitir a retirada de alimentos ou sobras das unidades por pessoas estranhas e funcionários. As sobras de alimentos deverão ser inutilizadas;</w:t>
      </w:r>
    </w:p>
    <w:p w14:paraId="2D77677A">
      <w:pPr>
        <w:numPr>
          <w:ilvl w:val="0"/>
          <w:numId w:val="12"/>
        </w:numPr>
        <w:spacing w:before="114" w:after="114" w:line="276" w:lineRule="auto"/>
        <w:ind w:left="737" w:right="57" w:hanging="227"/>
        <w:jc w:val="both"/>
        <w:rPr>
          <w:rFonts w:ascii="Century Gothic" w:hAnsi="Century Gothic"/>
        </w:rPr>
      </w:pPr>
      <w:r>
        <w:rPr>
          <w:rFonts w:ascii="Century Gothic" w:hAnsi="Century Gothic"/>
        </w:rPr>
        <w:t>controlar a qualidade e quantidade dos gêneros alimentícios, conferindo-os ao recebê-los e assinando documento próprio.;</w:t>
      </w:r>
    </w:p>
    <w:p w14:paraId="58C9709C">
      <w:pPr>
        <w:numPr>
          <w:ilvl w:val="0"/>
          <w:numId w:val="12"/>
        </w:numPr>
        <w:spacing w:before="114" w:after="114" w:line="276" w:lineRule="auto"/>
        <w:ind w:left="737" w:right="57" w:hanging="227"/>
        <w:jc w:val="both"/>
        <w:rPr>
          <w:rFonts w:ascii="Century Gothic" w:hAnsi="Century Gothic"/>
        </w:rPr>
      </w:pPr>
      <w:r>
        <w:rPr>
          <w:rFonts w:ascii="Century Gothic" w:hAnsi="Century Gothic"/>
        </w:rPr>
        <w:t>cumprir as normas do Manual de Boas Práticas.</w:t>
      </w:r>
    </w:p>
    <w:p w14:paraId="42F200D7">
      <w:pPr>
        <w:numPr>
          <w:ilvl w:val="0"/>
          <w:numId w:val="12"/>
        </w:numPr>
        <w:spacing w:line="276" w:lineRule="auto"/>
        <w:ind w:left="737" w:right="57" w:hanging="227"/>
        <w:jc w:val="both"/>
        <w:rPr>
          <w:rFonts w:ascii="Century Gothic" w:hAnsi="Century Gothic"/>
        </w:rPr>
      </w:pPr>
      <w:r>
        <w:rPr>
          <w:rFonts w:ascii="Century Gothic" w:hAnsi="Century Gothic"/>
        </w:rPr>
        <w:t>Realizar o recebimento dos produtos da Agricultura Familiar, juntamente com o diretor ou responsável pela Unidade Escolar.</w:t>
      </w:r>
    </w:p>
    <w:p w14:paraId="59170EB9">
      <w:pPr>
        <w:spacing w:line="276" w:lineRule="auto"/>
        <w:ind w:left="340" w:right="113"/>
        <w:jc w:val="both"/>
      </w:pPr>
      <w:r>
        <w:rPr>
          <w:rFonts w:ascii="Century Gothic" w:hAnsi="Century Gothic"/>
          <w:b/>
          <w:bCs/>
        </w:rPr>
        <w:t>5.11.19. Atribuições específicas das Nutricionistas da Contratada:</w:t>
      </w:r>
    </w:p>
    <w:p w14:paraId="649CA825">
      <w:pPr>
        <w:spacing w:before="114" w:after="114" w:line="276" w:lineRule="auto"/>
        <w:ind w:left="510" w:right="57"/>
        <w:jc w:val="both"/>
      </w:pPr>
      <w:r>
        <w:rPr>
          <w:rFonts w:ascii="Century Gothic" w:hAnsi="Century Gothic"/>
          <w:b/>
          <w:bCs/>
          <w:sz w:val="18"/>
          <w:szCs w:val="18"/>
        </w:rPr>
        <w:t>a)</w:t>
      </w:r>
      <w:r>
        <w:rPr>
          <w:rFonts w:ascii="Century Gothic" w:hAnsi="Century Gothic"/>
          <w:b/>
          <w:bCs/>
        </w:rPr>
        <w:t xml:space="preserve"> </w:t>
      </w:r>
      <w:r>
        <w:rPr>
          <w:rFonts w:ascii="Century Gothic" w:hAnsi="Century Gothic"/>
        </w:rPr>
        <w:t>Executar a previsão de gêneros alimentícios de acordo com a programação alimentar, os cardápios e análise nutricional elaborados pela SECRETARIA MUNICIPAL DE EDUCAÇÃO, observando a adequação às faixas etárias e aos perfis epidemiológicos da população atendida, respeitando os hábitos alimentares de cada localidade (modo de preparo regional), e a utilização de produtos da região;</w:t>
      </w:r>
    </w:p>
    <w:p w14:paraId="68EB8495">
      <w:pPr>
        <w:spacing w:before="114" w:after="114" w:line="276" w:lineRule="auto"/>
        <w:ind w:left="510" w:right="57"/>
        <w:jc w:val="both"/>
      </w:pPr>
      <w:r>
        <w:rPr>
          <w:rFonts w:ascii="Century Gothic" w:hAnsi="Century Gothic"/>
          <w:b/>
          <w:bCs/>
          <w:sz w:val="18"/>
          <w:szCs w:val="18"/>
        </w:rPr>
        <w:t>b)</w:t>
      </w:r>
      <w:r>
        <w:rPr>
          <w:rFonts w:ascii="Century Gothic" w:hAnsi="Century Gothic"/>
        </w:rPr>
        <w:t xml:space="preserve"> Estimular a identificação de crianças portadoras de patologias e deficiências associadas à nutrição, e adequar e executar os cardápios de acordo com as necessidades alimentares especiais;</w:t>
      </w:r>
    </w:p>
    <w:p w14:paraId="2E4A2C9C">
      <w:pPr>
        <w:spacing w:before="114" w:after="114" w:line="276" w:lineRule="auto"/>
        <w:ind w:left="510" w:right="57"/>
        <w:jc w:val="both"/>
      </w:pPr>
      <w:r>
        <w:rPr>
          <w:rFonts w:ascii="Century Gothic" w:hAnsi="Century Gothic"/>
          <w:b/>
          <w:bCs/>
          <w:sz w:val="18"/>
          <w:szCs w:val="18"/>
        </w:rPr>
        <w:t>c)</w:t>
      </w:r>
      <w:r>
        <w:rPr>
          <w:rFonts w:ascii="Century Gothic" w:hAnsi="Century Gothic"/>
        </w:rPr>
        <w:t xml:space="preserve"> Colaborar quando requisitado pela SECRETARIA MUNICIPAL DE EDUCAÇÃO na elaboração do Plano de Trabalho Anual do Programa de Alimentação Escolar;</w:t>
      </w:r>
    </w:p>
    <w:p w14:paraId="6E9E2666">
      <w:pPr>
        <w:spacing w:before="114" w:after="114" w:line="276" w:lineRule="auto"/>
        <w:ind w:left="510" w:right="57"/>
        <w:jc w:val="both"/>
      </w:pPr>
      <w:r>
        <w:rPr>
          <w:rFonts w:ascii="Century Gothic" w:hAnsi="Century Gothic"/>
          <w:b/>
          <w:bCs/>
          <w:sz w:val="18"/>
          <w:szCs w:val="18"/>
        </w:rPr>
        <w:t>d)</w:t>
      </w:r>
      <w:r>
        <w:rPr>
          <w:rFonts w:ascii="Century Gothic" w:hAnsi="Century Gothic"/>
        </w:rPr>
        <w:t xml:space="preserve"> Elaborar e implantar o Manual de Boas Práticas para o Serviço de Alimentação Escolar de cada unidade escolar;</w:t>
      </w:r>
    </w:p>
    <w:p w14:paraId="44340D11">
      <w:pPr>
        <w:spacing w:before="114" w:after="114" w:line="276" w:lineRule="auto"/>
        <w:ind w:left="510" w:right="57"/>
        <w:jc w:val="both"/>
      </w:pPr>
      <w:r>
        <w:rPr>
          <w:rFonts w:ascii="Century Gothic" w:hAnsi="Century Gothic"/>
          <w:b/>
          <w:bCs/>
          <w:sz w:val="18"/>
          <w:szCs w:val="18"/>
        </w:rPr>
        <w:t>e)</w:t>
      </w:r>
      <w:r>
        <w:rPr>
          <w:rFonts w:ascii="Century Gothic" w:hAnsi="Century Gothic"/>
        </w:rPr>
        <w:t xml:space="preserve"> Propor e executar projetos de educação alimentar e nutricional para a comunidade escolar, inclusive promovendo a consciência ecológica e ambiental;</w:t>
      </w:r>
    </w:p>
    <w:p w14:paraId="1BE62250">
      <w:pPr>
        <w:spacing w:before="114" w:after="114" w:line="276" w:lineRule="auto"/>
        <w:ind w:left="510" w:right="57"/>
        <w:jc w:val="both"/>
      </w:pPr>
      <w:r>
        <w:rPr>
          <w:rFonts w:ascii="Century Gothic" w:hAnsi="Century Gothic"/>
          <w:b/>
          <w:bCs/>
          <w:sz w:val="18"/>
          <w:szCs w:val="18"/>
        </w:rPr>
        <w:t>f)</w:t>
      </w:r>
      <w:r>
        <w:rPr>
          <w:rFonts w:ascii="Century Gothic" w:hAnsi="Century Gothic"/>
        </w:rPr>
        <w:t xml:space="preserve"> Articular-se com a direção e com a coordenação pedagógica da escola para o planejamento de atividades lúdicas com o conteúdo de alimentação e nutrição;</w:t>
      </w:r>
    </w:p>
    <w:p w14:paraId="66BF286F">
      <w:pPr>
        <w:spacing w:before="114" w:after="114" w:line="276" w:lineRule="auto"/>
        <w:ind w:left="510" w:right="57"/>
        <w:jc w:val="both"/>
      </w:pPr>
      <w:r>
        <w:rPr>
          <w:rFonts w:ascii="Century Gothic" w:hAnsi="Century Gothic"/>
          <w:b/>
          <w:bCs/>
          <w:sz w:val="18"/>
          <w:szCs w:val="18"/>
        </w:rPr>
        <w:t>g)</w:t>
      </w:r>
      <w:r>
        <w:rPr>
          <w:rFonts w:ascii="Century Gothic" w:hAnsi="Century Gothic"/>
        </w:rPr>
        <w:t xml:space="preserve"> Quando solicitado interagir com o Conselho de Alimentação Escolar (CAE) no exercício de suas atividades;</w:t>
      </w:r>
    </w:p>
    <w:p w14:paraId="4E7F0E34">
      <w:pPr>
        <w:spacing w:before="114" w:after="114" w:line="276" w:lineRule="auto"/>
        <w:ind w:left="510" w:right="57"/>
        <w:jc w:val="both"/>
      </w:pPr>
      <w:r>
        <w:rPr>
          <w:rFonts w:ascii="Century Gothic" w:hAnsi="Century Gothic"/>
          <w:b/>
          <w:bCs/>
          <w:sz w:val="18"/>
          <w:szCs w:val="18"/>
        </w:rPr>
        <w:t>h)</w:t>
      </w:r>
      <w:r>
        <w:rPr>
          <w:rFonts w:ascii="Century Gothic" w:hAnsi="Century Gothic"/>
        </w:rPr>
        <w:t xml:space="preserve"> Participar do processo de avaliação técnica dos fornecedores de gêneros alimentícios, segundo os padrões de identidade e qualidade, a fim de emitir parecer.</w:t>
      </w:r>
    </w:p>
    <w:p w14:paraId="7B50BF99">
      <w:pPr>
        <w:spacing w:line="276" w:lineRule="auto"/>
        <w:ind w:left="340" w:right="113"/>
        <w:jc w:val="both"/>
      </w:pPr>
      <w:r>
        <w:rPr>
          <w:rFonts w:ascii="Century Gothic" w:hAnsi="Century Gothic"/>
          <w:b/>
          <w:bCs/>
        </w:rPr>
        <w:t>5.12 Treinamento de Pessoal</w:t>
      </w:r>
    </w:p>
    <w:p w14:paraId="63D34133">
      <w:pPr>
        <w:spacing w:before="114" w:after="114" w:line="276" w:lineRule="auto"/>
        <w:ind w:left="510" w:right="57"/>
        <w:jc w:val="both"/>
      </w:pPr>
      <w:r>
        <w:rPr>
          <w:rFonts w:ascii="Century Gothic" w:hAnsi="Century Gothic"/>
          <w:b/>
          <w:bCs/>
        </w:rPr>
        <w:t xml:space="preserve">5.12.1. </w:t>
      </w:r>
      <w:r>
        <w:rPr>
          <w:rFonts w:ascii="Century Gothic" w:hAnsi="Century Gothic"/>
        </w:rPr>
        <w:t>A mão de obra utilizada nas unidades escolares deve ser submetida a exames médicos, de modo a verificar se está apta ou não para o exercício da respectiva função.</w:t>
      </w:r>
    </w:p>
    <w:p w14:paraId="3A791BAB">
      <w:pPr>
        <w:spacing w:before="114" w:after="114" w:line="276" w:lineRule="auto"/>
        <w:ind w:left="510" w:right="57"/>
        <w:jc w:val="both"/>
      </w:pPr>
      <w:r>
        <w:rPr>
          <w:rFonts w:ascii="Century Gothic" w:hAnsi="Century Gothic"/>
          <w:b/>
          <w:bCs/>
        </w:rPr>
        <w:t xml:space="preserve">5.12.2. </w:t>
      </w:r>
      <w:r>
        <w:rPr>
          <w:rFonts w:ascii="Century Gothic" w:hAnsi="Century Gothic"/>
        </w:rPr>
        <w:t>O Treinamento periódico dos funcionários, com apresentação de certificado com mínimo de 8 horas e conteúdo programático básico - contaminação dos alimentos, higiene pessoal, equipamentos e ambiente, horas práticas de produção – qualidade das matérias primas, normas de processamento, armazenamento de matérias-primas e produtos acabados - para o adequado exercício das funções e prestação dos serviços, de acordo com RDC nº 216/04, ANVISA, que dispõe sobre contaminações alimentares, doenças transmitidas por alimentos, manipulação higiênica dos alimentos, boas práticas, incluindo também, capacitações para o preparo de alimentos, ações de prevenção de acidentes de trabalho, combate a incêndio, boas práticas ambientais e primeiros socorros</w:t>
      </w:r>
    </w:p>
    <w:p w14:paraId="5327364D">
      <w:pPr>
        <w:spacing w:before="114" w:after="114" w:line="276" w:lineRule="auto"/>
        <w:ind w:left="510" w:right="57"/>
        <w:jc w:val="both"/>
      </w:pPr>
      <w:r>
        <w:rPr>
          <w:rFonts w:ascii="Century Gothic" w:hAnsi="Century Gothic"/>
          <w:b/>
          <w:bCs/>
        </w:rPr>
        <w:t xml:space="preserve">5.12.3. </w:t>
      </w:r>
      <w:r>
        <w:rPr>
          <w:rFonts w:ascii="Century Gothic" w:hAnsi="Century Gothic"/>
        </w:rPr>
        <w:t>Todos os funcionários deverão receber uniformização e EPIs adequados à realização de suas tarefas.</w:t>
      </w:r>
    </w:p>
    <w:p w14:paraId="225B173E">
      <w:pPr>
        <w:spacing w:before="114" w:after="114" w:line="276" w:lineRule="auto"/>
        <w:ind w:left="510" w:right="57"/>
        <w:jc w:val="both"/>
      </w:pPr>
      <w:r>
        <w:rPr>
          <w:rFonts w:ascii="Century Gothic" w:hAnsi="Century Gothic"/>
          <w:b/>
          <w:bCs/>
        </w:rPr>
        <w:t xml:space="preserve">5.12.4. </w:t>
      </w:r>
      <w:r>
        <w:rPr>
          <w:rFonts w:ascii="Century Gothic" w:hAnsi="Century Gothic"/>
        </w:rPr>
        <w:t>A mão de obra deverá ser adequada quanto aos quesitos competência técnica, habilidade, higiene pessoal, vestuário, etc., de acordo com a RDC 216/2004.</w:t>
      </w:r>
    </w:p>
    <w:p w14:paraId="1B977540">
      <w:pPr>
        <w:spacing w:before="114" w:after="114" w:line="276" w:lineRule="auto"/>
        <w:ind w:left="510" w:right="57"/>
        <w:jc w:val="both"/>
      </w:pPr>
      <w:r>
        <w:rPr>
          <w:rFonts w:ascii="Century Gothic" w:hAnsi="Century Gothic"/>
          <w:b/>
          <w:bCs/>
        </w:rPr>
        <w:t xml:space="preserve">5.12.5. </w:t>
      </w:r>
      <w:r>
        <w:rPr>
          <w:rFonts w:ascii="Century Gothic" w:hAnsi="Century Gothic"/>
        </w:rPr>
        <w:t>Caso haja necessidade de troca/reposição de mão de obra, esta deverá ser de pronto atendimento, sem prejuízo do serviço.</w:t>
      </w:r>
    </w:p>
    <w:p w14:paraId="1C79D5EB">
      <w:pPr>
        <w:spacing w:before="114" w:after="114" w:line="276" w:lineRule="auto"/>
        <w:ind w:left="510" w:right="57"/>
        <w:jc w:val="both"/>
      </w:pPr>
      <w:r>
        <w:rPr>
          <w:rFonts w:ascii="Century Gothic" w:hAnsi="Century Gothic"/>
          <w:b/>
          <w:bCs/>
        </w:rPr>
        <w:t xml:space="preserve">5.12.6. </w:t>
      </w:r>
      <w:r>
        <w:rPr>
          <w:rFonts w:ascii="Century Gothic" w:hAnsi="Century Gothic"/>
        </w:rPr>
        <w:t>A empresa deverá obrigatoriamente manter na unidade que atende cópia do exame médico admissional e periódico de cada um de seus funcionários.</w:t>
      </w:r>
    </w:p>
    <w:p w14:paraId="09105EA8">
      <w:pPr>
        <w:spacing w:before="114" w:after="114" w:line="276" w:lineRule="auto"/>
        <w:ind w:left="340"/>
        <w:jc w:val="both"/>
      </w:pPr>
      <w:r>
        <w:rPr>
          <w:rFonts w:ascii="Century Gothic" w:hAnsi="Century Gothic"/>
          <w:b/>
          <w:bCs/>
        </w:rPr>
        <w:t>5.13. Manual de Boas Práticas</w:t>
      </w:r>
    </w:p>
    <w:p w14:paraId="540C150B">
      <w:pPr>
        <w:spacing w:before="114" w:after="114" w:line="276" w:lineRule="auto"/>
        <w:ind w:left="510" w:right="113"/>
        <w:jc w:val="both"/>
      </w:pPr>
      <w:r>
        <w:rPr>
          <w:rFonts w:ascii="Century Gothic" w:hAnsi="Century Gothic"/>
          <w:b/>
          <w:bCs/>
        </w:rPr>
        <w:t xml:space="preserve">5.13.1. </w:t>
      </w:r>
      <w:r>
        <w:rPr>
          <w:rFonts w:ascii="Century Gothic" w:hAnsi="Century Gothic"/>
        </w:rPr>
        <w:t>Deverá ser elaborado e cumprido o Manual de Boas Práticas (MBP) com POPs, seguindo a Portaria 1428/93 do MS - Ministério da Saúde e RDC 216/2004 da ANVISA - Agência Nacional de Vigilância Sanitária, além das demais normas técnicas e sanitárias vigentes, assinado por nutricionista habilitado, portador de Carteira de Identidade Profissional e regularmente inscrito no Conselho Regional de Nutricionistas (CRN – 8ª região). É necessário um manual para cada unidade escolar (UE) passando por apreciação e aprovação do Responsável Técnico (RT) do Município para ratificação, no prazo máximo de 30 (trinta) dias corridos do início da prestação dos serviços, sendo emitido documento de aceite para a CONTRATADA. No caso de não aprovação do MBP apresentado, a CONTRATADA terá o prazo máximo de 20 (vinte) dias corridos para adequá-lo e reapresentá-lo;</w:t>
      </w:r>
    </w:p>
    <w:p w14:paraId="6E9021CF">
      <w:pPr>
        <w:spacing w:before="114" w:after="114" w:line="276" w:lineRule="auto"/>
        <w:ind w:left="510" w:right="113"/>
        <w:jc w:val="both"/>
      </w:pPr>
      <w:r>
        <w:rPr>
          <w:rFonts w:ascii="Century Gothic" w:hAnsi="Century Gothic"/>
          <w:b/>
          <w:bCs/>
        </w:rPr>
        <w:t>5.13.2.</w:t>
      </w:r>
      <w:r>
        <w:rPr>
          <w:rFonts w:ascii="Century Gothic" w:hAnsi="Century Gothic"/>
        </w:rPr>
        <w:t xml:space="preserve"> Atualizar, sempre que necessário, o “Manual de Boas Práticas para o Serviço de Alimentação Escolar”, conforme solicitação da CONTRATANTE ou necessidade da CONTRATADA;</w:t>
      </w:r>
    </w:p>
    <w:p w14:paraId="2A6DE1BC">
      <w:pPr>
        <w:spacing w:before="114" w:after="114" w:line="276" w:lineRule="auto"/>
        <w:ind w:left="510" w:right="113"/>
        <w:jc w:val="both"/>
        <w:rPr>
          <w:rFonts w:ascii="Century Gothic" w:hAnsi="Century Gothic"/>
        </w:rPr>
      </w:pPr>
      <w:r>
        <w:rPr>
          <w:rFonts w:ascii="Century Gothic" w:hAnsi="Century Gothic"/>
          <w:b/>
          <w:bCs/>
        </w:rPr>
        <w:t>5.13.3.</w:t>
      </w:r>
      <w:r>
        <w:rPr>
          <w:rFonts w:ascii="Century Gothic" w:hAnsi="Century Gothic"/>
        </w:rPr>
        <w:t xml:space="preserve"> A CONTRATADA garantirá a cobertura total de atendimento médico hospitalar e medicamentos no caso de intoxicação ou qualquer outro dano à saúde dos comensais desde que comprovada a sua responsabilidade sem ônus para a CONTRATANTE.</w:t>
      </w:r>
    </w:p>
    <w:p w14:paraId="5479B38D">
      <w:pPr>
        <w:spacing w:before="114" w:after="114" w:line="276" w:lineRule="auto"/>
        <w:ind w:left="340"/>
        <w:jc w:val="both"/>
      </w:pPr>
      <w:r>
        <w:rPr>
          <w:rFonts w:ascii="Century Gothic" w:hAnsi="Century Gothic"/>
          <w:b/>
          <w:bCs/>
        </w:rPr>
        <w:t>5.14. Educação Alimentar e Nutricional</w:t>
      </w:r>
    </w:p>
    <w:p w14:paraId="5BEA0249">
      <w:pPr>
        <w:spacing w:before="114" w:after="114" w:line="276" w:lineRule="auto"/>
        <w:ind w:left="510" w:right="113"/>
        <w:jc w:val="both"/>
      </w:pPr>
      <w:r>
        <w:rPr>
          <w:rFonts w:ascii="Century Gothic" w:hAnsi="Century Gothic"/>
          <w:b/>
          <w:bCs/>
        </w:rPr>
        <w:t>5.14.1.</w:t>
      </w:r>
      <w:r>
        <w:rPr>
          <w:rFonts w:ascii="Century Gothic" w:hAnsi="Century Gothic"/>
        </w:rPr>
        <w:t xml:space="preserve"> A empresa vencedora deverá desenvolver anualmente, uma ação educativa relacionada à Educação Alimentar para a comunidade escolar, através de projeto previamente discutido e aprovado pela SECRETARIA MUNICIPAL DE EDUCAÇÃO/Gestão de Alimentação Escolar.</w:t>
      </w:r>
    </w:p>
    <w:p w14:paraId="3B669119">
      <w:pPr>
        <w:spacing w:before="114" w:after="114" w:line="276" w:lineRule="auto"/>
        <w:ind w:left="510" w:right="57"/>
        <w:jc w:val="both"/>
      </w:pPr>
      <w:r>
        <w:rPr>
          <w:rFonts w:ascii="Century Gothic" w:hAnsi="Century Gothic"/>
          <w:b/>
          <w:bCs/>
        </w:rPr>
        <w:t xml:space="preserve">5.14.2. </w:t>
      </w:r>
      <w:r>
        <w:rPr>
          <w:rFonts w:ascii="Century Gothic" w:hAnsi="Century Gothic"/>
        </w:rPr>
        <w:t>Promover a saúde dos alunos atendidos, suprindo parcial ou integralmente suas necessidades nutricionais, através do fornecimento de alimentação adequada.</w:t>
      </w:r>
    </w:p>
    <w:p w14:paraId="68D9391B">
      <w:pPr>
        <w:spacing w:before="114" w:after="114" w:line="276" w:lineRule="auto"/>
        <w:ind w:left="510"/>
        <w:jc w:val="both"/>
      </w:pPr>
      <w:r>
        <w:rPr>
          <w:rFonts w:ascii="Century Gothic" w:hAnsi="Century Gothic"/>
          <w:b/>
          <w:bCs/>
        </w:rPr>
        <w:t xml:space="preserve">5.14.3. </w:t>
      </w:r>
      <w:r>
        <w:rPr>
          <w:rFonts w:ascii="Century Gothic" w:hAnsi="Century Gothic"/>
        </w:rPr>
        <w:t>Para atender tais objetivos o serviço prestado deve obedecer aos seguintes critérios:</w:t>
      </w:r>
    </w:p>
    <w:p w14:paraId="7070B685">
      <w:pPr>
        <w:spacing w:before="114" w:after="114" w:line="276" w:lineRule="auto"/>
        <w:ind w:left="964" w:right="113"/>
        <w:jc w:val="both"/>
      </w:pPr>
      <w:r>
        <w:rPr>
          <w:rFonts w:ascii="Century Gothic" w:hAnsi="Century Gothic"/>
          <w:b/>
          <w:bCs/>
        </w:rPr>
        <w:t xml:space="preserve">5.14.3.1. </w:t>
      </w:r>
      <w:r>
        <w:rPr>
          <w:rFonts w:ascii="Century Gothic" w:hAnsi="Century Gothic"/>
        </w:rPr>
        <w:t>Atender a Política Nacional de Alimentação Nutricional;</w:t>
      </w:r>
    </w:p>
    <w:p w14:paraId="2F16F3DE">
      <w:pPr>
        <w:spacing w:before="114" w:after="114" w:line="276" w:lineRule="auto"/>
        <w:ind w:left="964" w:right="113"/>
        <w:jc w:val="both"/>
      </w:pPr>
      <w:r>
        <w:rPr>
          <w:rFonts w:ascii="Century Gothic" w:hAnsi="Century Gothic"/>
          <w:b/>
          <w:bCs/>
        </w:rPr>
        <w:t xml:space="preserve">5.14.3.2. </w:t>
      </w:r>
      <w:r>
        <w:rPr>
          <w:rFonts w:ascii="Century Gothic" w:hAnsi="Century Gothic"/>
        </w:rPr>
        <w:t>Estar adequado ao público-alvo, levando em consideração o aspecto socioeconômicos e psicoculturais.</w:t>
      </w:r>
    </w:p>
    <w:p w14:paraId="1E9666B0">
      <w:pPr>
        <w:spacing w:before="114" w:after="114" w:line="276" w:lineRule="auto"/>
        <w:ind w:left="964" w:right="113"/>
        <w:jc w:val="both"/>
      </w:pPr>
      <w:r>
        <w:rPr>
          <w:rFonts w:ascii="Century Gothic" w:hAnsi="Century Gothic"/>
          <w:b/>
          <w:bCs/>
        </w:rPr>
        <w:t xml:space="preserve">5.14.3.3. </w:t>
      </w:r>
      <w:r>
        <w:rPr>
          <w:rFonts w:ascii="Century Gothic" w:hAnsi="Century Gothic"/>
        </w:rPr>
        <w:t>Desenvolver uma política educativa, favorecendo a adoção de bons hábitos alimentares dos alunos e da família indiretamente.</w:t>
      </w:r>
    </w:p>
    <w:p w14:paraId="0AEE3C04">
      <w:pPr>
        <w:spacing w:before="114" w:after="114" w:line="276" w:lineRule="auto"/>
        <w:ind w:left="964" w:right="113"/>
        <w:jc w:val="both"/>
      </w:pPr>
      <w:r>
        <w:rPr>
          <w:rFonts w:ascii="Century Gothic" w:hAnsi="Century Gothic"/>
          <w:b/>
          <w:bCs/>
        </w:rPr>
        <w:t xml:space="preserve">5.14.3.4. </w:t>
      </w:r>
      <w:r>
        <w:rPr>
          <w:rFonts w:ascii="Century Gothic" w:hAnsi="Century Gothic"/>
        </w:rPr>
        <w:t>Suplementar ou suprir as necessidades nutricionais diárias, de acordo com a proposta estabelecida.</w:t>
      </w:r>
    </w:p>
    <w:p w14:paraId="70812344">
      <w:pPr>
        <w:spacing w:before="114" w:after="114" w:line="276" w:lineRule="auto"/>
        <w:ind w:left="964" w:right="113"/>
        <w:jc w:val="both"/>
      </w:pPr>
      <w:r>
        <w:rPr>
          <w:rFonts w:ascii="Century Gothic" w:hAnsi="Century Gothic"/>
          <w:b/>
          <w:bCs/>
        </w:rPr>
        <w:t xml:space="preserve">5.14.3.5. </w:t>
      </w:r>
      <w:r>
        <w:rPr>
          <w:rFonts w:ascii="Century Gothic" w:hAnsi="Century Gothic"/>
        </w:rPr>
        <w:t>Fornecer orientação e controle técnico, a fim de propiciar a avaliação e adaptação às condições presentes nas unidades atendidas.</w:t>
      </w:r>
    </w:p>
    <w:p w14:paraId="2532E24A">
      <w:pPr>
        <w:spacing w:before="114" w:after="114" w:line="276" w:lineRule="auto"/>
        <w:ind w:left="964" w:right="113"/>
        <w:jc w:val="both"/>
      </w:pPr>
      <w:r>
        <w:rPr>
          <w:rFonts w:ascii="Century Gothic" w:hAnsi="Century Gothic"/>
          <w:b/>
          <w:bCs/>
        </w:rPr>
        <w:t xml:space="preserve">5.14.3.6. </w:t>
      </w:r>
      <w:r>
        <w:rPr>
          <w:rFonts w:ascii="Century Gothic" w:hAnsi="Century Gothic"/>
        </w:rPr>
        <w:t>Propiciar a todos os alunos da rede escolar um Programa de Educação Alimentar com o objetivo de promover a saúde e prevenir as doenças decorrentes de maus hábitos alimentares, assim como conscientizar as crianças a respeito da importância dos alimentos.</w:t>
      </w:r>
    </w:p>
    <w:p w14:paraId="2C1FEAA7">
      <w:pPr>
        <w:spacing w:before="114" w:after="114" w:line="276" w:lineRule="auto"/>
        <w:ind w:left="510"/>
        <w:jc w:val="both"/>
      </w:pPr>
      <w:r>
        <w:rPr>
          <w:rFonts w:ascii="Century Gothic" w:hAnsi="Century Gothic"/>
          <w:b/>
          <w:bCs/>
        </w:rPr>
        <w:t>5.14.4. O Programa de Educação Alimentar deverá contemplar:</w:t>
      </w:r>
    </w:p>
    <w:p w14:paraId="5F79E43B">
      <w:pPr>
        <w:spacing w:before="114" w:after="114" w:line="276" w:lineRule="auto"/>
        <w:ind w:left="964" w:right="113"/>
        <w:jc w:val="both"/>
      </w:pPr>
      <w:r>
        <w:rPr>
          <w:rFonts w:ascii="Century Gothic" w:hAnsi="Century Gothic"/>
          <w:b/>
          <w:bCs/>
        </w:rPr>
        <w:t xml:space="preserve">5.14.4.1. </w:t>
      </w:r>
      <w:r>
        <w:rPr>
          <w:rFonts w:ascii="Century Gothic" w:hAnsi="Century Gothic"/>
        </w:rPr>
        <w:t>Ações que promovam alimentação saudável nas escolas de ensino, fundamental e centros de educação infantil da rede pública e filantrópica.</w:t>
      </w:r>
    </w:p>
    <w:p w14:paraId="623583EC">
      <w:pPr>
        <w:spacing w:before="114" w:after="114" w:line="276" w:lineRule="auto"/>
        <w:ind w:left="964" w:right="113"/>
        <w:jc w:val="both"/>
      </w:pPr>
      <w:r>
        <w:rPr>
          <w:rFonts w:ascii="Century Gothic" w:hAnsi="Century Gothic"/>
          <w:b/>
          <w:bCs/>
        </w:rPr>
        <w:t xml:space="preserve">5.14.4.2. </w:t>
      </w:r>
      <w:r>
        <w:rPr>
          <w:rFonts w:ascii="Century Gothic" w:hAnsi="Century Gothic"/>
        </w:rPr>
        <w:t>Educação Nutricional para pais, desenvolvendo estratégias de informações às famílias, enfatizando sua corresponsabilidade e a importância de sua participação neste processo.</w:t>
      </w:r>
    </w:p>
    <w:p w14:paraId="3A12E26E">
      <w:pPr>
        <w:spacing w:before="114" w:after="114" w:line="276" w:lineRule="auto"/>
        <w:ind w:left="340"/>
        <w:jc w:val="both"/>
      </w:pPr>
      <w:r>
        <w:rPr>
          <w:rFonts w:ascii="Century Gothic" w:hAnsi="Century Gothic"/>
          <w:b/>
          <w:bCs/>
        </w:rPr>
        <w:t>5.15. Controle de Qualidade</w:t>
      </w:r>
    </w:p>
    <w:p w14:paraId="01856CCF">
      <w:pPr>
        <w:spacing w:before="114" w:after="114" w:line="276" w:lineRule="auto"/>
        <w:ind w:left="510" w:right="113"/>
        <w:jc w:val="both"/>
      </w:pPr>
      <w:r>
        <w:rPr>
          <w:rFonts w:ascii="Century Gothic" w:hAnsi="Century Gothic"/>
          <w:b/>
          <w:bCs/>
        </w:rPr>
        <w:t>5.15.1.</w:t>
      </w:r>
      <w:r>
        <w:rPr>
          <w:rFonts w:ascii="Century Gothic" w:hAnsi="Century Gothic"/>
        </w:rPr>
        <w:t xml:space="preserve"> Quando for verificado pelo(a) responsável técnico(a) ou pela direção da escola, que a alimentação produzida nas Unidades Educacionais, não está própria para consumo, deverá ocorrer por parte da CONTRATADA à substituição imediata da preparação ou, quando não for possível, por uma preparação similar no aspecto nutricional e aceitabilidade.</w:t>
      </w:r>
    </w:p>
    <w:p w14:paraId="76ABE251">
      <w:pPr>
        <w:spacing w:before="114" w:after="114" w:line="276" w:lineRule="auto"/>
        <w:ind w:left="510" w:right="113"/>
        <w:jc w:val="both"/>
      </w:pPr>
      <w:r>
        <w:rPr>
          <w:rFonts w:ascii="Century Gothic" w:hAnsi="Century Gothic"/>
        </w:rPr>
        <w:t>Observar todos os procedimentos relacionados à manipulação dos gêneros alimentícios preparo e distribuição das refeições em conformidade com as normas da Vigilância Sanitária, de acordo com os dispositivos legais e regulamentares aplicáveis;</w:t>
      </w:r>
    </w:p>
    <w:p w14:paraId="3B162235">
      <w:pPr>
        <w:spacing w:before="114" w:after="114" w:line="276" w:lineRule="auto"/>
        <w:ind w:left="510" w:right="113"/>
        <w:jc w:val="both"/>
      </w:pPr>
      <w:r>
        <w:rPr>
          <w:rFonts w:ascii="Century Gothic" w:hAnsi="Century Gothic"/>
          <w:b/>
          <w:bCs/>
        </w:rPr>
        <w:t xml:space="preserve">5.15.2. </w:t>
      </w:r>
      <w:r>
        <w:rPr>
          <w:rFonts w:ascii="Century Gothic" w:hAnsi="Century Gothic"/>
        </w:rPr>
        <w:t>Manter amostras de todos os alimentos servidos por 72 (setenta e duas) horas, em recipientes ou embalagem e temperatura apropriados, nos locais onde foram preparados e servidos, de acordo com as normas da Vigilância Sanitária, a fim de sejam feitas análises em caso de problemas relacionados às refeições; Para cada refeição preparada, uma quantidade de 2 amostras de 100 (cem) gramas e/ou mililitros de cada preparação que se destinará para a coleta de amostras obrigatória, sem ônus para a CONTRATANTE.</w:t>
      </w:r>
    </w:p>
    <w:p w14:paraId="5B2B161B">
      <w:pPr>
        <w:spacing w:before="114" w:after="114" w:line="276" w:lineRule="auto"/>
        <w:ind w:left="510" w:right="113"/>
        <w:jc w:val="both"/>
      </w:pPr>
      <w:r>
        <w:rPr>
          <w:rFonts w:ascii="Century Gothic" w:hAnsi="Century Gothic"/>
          <w:b/>
          <w:bCs/>
        </w:rPr>
        <w:t xml:space="preserve">5.15.3. </w:t>
      </w:r>
      <w:r>
        <w:rPr>
          <w:rFonts w:ascii="Century Gothic" w:hAnsi="Century Gothic"/>
        </w:rPr>
        <w:t>A empresa vencedora deverá manter registros de controle de produção, monitoramento de processos, monitoramento de produto, controle de produtos não conformes e a rastreabilidade dos mesmos, visando à qualidade total dos produtos/serviços prestados;</w:t>
      </w:r>
    </w:p>
    <w:p w14:paraId="1EFBF542">
      <w:pPr>
        <w:spacing w:before="114" w:after="114" w:line="276" w:lineRule="auto"/>
        <w:ind w:left="510" w:right="113"/>
        <w:jc w:val="both"/>
      </w:pPr>
      <w:r>
        <w:rPr>
          <w:rFonts w:ascii="Century Gothic" w:hAnsi="Century Gothic"/>
          <w:b/>
          <w:bCs/>
        </w:rPr>
        <w:t xml:space="preserve">5.15.4. </w:t>
      </w:r>
      <w:r>
        <w:rPr>
          <w:rFonts w:ascii="Century Gothic" w:hAnsi="Century Gothic"/>
        </w:rPr>
        <w:t>Para a produção deverá ser utilizado per capita padrão, como referência, podendo ser adequado de acordo com as particularidades de cada Unidade Educacional, em comum acordo entre as partes.</w:t>
      </w:r>
    </w:p>
    <w:p w14:paraId="42FCAA96">
      <w:pPr>
        <w:spacing w:before="114" w:after="114" w:line="276" w:lineRule="auto"/>
        <w:ind w:left="510" w:right="113"/>
        <w:jc w:val="both"/>
      </w:pPr>
      <w:r>
        <w:rPr>
          <w:rFonts w:ascii="Century Gothic" w:hAnsi="Century Gothic"/>
          <w:b/>
          <w:bCs/>
        </w:rPr>
        <w:t xml:space="preserve">5.15.5. </w:t>
      </w:r>
      <w:r>
        <w:rPr>
          <w:rFonts w:ascii="Century Gothic" w:hAnsi="Century Gothic"/>
        </w:rPr>
        <w:t>Preparar a alimentação com gêneros comprovadamente de primeira qualidade, dentro do prazo de validade, de acordo com o Código Sanitário vigente, condição esta extensiva aos fornecedores que abastecerão a CONTRATADA.</w:t>
      </w:r>
    </w:p>
    <w:p w14:paraId="72290C83">
      <w:pPr>
        <w:spacing w:before="114" w:after="114" w:line="276" w:lineRule="auto"/>
        <w:ind w:left="340" w:right="170"/>
        <w:jc w:val="both"/>
      </w:pPr>
      <w:r>
        <w:rPr>
          <w:rFonts w:ascii="Century Gothic" w:hAnsi="Century Gothic"/>
          <w:b/>
          <w:bCs/>
        </w:rPr>
        <w:t>5.16. A CONTRATADA deverá acrescentar nas refeições que serão usufruídas pelos seus colaboradores (merendeiras) a quantidade per capita necessária para tal finalidade, sem ônus para a CONTRATANTE.</w:t>
      </w:r>
    </w:p>
    <w:p w14:paraId="2BD1FD7E">
      <w:pPr>
        <w:spacing w:before="114" w:after="114" w:line="276" w:lineRule="auto"/>
        <w:ind w:left="510" w:right="170"/>
        <w:jc w:val="both"/>
      </w:pPr>
      <w:r>
        <w:rPr>
          <w:rFonts w:ascii="Century Gothic" w:hAnsi="Century Gothic"/>
          <w:b/>
          <w:bCs/>
        </w:rPr>
        <w:t xml:space="preserve">5.16.1. </w:t>
      </w:r>
      <w:r>
        <w:rPr>
          <w:rFonts w:ascii="Century Gothic" w:hAnsi="Century Gothic"/>
        </w:rPr>
        <w:t>As sobras de alimentos não poderão ser reaproveitadas posteriormente. Acondicionar os alimentos que serão descartados em recipientes exclusivos para este fim, imediatamente após o término das refeições para serem removidos diariamente pela Contratada, em ambiente escolar destinado pela direção da unidade.</w:t>
      </w:r>
    </w:p>
    <w:p w14:paraId="31F6A703">
      <w:pPr>
        <w:spacing w:before="114" w:after="114" w:line="276" w:lineRule="auto"/>
        <w:ind w:left="510" w:right="170"/>
        <w:jc w:val="both"/>
      </w:pPr>
      <w:r>
        <w:rPr>
          <w:rFonts w:ascii="Century Gothic" w:hAnsi="Century Gothic"/>
          <w:b/>
          <w:bCs/>
        </w:rPr>
        <w:t xml:space="preserve">5.16.2. </w:t>
      </w:r>
      <w:r>
        <w:rPr>
          <w:rFonts w:ascii="Century Gothic" w:hAnsi="Century Gothic"/>
        </w:rPr>
        <w:t>Fornecer material de limpeza para todas as instalações, utensílios e equipamentos áreas de armazenamento, preparo e distribuição das refeições, como também material para higiene pessoal dos manipuladores (papel toalha e sabonete antisséptico).</w:t>
      </w:r>
    </w:p>
    <w:p w14:paraId="5E71E891">
      <w:pPr>
        <w:spacing w:before="114" w:after="114" w:line="276" w:lineRule="auto"/>
        <w:ind w:left="510" w:right="170"/>
        <w:jc w:val="both"/>
      </w:pPr>
      <w:r>
        <w:rPr>
          <w:rFonts w:ascii="Century Gothic" w:hAnsi="Century Gothic"/>
          <w:b/>
          <w:bCs/>
        </w:rPr>
        <w:t xml:space="preserve">5.16.3. </w:t>
      </w:r>
      <w:r>
        <w:rPr>
          <w:rFonts w:ascii="Century Gothic" w:hAnsi="Century Gothic"/>
        </w:rPr>
        <w:t>Quando a SECRETARIA MUNICIPAL DE EDUCAÇÃO encontrar alguma irregularidade em descumprimento com o estabelecido na legislação vigente e neste processo será suspenso o pagamento a nota fiscal referente à mão de obra e alimentos, até a regularização.</w:t>
      </w:r>
    </w:p>
    <w:p w14:paraId="52F3F1A5">
      <w:pPr>
        <w:spacing w:before="114" w:after="114" w:line="276" w:lineRule="auto"/>
        <w:ind w:left="340"/>
        <w:jc w:val="both"/>
      </w:pPr>
      <w:r>
        <w:rPr>
          <w:rFonts w:ascii="Century Gothic" w:hAnsi="Century Gothic"/>
          <w:b/>
          <w:bCs/>
        </w:rPr>
        <w:t>5.17. Equipamentos e Utensílios</w:t>
      </w:r>
    </w:p>
    <w:p w14:paraId="738A2127">
      <w:pPr>
        <w:spacing w:before="114" w:after="114" w:line="276" w:lineRule="auto"/>
        <w:ind w:left="510" w:right="170"/>
        <w:jc w:val="both"/>
      </w:pPr>
      <w:r>
        <w:rPr>
          <w:rFonts w:ascii="Century Gothic" w:hAnsi="Century Gothic"/>
          <w:b/>
          <w:bCs/>
        </w:rPr>
        <w:t xml:space="preserve">5.17.1. </w:t>
      </w:r>
      <w:r>
        <w:rPr>
          <w:rFonts w:ascii="Century Gothic" w:hAnsi="Century Gothic"/>
        </w:rPr>
        <w:t>As instalações existentes de cada unidade educacional, bem como os equipamentos e utensílios disponíveis, poderão ser aproveitados, a critério da CONTRATANTE, quando a mesma julgar necessário, para o preparo da alimentação quanto para distribuição e dispensa.</w:t>
      </w:r>
    </w:p>
    <w:p w14:paraId="1526C9AF">
      <w:pPr>
        <w:spacing w:before="114" w:after="114" w:line="276" w:lineRule="auto"/>
        <w:ind w:left="510" w:right="170"/>
        <w:jc w:val="both"/>
      </w:pPr>
      <w:r>
        <w:rPr>
          <w:rFonts w:ascii="Century Gothic" w:hAnsi="Century Gothic"/>
          <w:b/>
          <w:bCs/>
        </w:rPr>
        <w:t xml:space="preserve">5.17.2. </w:t>
      </w:r>
      <w:r>
        <w:rPr>
          <w:rFonts w:ascii="Century Gothic" w:hAnsi="Century Gothic"/>
        </w:rPr>
        <w:t>Caso os equipamentos e utensílios já existentes não sejam considerados suficientes ou adequados, a proponente vencedora deverá executar as adequações que julgar necessárias, observadas as condições impostas pelos órgãos sanitários, que correrão por sua conta e risco, sem ônus para a Prefeitura, devendo ser apresentadas, obrigatoriamente, em sua proposta.</w:t>
      </w:r>
    </w:p>
    <w:p w14:paraId="0C140370">
      <w:pPr>
        <w:spacing w:before="114" w:after="114" w:line="276" w:lineRule="auto"/>
        <w:ind w:left="510" w:right="170"/>
        <w:jc w:val="both"/>
      </w:pPr>
      <w:r>
        <w:rPr>
          <w:rFonts w:ascii="Century Gothic" w:hAnsi="Century Gothic"/>
          <w:b/>
          <w:bCs/>
        </w:rPr>
        <w:t xml:space="preserve">5.17.3. </w:t>
      </w:r>
      <w:r>
        <w:rPr>
          <w:rFonts w:ascii="Century Gothic" w:hAnsi="Century Gothic"/>
        </w:rPr>
        <w:t>A CONTRATADA será responsável pela manutenção corretiva dos equipamentos utilizados no serviço de alimentação (geladeira, freezer, fogão, forno, etc), podendo terceirizar o conserto através de empresa especializada;</w:t>
      </w:r>
    </w:p>
    <w:p w14:paraId="76D49063">
      <w:pPr>
        <w:spacing w:before="114" w:after="114" w:line="276" w:lineRule="auto"/>
        <w:ind w:left="510" w:right="170"/>
        <w:jc w:val="both"/>
      </w:pPr>
      <w:r>
        <w:rPr>
          <w:rFonts w:ascii="Century Gothic" w:hAnsi="Century Gothic"/>
          <w:b/>
          <w:bCs/>
        </w:rPr>
        <w:t xml:space="preserve">5.17.4. </w:t>
      </w:r>
      <w:r>
        <w:rPr>
          <w:rFonts w:ascii="Century Gothic" w:hAnsi="Century Gothic"/>
        </w:rPr>
        <w:t>Manutenções de reserva técnica de equipamentos (geladeira, freezer, fogão, forno), eletrodomésticos (liquidificador industrial, liquidificador doméstico, espremedor e balança, etc) e utensílio (termômetro), para substituição quando necessário a fim de não interromper a execução dos serviços.</w:t>
      </w:r>
    </w:p>
    <w:p w14:paraId="53B428B7">
      <w:pPr>
        <w:spacing w:before="114" w:after="114" w:line="276" w:lineRule="auto"/>
        <w:ind w:left="510" w:right="170"/>
        <w:jc w:val="both"/>
      </w:pPr>
      <w:r>
        <w:rPr>
          <w:rFonts w:ascii="Century Gothic" w:hAnsi="Century Gothic"/>
          <w:b/>
          <w:bCs/>
        </w:rPr>
        <w:t xml:space="preserve">5.17.5. </w:t>
      </w:r>
      <w:r>
        <w:rPr>
          <w:rFonts w:ascii="Century Gothic" w:hAnsi="Century Gothic"/>
        </w:rPr>
        <w:t>Responsabilidade pela manutenção corretiva e operacionalização dos equipamentos necessários à prestação de serviços para o preparo e servimento de alimentação escolar nas cozinhas das UEs, geladeira, freezer, fogão, forno. A manutenção do fogão e forno envolve também a mangueira de gás e o registro dos mesmos; substituir a mangueira do gás 10 dias antes do vencimento;</w:t>
      </w:r>
    </w:p>
    <w:p w14:paraId="418ACCF9">
      <w:pPr>
        <w:spacing w:before="114" w:after="114" w:line="276" w:lineRule="auto"/>
        <w:ind w:left="510" w:right="227"/>
        <w:jc w:val="both"/>
      </w:pPr>
      <w:r>
        <w:rPr>
          <w:rFonts w:ascii="Century Gothic" w:hAnsi="Century Gothic"/>
          <w:b/>
          <w:bCs/>
        </w:rPr>
        <w:t xml:space="preserve">5.17.6. </w:t>
      </w:r>
      <w:r>
        <w:rPr>
          <w:rFonts w:ascii="Century Gothic" w:hAnsi="Century Gothic"/>
        </w:rPr>
        <w:t>Programação da manutenção, reposição de peças e/ou conserto dos equipamentos de modo que sua ausência não prejudique o funcionamento do serviço. Os equipamentos devem ser entregues em adequadas condições de funcionamento após os reparos ou substituições de peças. As manutenções devem ser devidamente registradas e atestadas pela SECRETARIA MUNICIPAL DE EDUCAÇÃO;</w:t>
      </w:r>
    </w:p>
    <w:p w14:paraId="04E633CB">
      <w:pPr>
        <w:spacing w:before="114" w:after="114" w:line="276" w:lineRule="auto"/>
        <w:ind w:left="510" w:right="227"/>
        <w:jc w:val="both"/>
      </w:pPr>
      <w:r>
        <w:rPr>
          <w:rFonts w:ascii="Century Gothic" w:hAnsi="Century Gothic"/>
          <w:b/>
          <w:bCs/>
        </w:rPr>
        <w:t xml:space="preserve">5.17.7. </w:t>
      </w:r>
      <w:r>
        <w:rPr>
          <w:rFonts w:ascii="Century Gothic" w:hAnsi="Century Gothic"/>
        </w:rPr>
        <w:t>Manutenção de reserva técnica de equipamentos (geladeira, freezer, fogão, forno e micro-ondas), eletrodomésticos (liquidificador industrial, espremedor e balança) e utensílio (termômetro), para reposição daqueles danificados até a substituição que será realizada pela Contratante. Deverá ser preenchido formulário próprio para acompanhamento do serviço.</w:t>
      </w:r>
    </w:p>
    <w:p w14:paraId="0E5DA33A">
      <w:pPr>
        <w:spacing w:before="114" w:after="114" w:line="276" w:lineRule="auto"/>
        <w:ind w:left="510" w:right="227"/>
        <w:jc w:val="both"/>
      </w:pPr>
      <w:r>
        <w:rPr>
          <w:rFonts w:ascii="Century Gothic" w:hAnsi="Century Gothic"/>
          <w:b/>
          <w:bCs/>
        </w:rPr>
        <w:t xml:space="preserve">5.17.8. </w:t>
      </w:r>
      <w:r>
        <w:rPr>
          <w:rFonts w:ascii="Century Gothic" w:hAnsi="Century Gothic"/>
        </w:rPr>
        <w:t>Realizar as manutenções relativas aos pequenos reparos, como, sifões das pias, torneiras, lâmpadas comuns, das áreas de cozinha e dispensa, em no máximo 72 (setenta e duas horas) da solicitação da SECRETARIA MUNICIPAL DE EDUCAÇÃO. Caso seja identificado outros grandes reparos no momento da manutenção/reparos, a contratada repassará de forma escrita a SECRETARIA MUNICIPAL DE EDUCAÇÃO tal necessidade e solicitação da manutenção.</w:t>
      </w:r>
    </w:p>
    <w:p w14:paraId="394BAF8D">
      <w:pPr>
        <w:spacing w:before="114" w:after="114" w:line="276" w:lineRule="auto"/>
        <w:ind w:left="510" w:right="227"/>
        <w:jc w:val="both"/>
      </w:pPr>
      <w:r>
        <w:rPr>
          <w:rFonts w:ascii="Century Gothic" w:hAnsi="Century Gothic"/>
          <w:b/>
          <w:bCs/>
        </w:rPr>
        <w:t xml:space="preserve">5.17.9. </w:t>
      </w:r>
      <w:r>
        <w:rPr>
          <w:rFonts w:ascii="Century Gothic" w:hAnsi="Century Gothic"/>
        </w:rPr>
        <w:t>As proponentes, quando na vistoria, deverão observar os equipamentos e utensílios a serem complementados inicialmente em cada unidade educacional relacionando-os em quantitativos para atendimento dentro das normas técnicas exigidas para o bom desempenho dos serviços, bem como apresentar junto com os documentos de habilitação declaração de comprometimento que durante toda a execução contratual, os manterá qualitativamente e quantitativamente em perfeito estado de funcionamento.</w:t>
      </w:r>
    </w:p>
    <w:p w14:paraId="279A9901">
      <w:pPr>
        <w:spacing w:before="114" w:after="114" w:line="276" w:lineRule="auto"/>
        <w:ind w:left="510" w:right="227"/>
        <w:jc w:val="both"/>
      </w:pPr>
      <w:r>
        <w:rPr>
          <w:rFonts w:ascii="Century Gothic" w:hAnsi="Century Gothic"/>
          <w:b/>
          <w:bCs/>
        </w:rPr>
        <w:t xml:space="preserve">5.17.10. </w:t>
      </w:r>
      <w:r>
        <w:rPr>
          <w:rFonts w:ascii="Century Gothic" w:hAnsi="Century Gothic"/>
        </w:rPr>
        <w:t>Fica sob responsabilidade da CONTRATANTE adequações elétricas/hidráulicas necessárias para a instalação dos balcões.</w:t>
      </w:r>
    </w:p>
    <w:p w14:paraId="70EC7A9A">
      <w:pPr>
        <w:spacing w:before="114" w:after="114" w:line="276" w:lineRule="auto"/>
        <w:ind w:left="510" w:right="283"/>
        <w:jc w:val="both"/>
      </w:pPr>
      <w:r>
        <w:rPr>
          <w:rStyle w:val="128"/>
          <w:rFonts w:ascii="Century Gothic" w:hAnsi="Century Gothic" w:eastAsia="Arial"/>
          <w:b/>
          <w:bCs/>
          <w:color w:val="000000"/>
        </w:rPr>
        <w:t xml:space="preserve">5.17.11. </w:t>
      </w:r>
      <w:r>
        <w:rPr>
          <w:rStyle w:val="128"/>
          <w:rFonts w:ascii="Century Gothic" w:hAnsi="Century Gothic" w:eastAsia="Arial"/>
          <w:color w:val="000000"/>
        </w:rPr>
        <w:t>A CONTRATADA deverá obrigatoriamente ao término deste contrato, garantir os utensílios e equipamentos em condições e número igual ao dia que assumiu o serviço.</w:t>
      </w:r>
    </w:p>
    <w:tbl>
      <w:tblPr>
        <w:tblStyle w:val="12"/>
        <w:tblW w:w="9731" w:type="dxa"/>
        <w:tblInd w:w="153" w:type="dxa"/>
        <w:tblLayout w:type="fixed"/>
        <w:tblCellMar>
          <w:top w:w="0" w:type="dxa"/>
          <w:left w:w="108" w:type="dxa"/>
          <w:bottom w:w="0" w:type="dxa"/>
          <w:right w:w="108" w:type="dxa"/>
        </w:tblCellMar>
      </w:tblPr>
      <w:tblGrid>
        <w:gridCol w:w="9731"/>
      </w:tblGrid>
      <w:tr w14:paraId="13E43F98">
        <w:tblPrEx>
          <w:tblCellMar>
            <w:top w:w="0" w:type="dxa"/>
            <w:left w:w="108" w:type="dxa"/>
            <w:bottom w:w="0" w:type="dxa"/>
            <w:right w:w="108" w:type="dxa"/>
          </w:tblCellMar>
        </w:tblPrEx>
        <w:trPr>
          <w:trHeight w:val="290" w:hRule="atLeast"/>
        </w:trPr>
        <w:tc>
          <w:tcPr>
            <w:tcW w:w="9731" w:type="dxa"/>
            <w:tcBorders>
              <w:top w:val="single" w:color="000000" w:sz="4" w:space="0"/>
              <w:left w:val="single" w:color="000000" w:sz="4" w:space="0"/>
              <w:bottom w:val="single" w:color="000000" w:sz="4" w:space="0"/>
              <w:right w:val="single" w:color="000000" w:sz="4" w:space="0"/>
            </w:tcBorders>
            <w:shd w:val="clear" w:color="auto" w:fill="DDDDDD"/>
          </w:tcPr>
          <w:p w14:paraId="3B284B79">
            <w:pPr>
              <w:widowControl w:val="0"/>
              <w:spacing w:before="57" w:after="57"/>
              <w:jc w:val="center"/>
              <w:rPr>
                <w:sz w:val="22"/>
                <w:szCs w:val="22"/>
              </w:rPr>
            </w:pPr>
            <w:r>
              <w:rPr>
                <w:rFonts w:ascii="Century Gothic" w:hAnsi="Century Gothic"/>
                <w:b/>
                <w:bCs/>
                <w:sz w:val="22"/>
                <w:szCs w:val="22"/>
              </w:rPr>
              <w:t>6. REQUISITOS DA CONTRATAÇÃO – Art. 6º, XXIII, “d”</w:t>
            </w:r>
          </w:p>
        </w:tc>
      </w:tr>
    </w:tbl>
    <w:p w14:paraId="36686D81">
      <w:pPr>
        <w:spacing w:line="276" w:lineRule="auto"/>
        <w:ind w:left="-567" w:right="454"/>
        <w:jc w:val="both"/>
        <w:rPr>
          <w:rFonts w:ascii="Century Gothic" w:hAnsi="Century Gothic"/>
          <w:sz w:val="10"/>
          <w:szCs w:val="10"/>
        </w:rPr>
      </w:pPr>
    </w:p>
    <w:p w14:paraId="5F3DCC0C">
      <w:pPr>
        <w:spacing w:line="276" w:lineRule="auto"/>
        <w:ind w:left="57" w:right="283"/>
        <w:jc w:val="both"/>
        <w:rPr>
          <w:rFonts w:ascii="Century Gothic" w:hAnsi="Century Gothic"/>
        </w:rPr>
      </w:pPr>
      <w:r>
        <w:rPr>
          <w:rFonts w:ascii="Century Gothic" w:hAnsi="Century Gothic"/>
        </w:rPr>
        <w:t>A prestação dos serviços de alimentação escolar no município de Rondonópolis/MT deverá atender a requisitos técnicos, operacionais, sanitários e nutricionais rigorosos, de modo a garantir a qualidade das refeições fornecidas, a segurança alimentar dos alunos da rede pública municipal de ensino e a eficiência na execução contratual.</w:t>
      </w:r>
    </w:p>
    <w:p w14:paraId="60C9CE8F">
      <w:pPr>
        <w:spacing w:line="276" w:lineRule="auto"/>
        <w:ind w:left="57" w:right="283"/>
        <w:jc w:val="both"/>
        <w:rPr>
          <w:rFonts w:ascii="Century Gothic" w:hAnsi="Century Gothic"/>
        </w:rPr>
      </w:pPr>
      <w:r>
        <w:rPr>
          <w:rFonts w:ascii="Century Gothic" w:hAnsi="Century Gothic"/>
        </w:rPr>
        <w:t>A empresa contratada deverá dispor de estrutura física, logística, técnica e administrativa compatível com a complexidade e abrangência do serviço, observando os seguintes requisitos mínimos:</w:t>
      </w:r>
    </w:p>
    <w:p w14:paraId="39063ADC">
      <w:pPr>
        <w:spacing w:line="276" w:lineRule="auto"/>
        <w:ind w:left="57" w:right="227"/>
        <w:jc w:val="both"/>
        <w:rPr>
          <w:rFonts w:ascii="Century Gothic" w:hAnsi="Century Gothic"/>
          <w:b/>
          <w:bCs/>
        </w:rPr>
      </w:pPr>
      <w:bookmarkStart w:id="53" w:name="_heading=h.jk2dfrcfb6q0_Copia_1"/>
      <w:bookmarkEnd w:id="53"/>
      <w:r>
        <w:rPr>
          <w:rFonts w:ascii="Century Gothic" w:hAnsi="Century Gothic"/>
          <w:b/>
          <w:bCs/>
        </w:rPr>
        <w:t>a) Qualidade dos insumos alimentares</w:t>
      </w:r>
    </w:p>
    <w:p w14:paraId="3F0CEDE0">
      <w:pPr>
        <w:spacing w:line="276" w:lineRule="auto"/>
        <w:ind w:left="57" w:right="227"/>
        <w:jc w:val="both"/>
        <w:rPr>
          <w:rFonts w:ascii="Century Gothic" w:hAnsi="Century Gothic"/>
        </w:rPr>
      </w:pPr>
      <w:r>
        <w:rPr>
          <w:rFonts w:ascii="Century Gothic" w:hAnsi="Century Gothic"/>
        </w:rPr>
        <w:t>Todos os gêneros alimentícios utilizados no preparo das refeições deverão:</w:t>
      </w:r>
    </w:p>
    <w:p w14:paraId="6E0E900D">
      <w:pPr>
        <w:numPr>
          <w:ilvl w:val="0"/>
          <w:numId w:val="11"/>
        </w:numPr>
        <w:spacing w:line="276" w:lineRule="auto"/>
        <w:ind w:left="737" w:right="283" w:hanging="340"/>
        <w:jc w:val="both"/>
      </w:pPr>
      <w:r>
        <w:rPr>
          <w:rFonts w:ascii="Century Gothic" w:hAnsi="Century Gothic"/>
        </w:rPr>
        <w:t>Atender aos padrões estabelecidos pelo Programa Nacional de Alimentação Escolar (PNAE) e às diretrizes nutricionais vigentes;</w:t>
      </w:r>
    </w:p>
    <w:p w14:paraId="3FB92F38">
      <w:pPr>
        <w:numPr>
          <w:ilvl w:val="0"/>
          <w:numId w:val="11"/>
        </w:numPr>
        <w:spacing w:line="276" w:lineRule="auto"/>
        <w:ind w:left="737" w:right="283" w:hanging="340"/>
        <w:jc w:val="both"/>
        <w:rPr>
          <w:rFonts w:ascii="Century Gothic" w:hAnsi="Century Gothic"/>
        </w:rPr>
      </w:pPr>
      <w:r>
        <w:rPr>
          <w:rFonts w:ascii="Century Gothic" w:hAnsi="Century Gothic"/>
        </w:rPr>
        <w:t>Estar em conformidade com as normas da Agência Nacional de Vigilância Sanitária (ANVISA);</w:t>
      </w:r>
    </w:p>
    <w:p w14:paraId="3E5551C8">
      <w:pPr>
        <w:numPr>
          <w:ilvl w:val="0"/>
          <w:numId w:val="11"/>
        </w:numPr>
        <w:spacing w:line="276" w:lineRule="auto"/>
        <w:ind w:left="737" w:right="283" w:hanging="340"/>
        <w:jc w:val="both"/>
        <w:rPr>
          <w:rFonts w:ascii="Century Gothic" w:hAnsi="Century Gothic"/>
        </w:rPr>
      </w:pPr>
      <w:r>
        <w:rPr>
          <w:rFonts w:ascii="Century Gothic" w:hAnsi="Century Gothic"/>
        </w:rPr>
        <w:t>Ser adquiridos de fornecedores legalmente habilitados, com procedência comprovada, dentro do prazo de validade e devidamente acondicionados;</w:t>
      </w:r>
    </w:p>
    <w:p w14:paraId="6A2F48B6">
      <w:pPr>
        <w:numPr>
          <w:ilvl w:val="0"/>
          <w:numId w:val="11"/>
        </w:numPr>
        <w:spacing w:line="276" w:lineRule="auto"/>
        <w:ind w:left="737" w:right="283" w:hanging="340"/>
        <w:jc w:val="both"/>
        <w:rPr>
          <w:rFonts w:ascii="Century Gothic" w:hAnsi="Century Gothic"/>
        </w:rPr>
      </w:pPr>
      <w:r>
        <w:rPr>
          <w:rFonts w:ascii="Century Gothic" w:hAnsi="Century Gothic"/>
        </w:rPr>
        <w:t>Priorizar o uso de alimentos in natura ou minimamente processados, em detrimento de ultraprocessados, conforme preconizado nas políticas nacionais de alimentação e nutrição.</w:t>
      </w:r>
    </w:p>
    <w:p w14:paraId="33054CE7">
      <w:pPr>
        <w:spacing w:line="276" w:lineRule="auto"/>
        <w:jc w:val="both"/>
        <w:rPr>
          <w:rFonts w:ascii="Century Gothic" w:hAnsi="Century Gothic"/>
          <w:b/>
          <w:bCs/>
        </w:rPr>
      </w:pPr>
      <w:bookmarkStart w:id="54" w:name="_heading=h.y7rvsy17rh08_Copia_1"/>
      <w:bookmarkEnd w:id="54"/>
      <w:r>
        <w:rPr>
          <w:rFonts w:ascii="Century Gothic" w:hAnsi="Century Gothic"/>
          <w:b/>
          <w:bCs/>
        </w:rPr>
        <w:t>b) Segurança alimentar e sanitária</w:t>
      </w:r>
    </w:p>
    <w:p w14:paraId="6D640B23">
      <w:pPr>
        <w:spacing w:line="276" w:lineRule="auto"/>
        <w:jc w:val="both"/>
        <w:rPr>
          <w:rFonts w:ascii="Century Gothic" w:hAnsi="Century Gothic"/>
        </w:rPr>
      </w:pPr>
      <w:r>
        <w:rPr>
          <w:rFonts w:ascii="Century Gothic" w:hAnsi="Century Gothic"/>
        </w:rPr>
        <w:t>A empresa contratada deverá:</w:t>
      </w:r>
    </w:p>
    <w:p w14:paraId="320C3A06">
      <w:pPr>
        <w:numPr>
          <w:ilvl w:val="0"/>
          <w:numId w:val="13"/>
        </w:numPr>
        <w:spacing w:line="276" w:lineRule="auto"/>
        <w:ind w:left="737" w:right="283" w:hanging="340"/>
        <w:jc w:val="both"/>
      </w:pPr>
      <w:r>
        <w:rPr>
          <w:rFonts w:ascii="Century Gothic" w:hAnsi="Century Gothic"/>
        </w:rPr>
        <w:t>Adotar integralmente as Boas Práticas de Manipulação de Alimentos, incluindo higienização adequada de insumos, equipamentos, utensílios e ambientes;</w:t>
      </w:r>
    </w:p>
    <w:p w14:paraId="1A1AB8D8">
      <w:pPr>
        <w:numPr>
          <w:ilvl w:val="0"/>
          <w:numId w:val="13"/>
        </w:numPr>
        <w:spacing w:line="276" w:lineRule="auto"/>
        <w:ind w:left="737" w:right="283" w:hanging="340"/>
        <w:jc w:val="both"/>
        <w:rPr>
          <w:rFonts w:ascii="Century Gothic" w:hAnsi="Century Gothic"/>
        </w:rPr>
      </w:pPr>
      <w:r>
        <w:rPr>
          <w:rFonts w:ascii="Century Gothic" w:hAnsi="Century Gothic"/>
        </w:rPr>
        <w:t>Garantir o armazenamento correto dos produtos alimentícios, respeitando temperatura, ventilação, validade e prazos de consumo;</w:t>
      </w:r>
    </w:p>
    <w:p w14:paraId="0E3206F2">
      <w:pPr>
        <w:numPr>
          <w:ilvl w:val="0"/>
          <w:numId w:val="13"/>
        </w:numPr>
        <w:spacing w:line="276" w:lineRule="auto"/>
        <w:ind w:left="737" w:right="283" w:hanging="340"/>
        <w:jc w:val="both"/>
        <w:rPr>
          <w:rFonts w:ascii="Century Gothic" w:hAnsi="Century Gothic"/>
        </w:rPr>
      </w:pPr>
      <w:r>
        <w:rPr>
          <w:rFonts w:ascii="Century Gothic" w:hAnsi="Century Gothic"/>
        </w:rPr>
        <w:t>Cumprir as exigências legais constantes na legislação sanitária federal, estadual e municipal;</w:t>
      </w:r>
    </w:p>
    <w:p w14:paraId="3041288A">
      <w:pPr>
        <w:numPr>
          <w:ilvl w:val="0"/>
          <w:numId w:val="13"/>
        </w:numPr>
        <w:spacing w:line="276" w:lineRule="auto"/>
        <w:ind w:left="737" w:right="283" w:hanging="340"/>
        <w:jc w:val="both"/>
        <w:rPr>
          <w:rFonts w:ascii="Century Gothic" w:hAnsi="Century Gothic"/>
        </w:rPr>
      </w:pPr>
      <w:r>
        <w:rPr>
          <w:rFonts w:ascii="Century Gothic" w:hAnsi="Century Gothic"/>
        </w:rPr>
        <w:t>Submeter-se a inspeções técnicas periódicas, realizadas por profissionais da área de nutrição e fiscalização da Administração, com registros documentados.</w:t>
      </w:r>
    </w:p>
    <w:p w14:paraId="4EBCF991">
      <w:pPr>
        <w:spacing w:line="276" w:lineRule="auto"/>
        <w:jc w:val="both"/>
        <w:rPr>
          <w:rFonts w:ascii="Century Gothic" w:hAnsi="Century Gothic"/>
          <w:b/>
          <w:bCs/>
        </w:rPr>
      </w:pPr>
      <w:bookmarkStart w:id="55" w:name="_heading=h.kuh3z5qnw1jj_Copia_1"/>
      <w:bookmarkEnd w:id="55"/>
      <w:r>
        <w:rPr>
          <w:rFonts w:ascii="Century Gothic" w:hAnsi="Century Gothic"/>
          <w:b/>
          <w:bCs/>
        </w:rPr>
        <w:t>c) Capacidade operacional e equipe técnica</w:t>
      </w:r>
    </w:p>
    <w:p w14:paraId="42BF1BCC">
      <w:pPr>
        <w:spacing w:line="276" w:lineRule="auto"/>
        <w:jc w:val="both"/>
        <w:rPr>
          <w:rFonts w:ascii="Century Gothic" w:hAnsi="Century Gothic"/>
        </w:rPr>
      </w:pPr>
      <w:r>
        <w:rPr>
          <w:rFonts w:ascii="Century Gothic" w:hAnsi="Century Gothic"/>
        </w:rPr>
        <w:t>A empresa deverá comprovar:</w:t>
      </w:r>
    </w:p>
    <w:p w14:paraId="389A3F12">
      <w:pPr>
        <w:numPr>
          <w:ilvl w:val="0"/>
          <w:numId w:val="14"/>
        </w:numPr>
        <w:spacing w:line="276" w:lineRule="auto"/>
        <w:ind w:left="737" w:right="283" w:hanging="340"/>
        <w:jc w:val="both"/>
      </w:pPr>
      <w:r>
        <w:rPr>
          <w:rFonts w:ascii="Century Gothic" w:hAnsi="Century Gothic"/>
        </w:rPr>
        <w:t>Experiência anterior na prestação de serviços de alimentação escolar ou correlatos em órgãos públicos;</w:t>
      </w:r>
    </w:p>
    <w:p w14:paraId="107266D7">
      <w:pPr>
        <w:numPr>
          <w:ilvl w:val="0"/>
          <w:numId w:val="14"/>
        </w:numPr>
        <w:spacing w:line="276" w:lineRule="auto"/>
        <w:ind w:left="737" w:right="283" w:hanging="340"/>
        <w:jc w:val="both"/>
        <w:rPr>
          <w:rFonts w:ascii="Century Gothic" w:hAnsi="Century Gothic"/>
        </w:rPr>
      </w:pPr>
      <w:r>
        <w:rPr>
          <w:rFonts w:ascii="Century Gothic" w:hAnsi="Century Gothic"/>
        </w:rPr>
        <w:t>Disponibilização de mão de obra qualificada, incluindo nutricionistas, cozinheiros, auxiliares de cozinha, supervisores e motoristas;</w:t>
      </w:r>
    </w:p>
    <w:p w14:paraId="0FDFFCA8">
      <w:pPr>
        <w:numPr>
          <w:ilvl w:val="0"/>
          <w:numId w:val="14"/>
        </w:numPr>
        <w:spacing w:line="276" w:lineRule="auto"/>
        <w:ind w:left="737" w:right="283" w:hanging="340"/>
        <w:jc w:val="both"/>
        <w:rPr>
          <w:rFonts w:ascii="Century Gothic" w:hAnsi="Century Gothic"/>
        </w:rPr>
      </w:pPr>
      <w:r>
        <w:rPr>
          <w:rFonts w:ascii="Century Gothic" w:hAnsi="Century Gothic"/>
        </w:rPr>
        <w:t>Capacidade de atender toda a rede municipal de ensino, inclusive em áreas de difícil acesso, com manutenção de regularidade e pontualidade na distribuição das refeições;</w:t>
      </w:r>
    </w:p>
    <w:p w14:paraId="1EEC7580">
      <w:pPr>
        <w:numPr>
          <w:ilvl w:val="0"/>
          <w:numId w:val="14"/>
        </w:numPr>
        <w:spacing w:line="276" w:lineRule="auto"/>
        <w:ind w:left="737" w:right="283" w:hanging="340"/>
        <w:jc w:val="both"/>
        <w:rPr>
          <w:rFonts w:ascii="Century Gothic" w:hAnsi="Century Gothic"/>
        </w:rPr>
      </w:pPr>
      <w:r>
        <w:rPr>
          <w:rFonts w:ascii="Century Gothic" w:hAnsi="Century Gothic"/>
        </w:rPr>
        <w:t>Apresentação de plano de trabalho detalhado, com cronogramas de entrega, rotas logísticas e plano de contingência.</w:t>
      </w:r>
    </w:p>
    <w:p w14:paraId="70647960">
      <w:pPr>
        <w:spacing w:line="276" w:lineRule="auto"/>
        <w:jc w:val="both"/>
        <w:rPr>
          <w:rFonts w:ascii="Century Gothic" w:hAnsi="Century Gothic"/>
          <w:b/>
          <w:bCs/>
        </w:rPr>
      </w:pPr>
      <w:bookmarkStart w:id="56" w:name="_heading=h.7n75xcsgqqc3_Copia_1"/>
      <w:bookmarkEnd w:id="56"/>
      <w:r>
        <w:rPr>
          <w:rFonts w:ascii="Century Gothic" w:hAnsi="Century Gothic"/>
          <w:b/>
          <w:bCs/>
        </w:rPr>
        <w:t>d) Equipamentos e manutenção</w:t>
      </w:r>
    </w:p>
    <w:p w14:paraId="59915BD3">
      <w:pPr>
        <w:spacing w:line="276" w:lineRule="auto"/>
        <w:jc w:val="both"/>
        <w:rPr>
          <w:rFonts w:ascii="Century Gothic" w:hAnsi="Century Gothic"/>
        </w:rPr>
      </w:pPr>
      <w:r>
        <w:rPr>
          <w:rFonts w:ascii="Century Gothic" w:hAnsi="Century Gothic"/>
        </w:rPr>
        <w:t>Compete à contratada:</w:t>
      </w:r>
    </w:p>
    <w:p w14:paraId="387C828C">
      <w:pPr>
        <w:numPr>
          <w:ilvl w:val="0"/>
          <w:numId w:val="15"/>
        </w:numPr>
        <w:spacing w:line="276" w:lineRule="auto"/>
        <w:ind w:left="737" w:right="283" w:hanging="340"/>
        <w:jc w:val="both"/>
        <w:rPr>
          <w:rFonts w:ascii="Century Gothic" w:hAnsi="Century Gothic"/>
        </w:rPr>
      </w:pPr>
      <w:r>
        <w:rPr>
          <w:rFonts w:ascii="Century Gothic" w:hAnsi="Century Gothic"/>
        </w:rPr>
        <w:t>Providenciar e manter em funcionamento adequado os equipamentos utilizados no preparo, conservação e distribuição das refeições, como fogões industriais, freezers, geladeiras, balcões térmicos, caixas térmicas, entre outros;</w:t>
      </w:r>
    </w:p>
    <w:p w14:paraId="1BA906FC">
      <w:pPr>
        <w:numPr>
          <w:ilvl w:val="0"/>
          <w:numId w:val="15"/>
        </w:numPr>
        <w:spacing w:line="276" w:lineRule="auto"/>
        <w:ind w:left="737" w:right="283" w:hanging="340"/>
        <w:jc w:val="both"/>
      </w:pPr>
      <w:r>
        <w:rPr>
          <w:rFonts w:ascii="Century Gothic" w:hAnsi="Century Gothic"/>
        </w:rPr>
        <w:t>Realizar manutenções preventivas e corretivas, conforme cronograma estabelecido, evitando a interrupção dos serviços por falhas técnicas;</w:t>
      </w:r>
    </w:p>
    <w:p w14:paraId="3E7DA805">
      <w:pPr>
        <w:numPr>
          <w:ilvl w:val="0"/>
          <w:numId w:val="15"/>
        </w:numPr>
        <w:spacing w:line="276" w:lineRule="auto"/>
        <w:ind w:left="737" w:right="283" w:hanging="340"/>
        <w:jc w:val="both"/>
        <w:rPr>
          <w:rFonts w:ascii="Century Gothic" w:hAnsi="Century Gothic"/>
        </w:rPr>
      </w:pPr>
      <w:r>
        <w:rPr>
          <w:rFonts w:ascii="Century Gothic" w:hAnsi="Century Gothic"/>
        </w:rPr>
        <w:t>Zelar pela conservação dos utensílios e mobiliários utilizados nas cozinhas e refeitórios escolares, promovendo a reposição quando necessário.</w:t>
      </w:r>
    </w:p>
    <w:p w14:paraId="75A3A3AD">
      <w:pPr>
        <w:spacing w:line="276" w:lineRule="auto"/>
        <w:jc w:val="both"/>
        <w:rPr>
          <w:rFonts w:ascii="Century Gothic" w:hAnsi="Century Gothic"/>
          <w:b/>
          <w:bCs/>
        </w:rPr>
      </w:pPr>
      <w:bookmarkStart w:id="57" w:name="_heading=h.g9h6h5f8qham_Copia_1"/>
      <w:bookmarkEnd w:id="57"/>
      <w:r>
        <w:rPr>
          <w:rFonts w:ascii="Century Gothic" w:hAnsi="Century Gothic"/>
          <w:b/>
          <w:bCs/>
        </w:rPr>
        <w:t>e) Logística e transporte</w:t>
      </w:r>
    </w:p>
    <w:p w14:paraId="21CB1837">
      <w:pPr>
        <w:overflowPunct w:val="0"/>
        <w:spacing w:line="276" w:lineRule="auto"/>
        <w:ind w:right="454"/>
        <w:jc w:val="both"/>
        <w:rPr>
          <w:rFonts w:ascii="Century Gothic" w:hAnsi="Century Gothic"/>
        </w:rPr>
      </w:pPr>
      <w:r>
        <w:rPr>
          <w:rFonts w:ascii="Century Gothic" w:hAnsi="Century Gothic"/>
        </w:rPr>
        <w:t>A logística de transporte dos insumos e distribuição das refeições deverá:</w:t>
      </w:r>
    </w:p>
    <w:p w14:paraId="076CACE8">
      <w:pPr>
        <w:numPr>
          <w:ilvl w:val="0"/>
          <w:numId w:val="16"/>
        </w:numPr>
        <w:spacing w:line="276" w:lineRule="auto"/>
        <w:ind w:left="737" w:right="283" w:hanging="340"/>
        <w:jc w:val="both"/>
      </w:pPr>
      <w:r>
        <w:rPr>
          <w:rFonts w:ascii="Century Gothic" w:hAnsi="Century Gothic"/>
        </w:rPr>
        <w:t>Ser executada com veículos apropriados para transporte de alimentos, refrigerados ou isotérmicos, conforme a natureza dos gêneros transportados;</w:t>
      </w:r>
    </w:p>
    <w:p w14:paraId="6F31F939">
      <w:pPr>
        <w:numPr>
          <w:ilvl w:val="0"/>
          <w:numId w:val="16"/>
        </w:numPr>
        <w:spacing w:line="276" w:lineRule="auto"/>
        <w:ind w:left="737" w:right="283" w:hanging="340"/>
        <w:jc w:val="both"/>
        <w:rPr>
          <w:rFonts w:ascii="Century Gothic" w:hAnsi="Century Gothic"/>
        </w:rPr>
      </w:pPr>
      <w:r>
        <w:rPr>
          <w:rFonts w:ascii="Century Gothic" w:hAnsi="Century Gothic"/>
        </w:rPr>
        <w:t>Seguir roteiros logísticos otimizados, respeitando os horários de funcionamento das unidades escolares e as condições de acesso das vias públicas;</w:t>
      </w:r>
    </w:p>
    <w:p w14:paraId="6B3301B5">
      <w:pPr>
        <w:numPr>
          <w:ilvl w:val="0"/>
          <w:numId w:val="16"/>
        </w:numPr>
        <w:spacing w:line="276" w:lineRule="auto"/>
        <w:ind w:left="737" w:right="283" w:hanging="340"/>
        <w:jc w:val="both"/>
        <w:rPr>
          <w:rFonts w:ascii="Century Gothic" w:hAnsi="Century Gothic"/>
        </w:rPr>
      </w:pPr>
      <w:r>
        <w:rPr>
          <w:rFonts w:ascii="Century Gothic" w:hAnsi="Century Gothic"/>
        </w:rPr>
        <w:t>Garantir que os produtos alimentícios cheguem às escolas em condições ideais de consumo, integridade e segurança alimentar.</w:t>
      </w:r>
    </w:p>
    <w:p w14:paraId="1ED55C4A">
      <w:pPr>
        <w:spacing w:line="276" w:lineRule="auto"/>
        <w:ind w:right="283"/>
        <w:jc w:val="both"/>
      </w:pPr>
      <w:bookmarkStart w:id="58" w:name="_heading=h.7ody3a1edxbd_Copia_1"/>
      <w:bookmarkEnd w:id="58"/>
      <w:r>
        <w:rPr>
          <w:rFonts w:ascii="Century Gothic" w:hAnsi="Century Gothic"/>
        </w:rPr>
        <w:t>Todos esses requisitos deverão constar expressamente no Termo de Referência e no contrato administrativo, sendo objeto de fiscalização contínua por parte da Administração Pública, com base em indicadores de desempenho e critérios técnicos previamente definidos.</w:t>
      </w:r>
    </w:p>
    <w:p w14:paraId="7A424D22">
      <w:pPr>
        <w:spacing w:line="276" w:lineRule="auto"/>
        <w:ind w:right="227"/>
        <w:jc w:val="both"/>
      </w:pPr>
      <w:r>
        <w:rPr>
          <w:rFonts w:ascii="Century Gothic" w:hAnsi="Century Gothic"/>
          <w:b/>
          <w:bCs/>
          <w:color w:val="000000"/>
        </w:rPr>
        <w:t>6.1. Requisitos Específicos para o Pregão Eletrônico</w:t>
      </w:r>
    </w:p>
    <w:p w14:paraId="5C9611C7">
      <w:pPr>
        <w:spacing w:line="276" w:lineRule="auto"/>
        <w:ind w:left="737" w:right="454"/>
        <w:jc w:val="both"/>
        <w:rPr>
          <w:rFonts w:ascii="Century Gothic" w:hAnsi="Century Gothic"/>
          <w:b/>
          <w:bCs/>
        </w:rPr>
      </w:pPr>
      <w:r>
        <w:rPr>
          <w:rFonts w:ascii="Century Gothic" w:hAnsi="Century Gothic"/>
          <w:b/>
          <w:bCs/>
          <w:color w:val="000000"/>
        </w:rPr>
        <w:t>Habilitação Técnica</w:t>
      </w:r>
    </w:p>
    <w:p w14:paraId="0434E606">
      <w:pPr>
        <w:spacing w:line="276" w:lineRule="auto"/>
        <w:ind w:left="737" w:right="283"/>
        <w:jc w:val="both"/>
      </w:pPr>
      <w:r>
        <w:rPr>
          <w:rFonts w:ascii="Century Gothic" w:hAnsi="Century Gothic"/>
          <w:b/>
          <w:bCs/>
          <w:color w:val="000000"/>
        </w:rPr>
        <w:t xml:space="preserve">6.1.1. </w:t>
      </w:r>
      <w:r>
        <w:rPr>
          <w:rFonts w:ascii="Century Gothic" w:hAnsi="Century Gothic"/>
          <w:color w:val="000000"/>
        </w:rPr>
        <w:t>Atestados de Capacidade Técnica: A licitante deve apresentar um ou mais atestados de capacidade técnica, emitidos por pessoas jurídicas de direito público ou privado, que comprovem sua:</w:t>
      </w:r>
    </w:p>
    <w:p w14:paraId="7C6928C7">
      <w:pPr>
        <w:spacing w:line="276" w:lineRule="auto"/>
        <w:ind w:left="737" w:right="227"/>
        <w:jc w:val="both"/>
        <w:rPr>
          <w:rFonts w:ascii="Century Gothic" w:hAnsi="Century Gothic"/>
        </w:rPr>
      </w:pPr>
      <w:r>
        <w:rPr>
          <w:rFonts w:ascii="Century Gothic" w:hAnsi="Century Gothic"/>
          <w:b/>
          <w:bCs/>
          <w:color w:val="000000"/>
        </w:rPr>
        <w:t xml:space="preserve">6.1.1.1. </w:t>
      </w:r>
      <w:r>
        <w:rPr>
          <w:rFonts w:ascii="Century Gothic" w:hAnsi="Century Gothic"/>
          <w:color w:val="000000"/>
        </w:rPr>
        <w:t>Aptidão para executar atividades pertinentes e compatíveis em características, quantidades e prazos com o objeto da licitação.</w:t>
      </w:r>
    </w:p>
    <w:p w14:paraId="694E47C3">
      <w:pPr>
        <w:overflowPunct w:val="0"/>
        <w:spacing w:line="276" w:lineRule="auto"/>
        <w:ind w:left="737" w:right="454"/>
        <w:jc w:val="both"/>
        <w:rPr>
          <w:rFonts w:ascii="Century Gothic" w:hAnsi="Century Gothic"/>
        </w:rPr>
      </w:pPr>
      <w:r>
        <w:rPr>
          <w:rFonts w:ascii="Century Gothic" w:hAnsi="Century Gothic"/>
          <w:b/>
          <w:bCs/>
          <w:color w:val="000000"/>
        </w:rPr>
        <w:t xml:space="preserve">6.1.1.2. </w:t>
      </w:r>
      <w:r>
        <w:rPr>
          <w:rFonts w:ascii="Century Gothic" w:hAnsi="Century Gothic"/>
          <w:color w:val="000000"/>
        </w:rPr>
        <w:t>Experiência em serviços relacionados ao fornecimento de refeições preparadas, transportadas ou servidas no local de execução do contrato, ou em restaurantes e eventos.</w:t>
      </w:r>
    </w:p>
    <w:p w14:paraId="7B23EC36">
      <w:pPr>
        <w:spacing w:line="276" w:lineRule="auto"/>
        <w:ind w:left="737" w:right="227"/>
        <w:jc w:val="both"/>
        <w:rPr>
          <w:rFonts w:ascii="Century Gothic" w:hAnsi="Century Gothic"/>
        </w:rPr>
      </w:pPr>
      <w:r>
        <w:rPr>
          <w:rFonts w:ascii="Century Gothic" w:hAnsi="Century Gothic"/>
          <w:b/>
          <w:bCs/>
          <w:color w:val="000000"/>
        </w:rPr>
        <w:t xml:space="preserve">6.1.1.3. </w:t>
      </w:r>
      <w:r>
        <w:rPr>
          <w:rFonts w:ascii="Century Gothic" w:hAnsi="Century Gothic"/>
          <w:color w:val="000000"/>
        </w:rPr>
        <w:t>Critério de Quantidade: O(s) atestado(s) apresentado(s) deve(m) comprovar, no mínimo, 50% das quantidades estimadas para almoço e lanches, com base na classificação provisória em primeiro lugar. Será permitido o somatório das quantidades descritas em múltiplos atestados para atingir esse percentual, desde que seja em período de prestação de serviço simultâneo.</w:t>
      </w:r>
    </w:p>
    <w:p w14:paraId="2C29D4CC">
      <w:pPr>
        <w:spacing w:line="276" w:lineRule="auto"/>
        <w:ind w:left="737" w:right="227"/>
        <w:jc w:val="both"/>
        <w:rPr>
          <w:rFonts w:ascii="Century Gothic" w:hAnsi="Century Gothic"/>
          <w:color w:val="000000"/>
        </w:rPr>
      </w:pPr>
      <w:r>
        <w:rPr>
          <w:rFonts w:ascii="Century Gothic" w:hAnsi="Century Gothic"/>
          <w:b/>
          <w:bCs/>
          <w:color w:val="000000"/>
        </w:rPr>
        <w:t xml:space="preserve">6.1.1.4. </w:t>
      </w:r>
      <w:r>
        <w:rPr>
          <w:rFonts w:ascii="Century Gothic" w:hAnsi="Century Gothic"/>
          <w:color w:val="000000"/>
        </w:rPr>
        <w:t>Cálculo do Percentual Mínimo: No cálculo do percentual de 50%, se o resultado incluir casas decimais, deverá ser realizado arredondamento para o número inteiro imediatamente superior.</w:t>
      </w:r>
    </w:p>
    <w:p w14:paraId="5BD54F47">
      <w:pPr>
        <w:spacing w:line="276" w:lineRule="auto"/>
        <w:ind w:left="737" w:right="227"/>
        <w:jc w:val="both"/>
        <w:rPr>
          <w:rFonts w:ascii="Century Gothic" w:hAnsi="Century Gothic"/>
        </w:rPr>
      </w:pPr>
    </w:p>
    <w:p w14:paraId="214F4756">
      <w:pPr>
        <w:spacing w:line="276" w:lineRule="auto"/>
        <w:ind w:left="397" w:right="227"/>
        <w:jc w:val="both"/>
        <w:rPr>
          <w:rFonts w:ascii="Century Gothic" w:hAnsi="Century Gothic"/>
        </w:rPr>
      </w:pPr>
      <w:r>
        <w:rPr>
          <w:rFonts w:ascii="Century Gothic" w:hAnsi="Century Gothic"/>
          <w:b/>
          <w:bCs/>
          <w:color w:val="000000"/>
        </w:rPr>
        <w:t xml:space="preserve">6.1.2. </w:t>
      </w:r>
      <w:r>
        <w:rPr>
          <w:rFonts w:ascii="Century Gothic" w:hAnsi="Century Gothic"/>
          <w:color w:val="000000"/>
        </w:rPr>
        <w:t>Vistoria Técnica: Para um entendimento completo das condições do serviço, a licitante deverá realizar vistoria técnica "in loco" em, no mínimo, 30% das unidades escolares, a fim de avaliar o grau de dificuldade, requisitos logísticos e operacionais necessários à execução dos serviços. A visita técnica é obrigatória e tem por finalidade evitar alegações futuras de desconhecimento das condições locais, conforme previsto no art. 12, §1º da Lei nº 14.133/2021.</w:t>
      </w:r>
    </w:p>
    <w:p w14:paraId="79708156">
      <w:pPr>
        <w:spacing w:line="276" w:lineRule="auto"/>
        <w:ind w:left="737" w:right="170"/>
        <w:jc w:val="both"/>
        <w:rPr>
          <w:rFonts w:ascii="Century Gothic" w:hAnsi="Century Gothic"/>
        </w:rPr>
      </w:pPr>
      <w:r>
        <w:rPr>
          <w:rFonts w:ascii="Century Gothic" w:hAnsi="Century Gothic"/>
          <w:b/>
          <w:bCs/>
          <w:color w:val="000000"/>
        </w:rPr>
        <w:t xml:space="preserve">6.1.2.1. </w:t>
      </w:r>
      <w:r>
        <w:rPr>
          <w:rFonts w:ascii="Century Gothic" w:hAnsi="Century Gothic"/>
          <w:color w:val="000000"/>
        </w:rPr>
        <w:t>O representante legal da empresa ou responsável técnico deverá estar devidamente identificado, mediante apresentação de documento de identidade civil e documento expedido pela empresa que comprove sua habilitação para a realização da vistoria.</w:t>
      </w:r>
    </w:p>
    <w:p w14:paraId="6C1EAAF0">
      <w:pPr>
        <w:spacing w:line="276" w:lineRule="auto"/>
        <w:ind w:left="737" w:right="170"/>
        <w:jc w:val="both"/>
        <w:rPr>
          <w:rFonts w:ascii="Century Gothic" w:hAnsi="Century Gothic"/>
        </w:rPr>
      </w:pPr>
      <w:r>
        <w:rPr>
          <w:rFonts w:ascii="Century Gothic" w:hAnsi="Century Gothic"/>
          <w:b/>
          <w:bCs/>
          <w:color w:val="000000"/>
        </w:rPr>
        <w:t xml:space="preserve">6.1.2.2. </w:t>
      </w:r>
      <w:r>
        <w:rPr>
          <w:rFonts w:ascii="Century Gothic" w:hAnsi="Century Gothic"/>
          <w:color w:val="000000"/>
        </w:rPr>
        <w:t>A vistoria deverá ocorrer até 03 (três) dias úteis antes da data de abertura da sessão pública, das 08h às 16h, de segunda a sexta-feira. O prazo reduzido justifica-se pela natureza de serviço comum com infraestrutura padronizada e de fácil reconhecimento, sendo suficiente para conhecimento técnico prévio do objeto, conforme art. 11, inciso VI e art. 17, §2º, III da Lei nº 14.133/2021.</w:t>
      </w:r>
    </w:p>
    <w:p w14:paraId="6F90AC33">
      <w:pPr>
        <w:spacing w:line="276" w:lineRule="auto"/>
        <w:ind w:left="737" w:right="170"/>
        <w:jc w:val="both"/>
        <w:rPr>
          <w:rFonts w:ascii="Century Gothic" w:hAnsi="Century Gothic"/>
          <w:color w:val="000000"/>
        </w:rPr>
      </w:pPr>
      <w:r>
        <w:rPr>
          <w:rFonts w:ascii="Century Gothic" w:hAnsi="Century Gothic"/>
          <w:b/>
          <w:bCs/>
          <w:color w:val="000000"/>
        </w:rPr>
        <w:t xml:space="preserve">6.1.2.3. </w:t>
      </w:r>
      <w:r>
        <w:rPr>
          <w:rFonts w:ascii="Century Gothic" w:hAnsi="Century Gothic"/>
          <w:color w:val="000000"/>
        </w:rPr>
        <w:t>A empresa deverá realizar agendamento prévio para a vistoria. Após sua realização, será emitida pela Secretaria de Educação uma Declaração de Vistoria Técnica, atestando que o representante legal tomou conhecimento das condições locais para execução do objeto. A exigência está amparada pelo art. 5º, IV da Lei nº 14.133/2021, que garante isonomia e igualdade de condições entre os licitantes, e fundamentada nos Acórdãos TCU nº 1.793/2011 e nº 1.214/2013, que reconhecem a legalidade da exigência de vistoria quando tecnicamente justificada.</w:t>
      </w:r>
    </w:p>
    <w:p w14:paraId="1C2B19D7">
      <w:pPr>
        <w:spacing w:line="276" w:lineRule="auto"/>
        <w:ind w:left="737" w:right="170"/>
        <w:jc w:val="both"/>
        <w:rPr>
          <w:rFonts w:ascii="Century Gothic" w:hAnsi="Century Gothic"/>
          <w:color w:val="000000"/>
        </w:rPr>
      </w:pPr>
    </w:p>
    <w:p w14:paraId="3C8B0394">
      <w:pPr>
        <w:spacing w:line="276" w:lineRule="auto"/>
        <w:ind w:left="397" w:right="170"/>
        <w:jc w:val="both"/>
        <w:rPr>
          <w:rFonts w:ascii="Century Gothic" w:hAnsi="Century Gothic"/>
          <w:color w:val="000000"/>
        </w:rPr>
      </w:pPr>
      <w:r>
        <w:rPr>
          <w:rFonts w:ascii="Century Gothic" w:hAnsi="Century Gothic"/>
          <w:b/>
          <w:bCs/>
          <w:color w:val="000000"/>
        </w:rPr>
        <w:t xml:space="preserve">6.1.3. </w:t>
      </w:r>
      <w:r>
        <w:rPr>
          <w:rFonts w:ascii="Century Gothic" w:hAnsi="Century Gothic"/>
          <w:color w:val="000000"/>
        </w:rPr>
        <w:t>Registro no Conselho Regional de Nutrição: A licitante deve comprovar registro ou inscrição no Conselho Regional de Nutrição (CRN) da localidade onde está sediada.</w:t>
      </w:r>
    </w:p>
    <w:p w14:paraId="3C1520A1">
      <w:pPr>
        <w:spacing w:line="276" w:lineRule="auto"/>
        <w:ind w:left="397" w:right="170"/>
        <w:jc w:val="both"/>
      </w:pPr>
      <w:r>
        <w:rPr>
          <w:rFonts w:ascii="Century Gothic" w:hAnsi="Century Gothic"/>
          <w:b/>
          <w:bCs/>
          <w:color w:val="000000"/>
        </w:rPr>
        <w:t xml:space="preserve">6.1.4. </w:t>
      </w:r>
      <w:r>
        <w:rPr>
          <w:rFonts w:ascii="Century Gothic" w:hAnsi="Century Gothic"/>
          <w:color w:val="000000"/>
        </w:rPr>
        <w:t>Profissional de Nível Superior: A licitante deve comprovar que possui, em seu quadro permanente, profissional de nível superior (nutricionista) devidamente registrado no CRN. A comprovação pode ser feita por meio de:</w:t>
      </w:r>
    </w:p>
    <w:p w14:paraId="11918E7E">
      <w:pPr>
        <w:numPr>
          <w:ilvl w:val="0"/>
          <w:numId w:val="17"/>
        </w:numPr>
        <w:tabs>
          <w:tab w:val="left" w:pos="1025"/>
          <w:tab w:val="clear" w:pos="709"/>
        </w:tabs>
        <w:spacing w:line="276" w:lineRule="auto"/>
        <w:ind w:left="1077" w:hanging="397"/>
        <w:jc w:val="both"/>
      </w:pPr>
      <w:r>
        <w:rPr>
          <w:rFonts w:ascii="Century Gothic" w:hAnsi="Century Gothic"/>
          <w:color w:val="000000"/>
        </w:rPr>
        <w:t>Ficha ou Livro de Registro de Empregados;</w:t>
      </w:r>
    </w:p>
    <w:p w14:paraId="18142EA0">
      <w:pPr>
        <w:numPr>
          <w:ilvl w:val="0"/>
          <w:numId w:val="17"/>
        </w:numPr>
        <w:tabs>
          <w:tab w:val="left" w:pos="1025"/>
          <w:tab w:val="clear" w:pos="709"/>
        </w:tabs>
        <w:spacing w:line="276" w:lineRule="auto"/>
        <w:ind w:left="1077" w:hanging="397"/>
        <w:jc w:val="both"/>
        <w:rPr>
          <w:rFonts w:ascii="Century Gothic" w:hAnsi="Century Gothic"/>
        </w:rPr>
      </w:pPr>
      <w:r>
        <w:rPr>
          <w:rFonts w:ascii="Century Gothic" w:hAnsi="Century Gothic"/>
          <w:color w:val="000000"/>
        </w:rPr>
        <w:t>Contrato de Trabalho ou Carteira de Trabalho e Previdência Social (CTPS);</w:t>
      </w:r>
    </w:p>
    <w:p w14:paraId="594D621A">
      <w:pPr>
        <w:numPr>
          <w:ilvl w:val="0"/>
          <w:numId w:val="17"/>
        </w:numPr>
        <w:tabs>
          <w:tab w:val="left" w:pos="1025"/>
          <w:tab w:val="clear" w:pos="709"/>
        </w:tabs>
        <w:spacing w:line="276" w:lineRule="auto"/>
        <w:ind w:left="1077" w:hanging="397"/>
        <w:jc w:val="both"/>
        <w:rPr>
          <w:rFonts w:ascii="Century Gothic" w:hAnsi="Century Gothic"/>
        </w:rPr>
      </w:pPr>
      <w:r>
        <w:rPr>
          <w:rFonts w:ascii="Century Gothic" w:hAnsi="Century Gothic"/>
          <w:color w:val="000000"/>
        </w:rPr>
        <w:t>Contrato Social ou Ata de Eleição da Diretoria, caso o profissional seja sócio;</w:t>
      </w:r>
    </w:p>
    <w:p w14:paraId="08B95F35">
      <w:pPr>
        <w:numPr>
          <w:ilvl w:val="0"/>
          <w:numId w:val="17"/>
        </w:numPr>
        <w:tabs>
          <w:tab w:val="left" w:pos="1025"/>
          <w:tab w:val="clear" w:pos="709"/>
        </w:tabs>
        <w:spacing w:line="276" w:lineRule="auto"/>
        <w:ind w:left="1077" w:hanging="397"/>
        <w:jc w:val="both"/>
        <w:rPr>
          <w:rFonts w:ascii="Century Gothic" w:hAnsi="Century Gothic"/>
        </w:rPr>
      </w:pPr>
      <w:r>
        <w:rPr>
          <w:rFonts w:ascii="Century Gothic" w:hAnsi="Century Gothic"/>
          <w:color w:val="000000"/>
        </w:rPr>
        <w:t>Contrato de prestação de serviços com firmas reconhecidas;</w:t>
      </w:r>
    </w:p>
    <w:p w14:paraId="4A862CF9">
      <w:pPr>
        <w:numPr>
          <w:ilvl w:val="0"/>
          <w:numId w:val="17"/>
        </w:numPr>
        <w:tabs>
          <w:tab w:val="left" w:pos="1025"/>
          <w:tab w:val="clear" w:pos="709"/>
        </w:tabs>
        <w:spacing w:line="276" w:lineRule="auto"/>
        <w:ind w:left="1077" w:hanging="397"/>
        <w:jc w:val="both"/>
        <w:rPr>
          <w:rFonts w:ascii="Century Gothic" w:hAnsi="Century Gothic"/>
        </w:rPr>
      </w:pPr>
      <w:r>
        <w:rPr>
          <w:rFonts w:ascii="Century Gothic" w:hAnsi="Century Gothic"/>
          <w:color w:val="000000"/>
        </w:rPr>
        <w:t>Declaração de compromisso de vínculo futuro, caso o licitante vença o certame.</w:t>
      </w:r>
    </w:p>
    <w:p w14:paraId="1878398E">
      <w:pPr>
        <w:spacing w:line="276" w:lineRule="auto"/>
        <w:ind w:left="397" w:right="170"/>
        <w:jc w:val="both"/>
      </w:pPr>
      <w:r>
        <w:rPr>
          <w:rFonts w:ascii="Century Gothic" w:hAnsi="Century Gothic"/>
          <w:b/>
          <w:bCs/>
          <w:color w:val="000000"/>
        </w:rPr>
        <w:t>6.1.5.</w:t>
      </w:r>
      <w:r>
        <w:rPr>
          <w:rFonts w:ascii="Century Gothic" w:hAnsi="Century Gothic"/>
          <w:color w:val="000000"/>
        </w:rPr>
        <w:t xml:space="preserve"> As exigências de qualificação técnica dispostas no instrumento convocatório visam a garantir, a partir das respectivas análise e aferição, que os licitantes proponentes reúnem condições técnicas e necessárias para a efetiva execução do objeto pretendido. Dessa forma, tais exigências são previstas com o fito de garantir a comprovação da aptidão, experiência e capacidade de execução do objeto do TR, ao longo do contrato, pelo então licitante. Saliente-se que a comprovação de “aptidão para desempenho de atividade pertinente e compatível em características, quantidades e prazos com o objeto da licitação”, prevista no art. 67 da Lei n. 14.133/2021, faz-se por meio de atestado que demonstre já ter o proponente executado objeto similar ao licitado. O que se avalia, então, é a experiência do licitante no passado. Para tanto, busca-se saber se a empresa já executou objeto com características, quantidades e prazos similares ao objeto da licitação, mediante a apresentação de atestados, fornecidos por pessoa jurídica de direito público ou privado, registrado na entidade profissional competente. Ante o exposto, considerando o expressivo quantitativo do bem, a Secretaria opta pela fixação do percentual de 50% (cinquenta por cento) no que tange à comprovação das quantidades a serem indicadas em atestados, por entender que assim atinge-se a finalidade prevista pelo legislador, além de inexistir prejuízo à disputa. </w:t>
      </w:r>
    </w:p>
    <w:p w14:paraId="5744C20B">
      <w:pPr>
        <w:spacing w:line="276" w:lineRule="auto"/>
        <w:ind w:left="397" w:right="170"/>
        <w:jc w:val="both"/>
      </w:pPr>
      <w:r>
        <w:rPr>
          <w:rStyle w:val="128"/>
          <w:rFonts w:ascii="Century Gothic" w:hAnsi="Century Gothic" w:eastAsia="Arial"/>
          <w:b/>
          <w:bCs/>
          <w:color w:val="000000"/>
        </w:rPr>
        <w:t>6.1.6.</w:t>
      </w:r>
      <w:r>
        <w:rPr>
          <w:rStyle w:val="128"/>
          <w:rFonts w:ascii="Century Gothic" w:hAnsi="Century Gothic" w:eastAsia="Arial"/>
          <w:color w:val="000000"/>
        </w:rPr>
        <w:t xml:space="preserve"> Sendo assim, conforme se verifica, o percentual definido a título de qualificação técnica encontra amparo legal, bem como é abarcado pela jurisprudência vigente.</w:t>
      </w:r>
    </w:p>
    <w:tbl>
      <w:tblPr>
        <w:tblStyle w:val="12"/>
        <w:tblW w:w="9813" w:type="dxa"/>
        <w:tblInd w:w="103" w:type="dxa"/>
        <w:tblLayout w:type="fixed"/>
        <w:tblCellMar>
          <w:top w:w="0" w:type="dxa"/>
          <w:left w:w="108" w:type="dxa"/>
          <w:bottom w:w="0" w:type="dxa"/>
          <w:right w:w="108" w:type="dxa"/>
        </w:tblCellMar>
      </w:tblPr>
      <w:tblGrid>
        <w:gridCol w:w="9813"/>
      </w:tblGrid>
      <w:tr w14:paraId="1EB1DF33">
        <w:tblPrEx>
          <w:tblCellMar>
            <w:top w:w="0" w:type="dxa"/>
            <w:left w:w="108" w:type="dxa"/>
            <w:bottom w:w="0" w:type="dxa"/>
            <w:right w:w="108" w:type="dxa"/>
          </w:tblCellMar>
        </w:tblPrEx>
        <w:trPr>
          <w:trHeight w:val="290" w:hRule="atLeast"/>
        </w:trPr>
        <w:tc>
          <w:tcPr>
            <w:tcW w:w="9813" w:type="dxa"/>
            <w:tcBorders>
              <w:top w:val="single" w:color="000000" w:sz="4" w:space="0"/>
              <w:left w:val="single" w:color="000000" w:sz="4" w:space="0"/>
              <w:bottom w:val="single" w:color="000000" w:sz="4" w:space="0"/>
              <w:right w:val="single" w:color="000000" w:sz="4" w:space="0"/>
            </w:tcBorders>
            <w:shd w:val="clear" w:color="auto" w:fill="DDDDDD"/>
          </w:tcPr>
          <w:p w14:paraId="03D50873">
            <w:pPr>
              <w:widowControl w:val="0"/>
              <w:spacing w:before="57" w:after="57"/>
              <w:jc w:val="center"/>
              <w:rPr>
                <w:sz w:val="22"/>
                <w:szCs w:val="22"/>
              </w:rPr>
            </w:pPr>
            <w:r>
              <w:rPr>
                <w:rFonts w:ascii="Century Gothic" w:hAnsi="Century Gothic"/>
                <w:b/>
                <w:bCs/>
                <w:sz w:val="22"/>
                <w:szCs w:val="22"/>
              </w:rPr>
              <w:t>7. MODELO DE EXECUÇÃO DO OBJETO E RESULTADOS – Art. 6º, XXIII, “e”</w:t>
            </w:r>
          </w:p>
        </w:tc>
      </w:tr>
    </w:tbl>
    <w:p w14:paraId="28CC5C94">
      <w:pPr>
        <w:spacing w:before="57" w:after="57" w:line="276" w:lineRule="auto"/>
        <w:ind w:right="227"/>
        <w:jc w:val="both"/>
        <w:rPr>
          <w:rFonts w:ascii="Century Gothic" w:hAnsi="Century Gothic"/>
        </w:rPr>
      </w:pPr>
      <w:r>
        <w:rPr>
          <w:rFonts w:ascii="Century Gothic" w:hAnsi="Century Gothic"/>
        </w:rPr>
        <w:t>A prestação dos serviços de alimentação escolar deverá ser realizada de forma contínua, pontual, padronizada e compatível com o calendário letivo estabelecido pela Secretaria Municipal de Educação, atendendo às necessidades de cada unidade escolar e respeitando as normas técnicas, nutricionais e sanitárias aplicáveis.</w:t>
      </w:r>
    </w:p>
    <w:p w14:paraId="43086452">
      <w:pPr>
        <w:spacing w:before="57" w:after="57" w:line="276" w:lineRule="auto"/>
        <w:jc w:val="both"/>
        <w:rPr>
          <w:rFonts w:ascii="Century Gothic" w:hAnsi="Century Gothic"/>
        </w:rPr>
      </w:pPr>
      <w:r>
        <w:rPr>
          <w:rFonts w:ascii="Century Gothic" w:hAnsi="Century Gothic"/>
        </w:rPr>
        <w:t>A execução dos serviços observará as seguintes condições operacionais:</w:t>
      </w:r>
    </w:p>
    <w:p w14:paraId="33FD6D5D">
      <w:pPr>
        <w:numPr>
          <w:ilvl w:val="0"/>
          <w:numId w:val="5"/>
        </w:numPr>
        <w:spacing w:before="57" w:after="57" w:line="276" w:lineRule="auto"/>
        <w:ind w:left="737" w:right="170" w:hanging="340"/>
        <w:jc w:val="both"/>
        <w:rPr>
          <w:rFonts w:ascii="Century Gothic" w:hAnsi="Century Gothic"/>
        </w:rPr>
      </w:pPr>
      <w:r>
        <w:rPr>
          <w:rFonts w:ascii="Century Gothic" w:hAnsi="Century Gothic"/>
          <w:b/>
          <w:bCs/>
        </w:rPr>
        <w:t xml:space="preserve">Calendário e horários de atendimento: </w:t>
      </w:r>
      <w:r>
        <w:rPr>
          <w:rFonts w:ascii="Century Gothic" w:hAnsi="Century Gothic"/>
        </w:rPr>
        <w:t>o fornecimento das refeições deverá ser compatível com os turnos de funcionamento das unidades escolares (matutino, vespertino, integral e noturno), de acordo com as faixas etárias e a carga horária dos alunos, conforme estabelecido pela Secretaria Municipal de Educação. Os horários específicos de cada refeição serão definidos pela unidade escolar, com base nas diretrizes da pasta responsável.</w:t>
      </w:r>
    </w:p>
    <w:p w14:paraId="1C595EE1">
      <w:pPr>
        <w:numPr>
          <w:ilvl w:val="0"/>
          <w:numId w:val="5"/>
        </w:numPr>
        <w:spacing w:before="57" w:after="57" w:line="276" w:lineRule="auto"/>
        <w:ind w:left="737" w:right="170" w:hanging="340"/>
        <w:jc w:val="both"/>
        <w:rPr>
          <w:rFonts w:ascii="Century Gothic" w:hAnsi="Century Gothic"/>
        </w:rPr>
      </w:pPr>
      <w:r>
        <w:rPr>
          <w:rFonts w:ascii="Century Gothic" w:hAnsi="Century Gothic"/>
          <w:b/>
          <w:bCs/>
        </w:rPr>
        <w:t xml:space="preserve">Preparo das refeições: </w:t>
      </w:r>
      <w:r>
        <w:rPr>
          <w:rFonts w:ascii="Century Gothic" w:hAnsi="Century Gothic"/>
        </w:rPr>
        <w:t>o preparo das refeições poderá ocorrer nas próprias unidades escolares (cozinhas internas), desde que estas apresentem condições estruturais, técnicas e sanitárias adequadas, ou, quando necessário, em cozinhas externas, devidamente licenciadas pelos órgãos de vigilância sanitária. A definição do local de preparo será feita em comum acordo com a Administração.</w:t>
      </w:r>
    </w:p>
    <w:p w14:paraId="2B99AC44">
      <w:pPr>
        <w:numPr>
          <w:ilvl w:val="0"/>
          <w:numId w:val="5"/>
        </w:numPr>
        <w:spacing w:before="57" w:after="57" w:line="276" w:lineRule="auto"/>
        <w:ind w:left="737" w:right="170" w:hanging="340"/>
        <w:jc w:val="both"/>
        <w:rPr>
          <w:rFonts w:ascii="Century Gothic" w:hAnsi="Century Gothic"/>
        </w:rPr>
      </w:pPr>
      <w:r>
        <w:rPr>
          <w:rFonts w:ascii="Century Gothic" w:hAnsi="Century Gothic"/>
          <w:b/>
          <w:bCs/>
        </w:rPr>
        <w:t xml:space="preserve">Fornecimento de gás GLP: </w:t>
      </w:r>
      <w:r>
        <w:rPr>
          <w:rFonts w:ascii="Century Gothic" w:hAnsi="Century Gothic"/>
        </w:rPr>
        <w:t>caberá à contratada o fornecimento contínuo e adequado de gás liquefeito de petróleo (GLP), suficiente para o preparo diário das refeições. O abastecimento deverá ser realizado em cronograma compatível com o consumo médio de cada unidade e sem causar descontinuidade do serviço.</w:t>
      </w:r>
    </w:p>
    <w:p w14:paraId="41726DF7">
      <w:pPr>
        <w:numPr>
          <w:ilvl w:val="0"/>
          <w:numId w:val="5"/>
        </w:numPr>
        <w:spacing w:before="57" w:after="57" w:line="276" w:lineRule="auto"/>
        <w:ind w:left="737" w:right="170" w:hanging="340"/>
        <w:jc w:val="both"/>
        <w:rPr>
          <w:rFonts w:ascii="Century Gothic" w:hAnsi="Century Gothic"/>
        </w:rPr>
      </w:pPr>
      <w:r>
        <w:rPr>
          <w:rFonts w:ascii="Century Gothic" w:hAnsi="Century Gothic"/>
          <w:b/>
          <w:bCs/>
        </w:rPr>
        <w:t>Reabastecimento de insumos e transporte:</w:t>
      </w:r>
      <w:r>
        <w:rPr>
          <w:rFonts w:ascii="Century Gothic" w:hAnsi="Century Gothic"/>
        </w:rPr>
        <w:t xml:space="preserve"> a contratada deverá estabelecer cronograma regular e eficiente de entrega de gêneros alimentícios e/ou refeições prontas, observando prazos, rotas otimizadas, conservação dos alimentos e exigências da vigilância sanitária. O transporte dos alimentos será feito em veículos licenciados, dotados de condições de higiene, segurança e controle térmico compatíveis com a natureza dos produtos.</w:t>
      </w:r>
    </w:p>
    <w:p w14:paraId="5DF17E96">
      <w:pPr>
        <w:numPr>
          <w:ilvl w:val="0"/>
          <w:numId w:val="5"/>
        </w:numPr>
        <w:spacing w:before="57" w:after="57" w:line="276" w:lineRule="auto"/>
        <w:ind w:left="737" w:right="170" w:hanging="340"/>
        <w:jc w:val="both"/>
        <w:rPr>
          <w:rFonts w:ascii="Century Gothic" w:hAnsi="Century Gothic"/>
        </w:rPr>
      </w:pPr>
      <w:r>
        <w:rPr>
          <w:rFonts w:ascii="Century Gothic" w:hAnsi="Century Gothic"/>
          <w:b/>
          <w:bCs/>
        </w:rPr>
        <w:t>Distribuição e atendimento aos alunos:</w:t>
      </w:r>
      <w:r>
        <w:rPr>
          <w:rFonts w:ascii="Century Gothic" w:hAnsi="Century Gothic"/>
        </w:rPr>
        <w:t xml:space="preserve"> as refeições deverão ser entregues diretamente nas unidades escolares, com porcionamento, utensílios e insumos devidamente organizados, respeitando as boas práticas de manipulação e os padrões definidos pela equipe de nutrição da contratante.</w:t>
      </w:r>
    </w:p>
    <w:p w14:paraId="149222E0">
      <w:pPr>
        <w:numPr>
          <w:ilvl w:val="0"/>
          <w:numId w:val="5"/>
        </w:numPr>
        <w:spacing w:before="57" w:after="57" w:line="276" w:lineRule="auto"/>
        <w:ind w:left="737" w:right="170" w:hanging="340"/>
        <w:jc w:val="both"/>
        <w:rPr>
          <w:rFonts w:ascii="Century Gothic" w:hAnsi="Century Gothic"/>
        </w:rPr>
      </w:pPr>
      <w:r>
        <w:rPr>
          <w:rFonts w:ascii="Century Gothic" w:hAnsi="Century Gothic"/>
          <w:b/>
          <w:bCs/>
        </w:rPr>
        <w:t xml:space="preserve">Manutenção de equipamentos: </w:t>
      </w:r>
      <w:r>
        <w:rPr>
          <w:rFonts w:ascii="Century Gothic" w:hAnsi="Century Gothic"/>
        </w:rPr>
        <w:t>a contratada será responsável pela manutenção preventiva e corretiva de todos os equipamentos utilizados no preparo, conservação e distribuição das refeições, incluindo reposições quando necessárias, de modo a evitar paralisações nos serviços.</w:t>
      </w:r>
    </w:p>
    <w:p w14:paraId="4550B1CF">
      <w:pPr>
        <w:numPr>
          <w:ilvl w:val="0"/>
          <w:numId w:val="5"/>
        </w:numPr>
        <w:spacing w:before="57" w:after="57" w:line="276" w:lineRule="auto"/>
        <w:ind w:left="737" w:right="170" w:hanging="340"/>
        <w:jc w:val="both"/>
        <w:rPr>
          <w:rFonts w:ascii="Century Gothic" w:hAnsi="Century Gothic"/>
        </w:rPr>
      </w:pPr>
      <w:r>
        <w:rPr>
          <w:rFonts w:ascii="Century Gothic" w:hAnsi="Century Gothic"/>
          <w:b/>
          <w:bCs/>
        </w:rPr>
        <w:t xml:space="preserve">Registro de ocorrências e relatórios técnicos: </w:t>
      </w:r>
      <w:r>
        <w:rPr>
          <w:rFonts w:ascii="Century Gothic" w:hAnsi="Century Gothic"/>
        </w:rPr>
        <w:t>a contratada deverá manter sistema de controle de entrega e consumo das refeições, além de apresentar relatórios mensais com dados de produção, frequência, quantidade de refeições fornecidas, avaliações técnicas e apontamentos realizados por nutricionistas e supervisores.</w:t>
      </w:r>
    </w:p>
    <w:p w14:paraId="43C22226">
      <w:pPr>
        <w:spacing w:before="57" w:after="57" w:line="276" w:lineRule="auto"/>
        <w:ind w:right="227"/>
        <w:jc w:val="both"/>
        <w:rPr>
          <w:rFonts w:ascii="Century Gothic" w:hAnsi="Century Gothic"/>
          <w:shd w:val="clear" w:color="auto" w:fill="FFFF00"/>
        </w:rPr>
      </w:pPr>
      <w:r>
        <w:rPr>
          <w:rFonts w:ascii="Century Gothic" w:hAnsi="Century Gothic"/>
        </w:rPr>
        <w:t>Todas as condições de execução aqui descritas deverão ser rigorosamente observadas, sob pena de aplicação das penalidades previstas em contrato, bem como responsabilização por prejuízos decorrentes de falhas na prestação do serviço.</w:t>
      </w:r>
    </w:p>
    <w:p w14:paraId="09A4DE61">
      <w:pPr>
        <w:ind w:left="-567" w:right="454"/>
        <w:jc w:val="both"/>
        <w:rPr>
          <w:rFonts w:ascii="Century Gothic" w:hAnsi="Century Gothic"/>
          <w:color w:val="000000"/>
          <w:sz w:val="4"/>
          <w:szCs w:val="4"/>
        </w:rPr>
      </w:pPr>
    </w:p>
    <w:tbl>
      <w:tblPr>
        <w:tblStyle w:val="12"/>
        <w:tblW w:w="9800" w:type="dxa"/>
        <w:tblInd w:w="90" w:type="dxa"/>
        <w:tblLayout w:type="fixed"/>
        <w:tblCellMar>
          <w:top w:w="0" w:type="dxa"/>
          <w:left w:w="108" w:type="dxa"/>
          <w:bottom w:w="0" w:type="dxa"/>
          <w:right w:w="108" w:type="dxa"/>
        </w:tblCellMar>
      </w:tblPr>
      <w:tblGrid>
        <w:gridCol w:w="9800"/>
      </w:tblGrid>
      <w:tr w14:paraId="6C448D07">
        <w:tblPrEx>
          <w:tblCellMar>
            <w:top w:w="0" w:type="dxa"/>
            <w:left w:w="108" w:type="dxa"/>
            <w:bottom w:w="0" w:type="dxa"/>
            <w:right w:w="108" w:type="dxa"/>
          </w:tblCellMar>
        </w:tblPrEx>
        <w:trPr>
          <w:trHeight w:val="290" w:hRule="atLeast"/>
        </w:trPr>
        <w:tc>
          <w:tcPr>
            <w:tcW w:w="9800" w:type="dxa"/>
            <w:tcBorders>
              <w:top w:val="single" w:color="000000" w:sz="4" w:space="0"/>
              <w:left w:val="single" w:color="000000" w:sz="4" w:space="0"/>
              <w:bottom w:val="single" w:color="000000" w:sz="4" w:space="0"/>
              <w:right w:val="single" w:color="000000" w:sz="4" w:space="0"/>
            </w:tcBorders>
            <w:shd w:val="clear" w:color="auto" w:fill="DDDDDD"/>
          </w:tcPr>
          <w:p w14:paraId="14F3E929">
            <w:pPr>
              <w:widowControl w:val="0"/>
              <w:spacing w:before="57" w:after="57"/>
              <w:jc w:val="center"/>
              <w:rPr>
                <w:sz w:val="22"/>
                <w:szCs w:val="22"/>
              </w:rPr>
            </w:pPr>
            <w:r>
              <w:rPr>
                <w:rFonts w:ascii="Century Gothic" w:hAnsi="Century Gothic"/>
                <w:b/>
                <w:bCs/>
                <w:sz w:val="22"/>
                <w:szCs w:val="22"/>
              </w:rPr>
              <w:t>8. GESTÃO DE CONTRATO E FISCALIZAÇÃO – Art. 6º, XXIII, “f”</w:t>
            </w:r>
          </w:p>
        </w:tc>
      </w:tr>
    </w:tbl>
    <w:p w14:paraId="1CE33C28">
      <w:pPr>
        <w:spacing w:line="276" w:lineRule="auto"/>
        <w:ind w:left="-567" w:right="454"/>
        <w:jc w:val="both"/>
        <w:rPr>
          <w:rFonts w:ascii="Century Gothic" w:hAnsi="Century Gothic"/>
          <w:sz w:val="10"/>
          <w:szCs w:val="10"/>
        </w:rPr>
      </w:pPr>
    </w:p>
    <w:p w14:paraId="548792B0">
      <w:pPr>
        <w:spacing w:line="276" w:lineRule="auto"/>
        <w:ind w:right="283"/>
        <w:jc w:val="both"/>
        <w:rPr>
          <w:rFonts w:ascii="Century Gothic" w:hAnsi="Century Gothic"/>
        </w:rPr>
      </w:pPr>
      <w:r>
        <w:rPr>
          <w:rFonts w:ascii="Century Gothic" w:hAnsi="Century Gothic"/>
        </w:rPr>
        <w:t>A gestão e fiscalização da execução contratual são essenciais para assegurar a correta prestação dos serviços de alimentação escolar, em conformidade com as cláusulas contratuais, os padrões técnicos e sanitários exigidos e os princípios da Administração Pública.</w:t>
      </w:r>
    </w:p>
    <w:p w14:paraId="701340B4">
      <w:pPr>
        <w:spacing w:before="57" w:after="57" w:line="276" w:lineRule="auto"/>
        <w:ind w:right="283"/>
        <w:jc w:val="both"/>
        <w:rPr>
          <w:rFonts w:ascii="Century Gothic" w:hAnsi="Century Gothic"/>
        </w:rPr>
      </w:pPr>
      <w:r>
        <w:rPr>
          <w:rFonts w:ascii="Century Gothic" w:hAnsi="Century Gothic"/>
        </w:rPr>
        <w:t>Nos termos dos arts. 117 a 120 da Lei nº 14.133/2021, compete à Administração Pública designar formalmente os agentes públicos responsáveis pela fiscalização e gestão do contrato, os quais deverão atuar de forma articulada, contínua e tempestiva, exercendo as seguintes atribuições:</w:t>
      </w:r>
    </w:p>
    <w:p w14:paraId="2DA62045">
      <w:pPr>
        <w:spacing w:before="57" w:after="57" w:line="276" w:lineRule="auto"/>
        <w:jc w:val="both"/>
        <w:rPr>
          <w:rFonts w:ascii="Century Gothic" w:hAnsi="Century Gothic"/>
          <w:b/>
          <w:bCs/>
        </w:rPr>
      </w:pPr>
      <w:r>
        <w:rPr>
          <w:rFonts w:ascii="Century Gothic" w:hAnsi="Century Gothic"/>
          <w:b/>
          <w:bCs/>
        </w:rPr>
        <w:t>8.1. Do Gestor do Contrato</w:t>
      </w:r>
    </w:p>
    <w:p w14:paraId="5930B9AD">
      <w:pPr>
        <w:spacing w:before="57" w:after="57" w:line="276" w:lineRule="auto"/>
        <w:ind w:right="227"/>
        <w:jc w:val="both"/>
        <w:rPr>
          <w:rFonts w:ascii="Century Gothic" w:hAnsi="Century Gothic"/>
        </w:rPr>
      </w:pPr>
      <w:r>
        <w:rPr>
          <w:rFonts w:ascii="Century Gothic" w:hAnsi="Century Gothic"/>
        </w:rPr>
        <w:t>O gestor do contrato será o agente responsável pelo acompanhamento geral da execução, pela interlocução institucional com a empresa contratada e pela coordenação da atuação dos fiscais, devendo:</w:t>
      </w:r>
    </w:p>
    <w:p w14:paraId="3D500E0B">
      <w:pPr>
        <w:numPr>
          <w:ilvl w:val="0"/>
          <w:numId w:val="18"/>
        </w:numPr>
        <w:spacing w:before="57" w:after="57" w:line="276" w:lineRule="auto"/>
        <w:ind w:left="737" w:right="283"/>
        <w:jc w:val="both"/>
        <w:rPr>
          <w:rFonts w:ascii="Century Gothic" w:hAnsi="Century Gothic"/>
        </w:rPr>
      </w:pPr>
      <w:r>
        <w:rPr>
          <w:rFonts w:ascii="Century Gothic" w:hAnsi="Century Gothic"/>
        </w:rPr>
        <w:t xml:space="preserve"> Validar os relatórios de execução e a documentação fiscal apresentada para fins de pagamento;</w:t>
      </w:r>
    </w:p>
    <w:p w14:paraId="4337A0ED">
      <w:pPr>
        <w:numPr>
          <w:ilvl w:val="0"/>
          <w:numId w:val="18"/>
        </w:numPr>
        <w:spacing w:before="57" w:after="57" w:line="276" w:lineRule="auto"/>
        <w:ind w:left="737" w:right="283"/>
        <w:jc w:val="both"/>
        <w:rPr>
          <w:rFonts w:ascii="Century Gothic" w:hAnsi="Century Gothic"/>
        </w:rPr>
      </w:pPr>
      <w:r>
        <w:rPr>
          <w:rFonts w:ascii="Century Gothic" w:hAnsi="Century Gothic"/>
        </w:rPr>
        <w:t xml:space="preserve"> Comunicar formalmente à contratada qualquer inconformidade detectada;</w:t>
      </w:r>
    </w:p>
    <w:p w14:paraId="48257146">
      <w:pPr>
        <w:numPr>
          <w:ilvl w:val="0"/>
          <w:numId w:val="18"/>
        </w:numPr>
        <w:spacing w:before="57" w:after="57" w:line="276" w:lineRule="auto"/>
        <w:ind w:left="737" w:right="283"/>
        <w:jc w:val="both"/>
        <w:rPr>
          <w:rFonts w:ascii="Century Gothic" w:hAnsi="Century Gothic"/>
        </w:rPr>
      </w:pPr>
      <w:r>
        <w:rPr>
          <w:rFonts w:ascii="Century Gothic" w:hAnsi="Century Gothic"/>
        </w:rPr>
        <w:t xml:space="preserve"> Sugerir providências administrativas, inclusive aplicação de penalidades, quando necessário;</w:t>
      </w:r>
    </w:p>
    <w:p w14:paraId="5F7767B7">
      <w:pPr>
        <w:numPr>
          <w:ilvl w:val="0"/>
          <w:numId w:val="18"/>
        </w:numPr>
        <w:spacing w:before="57" w:after="57" w:line="276" w:lineRule="auto"/>
        <w:ind w:left="737" w:right="283"/>
        <w:jc w:val="both"/>
        <w:rPr>
          <w:rFonts w:ascii="Century Gothic" w:hAnsi="Century Gothic"/>
        </w:rPr>
      </w:pPr>
      <w:r>
        <w:rPr>
          <w:rFonts w:ascii="Century Gothic" w:hAnsi="Century Gothic"/>
        </w:rPr>
        <w:t xml:space="preserve"> Elaborar relatórios circunstanciados sobre o desempenho contratual.</w:t>
      </w:r>
    </w:p>
    <w:p w14:paraId="02D2B6CB">
      <w:pPr>
        <w:spacing w:before="57" w:after="57" w:line="276" w:lineRule="auto"/>
        <w:jc w:val="both"/>
        <w:rPr>
          <w:rFonts w:ascii="Century Gothic" w:hAnsi="Century Gothic"/>
          <w:b/>
          <w:bCs/>
        </w:rPr>
      </w:pPr>
      <w:r>
        <w:rPr>
          <w:rFonts w:ascii="Century Gothic" w:hAnsi="Century Gothic"/>
          <w:b/>
          <w:bCs/>
        </w:rPr>
        <w:t>8.2. Dos Fiscais Técnicos e Setoriais</w:t>
      </w:r>
    </w:p>
    <w:p w14:paraId="68BB3F05">
      <w:pPr>
        <w:spacing w:before="57" w:after="57" w:line="276" w:lineRule="auto"/>
        <w:ind w:right="283"/>
        <w:jc w:val="both"/>
        <w:rPr>
          <w:rFonts w:ascii="Century Gothic" w:hAnsi="Century Gothic"/>
        </w:rPr>
      </w:pPr>
      <w:r>
        <w:rPr>
          <w:rFonts w:ascii="Century Gothic" w:hAnsi="Century Gothic"/>
        </w:rPr>
        <w:t>Os fiscais designados atuarão nas unidades escolares, acompanhando in loco a prestação dos serviços. Suas responsabilidades incluem:</w:t>
      </w:r>
    </w:p>
    <w:p w14:paraId="726D8246">
      <w:pPr>
        <w:numPr>
          <w:ilvl w:val="0"/>
          <w:numId w:val="19"/>
        </w:numPr>
        <w:spacing w:before="57" w:after="57" w:line="276" w:lineRule="auto"/>
        <w:jc w:val="both"/>
      </w:pPr>
      <w:r>
        <w:rPr>
          <w:rFonts w:ascii="Century Gothic" w:hAnsi="Century Gothic"/>
        </w:rPr>
        <w:t>Verificar a qualidade e a regularidade das refeições fornecidas;</w:t>
      </w:r>
    </w:p>
    <w:p w14:paraId="6E2BB801">
      <w:pPr>
        <w:numPr>
          <w:ilvl w:val="0"/>
          <w:numId w:val="19"/>
        </w:numPr>
        <w:spacing w:before="57" w:after="57" w:line="276" w:lineRule="auto"/>
        <w:ind w:left="737" w:right="283" w:hanging="340"/>
        <w:jc w:val="both"/>
        <w:rPr>
          <w:rFonts w:ascii="Century Gothic" w:hAnsi="Century Gothic"/>
        </w:rPr>
      </w:pPr>
      <w:r>
        <w:rPr>
          <w:rFonts w:ascii="Century Gothic" w:hAnsi="Century Gothic"/>
        </w:rPr>
        <w:t>Conferir a conformidade dos cardápios e dos insumos utilizados com o previsto no TR;</w:t>
      </w:r>
    </w:p>
    <w:p w14:paraId="1E3EF2E1">
      <w:pPr>
        <w:numPr>
          <w:ilvl w:val="0"/>
          <w:numId w:val="19"/>
        </w:numPr>
        <w:spacing w:before="57" w:after="57" w:line="276" w:lineRule="auto"/>
        <w:ind w:left="737" w:right="283" w:hanging="340"/>
        <w:jc w:val="both"/>
        <w:rPr>
          <w:rFonts w:ascii="Century Gothic" w:hAnsi="Century Gothic"/>
        </w:rPr>
      </w:pPr>
      <w:r>
        <w:rPr>
          <w:rFonts w:ascii="Century Gothic" w:hAnsi="Century Gothic"/>
        </w:rPr>
        <w:t>Registrar ocorrências, não conformidades e eventuais substituições autorizadas de itens;</w:t>
      </w:r>
    </w:p>
    <w:p w14:paraId="6FF86698">
      <w:pPr>
        <w:numPr>
          <w:ilvl w:val="0"/>
          <w:numId w:val="19"/>
        </w:numPr>
        <w:spacing w:before="57" w:after="57" w:line="276" w:lineRule="auto"/>
        <w:ind w:left="737" w:right="283" w:hanging="340"/>
        <w:jc w:val="both"/>
        <w:rPr>
          <w:rFonts w:ascii="Century Gothic" w:hAnsi="Century Gothic"/>
        </w:rPr>
      </w:pPr>
      <w:r>
        <w:rPr>
          <w:rFonts w:ascii="Century Gothic" w:hAnsi="Century Gothic"/>
        </w:rPr>
        <w:t>Monitorar a higiene, a conservação dos equipamentos e o cumprimento dos horários de entrega e distribuição;</w:t>
      </w:r>
    </w:p>
    <w:p w14:paraId="2784D2A7">
      <w:pPr>
        <w:numPr>
          <w:ilvl w:val="0"/>
          <w:numId w:val="19"/>
        </w:numPr>
        <w:spacing w:before="57" w:after="57" w:line="276" w:lineRule="auto"/>
        <w:ind w:left="737" w:right="283" w:hanging="340"/>
        <w:jc w:val="both"/>
        <w:rPr>
          <w:rFonts w:ascii="Century Gothic" w:hAnsi="Century Gothic"/>
        </w:rPr>
      </w:pPr>
      <w:r>
        <w:rPr>
          <w:rFonts w:ascii="Century Gothic" w:hAnsi="Century Gothic"/>
        </w:rPr>
        <w:t>Avaliar, em conjunto com a equipe de nutrição, o desempenho nutricional e sanitário da execução.</w:t>
      </w:r>
    </w:p>
    <w:p w14:paraId="2D9206D8">
      <w:pPr>
        <w:spacing w:before="57" w:after="57" w:line="276" w:lineRule="auto"/>
        <w:jc w:val="both"/>
        <w:rPr>
          <w:rFonts w:ascii="Century Gothic" w:hAnsi="Century Gothic"/>
          <w:b/>
          <w:bCs/>
        </w:rPr>
      </w:pPr>
      <w:r>
        <w:rPr>
          <w:rFonts w:ascii="Century Gothic" w:hAnsi="Century Gothic"/>
          <w:b/>
          <w:bCs/>
        </w:rPr>
        <w:t>8.3. Instrumentos e Procedimentos</w:t>
      </w:r>
    </w:p>
    <w:p w14:paraId="561D4C75">
      <w:pPr>
        <w:spacing w:before="57" w:after="57" w:line="276" w:lineRule="auto"/>
        <w:jc w:val="both"/>
        <w:rPr>
          <w:rFonts w:ascii="Century Gothic" w:hAnsi="Century Gothic"/>
        </w:rPr>
      </w:pPr>
      <w:r>
        <w:rPr>
          <w:rFonts w:ascii="Century Gothic" w:hAnsi="Century Gothic"/>
        </w:rPr>
        <w:t>Para garantir efetividade à fiscalização, serão adotados os seguintes mecanismos:</w:t>
      </w:r>
    </w:p>
    <w:p w14:paraId="3D0B02FD">
      <w:pPr>
        <w:numPr>
          <w:ilvl w:val="0"/>
          <w:numId w:val="20"/>
        </w:numPr>
        <w:spacing w:before="57" w:after="57" w:line="276" w:lineRule="auto"/>
        <w:jc w:val="both"/>
      </w:pPr>
      <w:r>
        <w:rPr>
          <w:rFonts w:ascii="Century Gothic" w:hAnsi="Century Gothic"/>
        </w:rPr>
        <w:t>Relatórios técnicos emitidos pelos fiscais e validados pelo gestor do contrato;</w:t>
      </w:r>
    </w:p>
    <w:p w14:paraId="6A7E7F9F">
      <w:pPr>
        <w:numPr>
          <w:ilvl w:val="0"/>
          <w:numId w:val="20"/>
        </w:numPr>
        <w:spacing w:before="57" w:after="57" w:line="276" w:lineRule="auto"/>
        <w:jc w:val="both"/>
        <w:rPr>
          <w:rFonts w:ascii="Century Gothic" w:hAnsi="Century Gothic"/>
        </w:rPr>
      </w:pPr>
      <w:r>
        <w:rPr>
          <w:rFonts w:ascii="Century Gothic" w:hAnsi="Century Gothic"/>
        </w:rPr>
        <w:t>Registros de ocorrências e de inspeções realizadas;</w:t>
      </w:r>
    </w:p>
    <w:p w14:paraId="11F2DD31">
      <w:pPr>
        <w:numPr>
          <w:ilvl w:val="0"/>
          <w:numId w:val="20"/>
        </w:numPr>
        <w:spacing w:before="57" w:after="57" w:line="276" w:lineRule="auto"/>
        <w:jc w:val="both"/>
        <w:rPr>
          <w:rFonts w:ascii="Century Gothic" w:hAnsi="Century Gothic"/>
        </w:rPr>
      </w:pPr>
      <w:r>
        <w:rPr>
          <w:rFonts w:ascii="Century Gothic" w:hAnsi="Century Gothic"/>
        </w:rPr>
        <w:t>Checklists operacionais e formulários padronizados de controle;</w:t>
      </w:r>
    </w:p>
    <w:p w14:paraId="2D1C5FE4">
      <w:pPr>
        <w:numPr>
          <w:ilvl w:val="0"/>
          <w:numId w:val="20"/>
        </w:numPr>
        <w:spacing w:before="57" w:after="57" w:line="276" w:lineRule="auto"/>
        <w:ind w:left="737" w:right="227" w:hanging="340"/>
        <w:jc w:val="both"/>
        <w:rPr>
          <w:rFonts w:ascii="Century Gothic" w:hAnsi="Century Gothic"/>
        </w:rPr>
      </w:pPr>
      <w:r>
        <w:rPr>
          <w:rFonts w:ascii="Century Gothic" w:hAnsi="Century Gothic"/>
        </w:rPr>
        <w:t>Reuniões periódicas com a empresa contratada para alinhamento técnico e correção de falhas;</w:t>
      </w:r>
    </w:p>
    <w:p w14:paraId="3497856C">
      <w:pPr>
        <w:numPr>
          <w:ilvl w:val="0"/>
          <w:numId w:val="20"/>
        </w:numPr>
        <w:spacing w:before="57" w:after="57" w:line="276" w:lineRule="auto"/>
        <w:ind w:left="737" w:right="227" w:hanging="340"/>
        <w:jc w:val="both"/>
        <w:rPr>
          <w:rFonts w:ascii="Century Gothic" w:hAnsi="Century Gothic"/>
        </w:rPr>
      </w:pPr>
      <w:r>
        <w:rPr>
          <w:rFonts w:ascii="Century Gothic" w:hAnsi="Century Gothic"/>
        </w:rPr>
        <w:t>Aplicação de indicadores de desempenho para avaliação objetiva dos serviços, especialmente em relação à pontualidade, conformidade nutricional, regularidade na distribuição e atendimento às normas sanitárias.</w:t>
      </w:r>
    </w:p>
    <w:p w14:paraId="33E640AC">
      <w:pPr>
        <w:spacing w:before="57" w:after="57" w:line="276" w:lineRule="auto"/>
        <w:ind w:right="283"/>
        <w:jc w:val="both"/>
        <w:rPr>
          <w:rFonts w:ascii="Century Gothic" w:hAnsi="Century Gothic"/>
        </w:rPr>
      </w:pPr>
      <w:r>
        <w:rPr>
          <w:rFonts w:ascii="Century Gothic" w:hAnsi="Century Gothic"/>
        </w:rPr>
        <w:t>O não cumprimento das determinações da fiscalização será considerado infração contratual e poderá ensejar a aplicação das penalidades previstas, inclusive rescisão do contrato, sem prejuízo das demais sanções legais.</w:t>
      </w:r>
    </w:p>
    <w:p w14:paraId="234BE86B">
      <w:pPr>
        <w:spacing w:before="57" w:after="57" w:line="276" w:lineRule="auto"/>
        <w:ind w:right="283"/>
        <w:jc w:val="both"/>
      </w:pPr>
      <w:r>
        <w:rPr>
          <w:rStyle w:val="128"/>
          <w:rFonts w:ascii="Century Gothic" w:hAnsi="Century Gothic" w:eastAsia="Arial"/>
        </w:rPr>
        <w:t>A atuação da fiscalização não exime a contratada de sua responsabilidade integral pela boa execução do objeto, sendo de sua exclusiva responsabilidade o alcance dos resultados pactuados.</w:t>
      </w:r>
    </w:p>
    <w:p w14:paraId="322013DC">
      <w:pPr>
        <w:ind w:left="-567" w:right="454"/>
        <w:jc w:val="both"/>
        <w:rPr>
          <w:rFonts w:ascii="Century Gothic" w:hAnsi="Century Gothic"/>
          <w:b/>
          <w:bCs/>
          <w:color w:val="000000"/>
          <w:sz w:val="4"/>
          <w:szCs w:val="4"/>
        </w:rPr>
      </w:pPr>
    </w:p>
    <w:tbl>
      <w:tblPr>
        <w:tblStyle w:val="12"/>
        <w:tblW w:w="9781" w:type="dxa"/>
        <w:tblInd w:w="103" w:type="dxa"/>
        <w:tblLayout w:type="fixed"/>
        <w:tblCellMar>
          <w:top w:w="0" w:type="dxa"/>
          <w:left w:w="108" w:type="dxa"/>
          <w:bottom w:w="0" w:type="dxa"/>
          <w:right w:w="108" w:type="dxa"/>
        </w:tblCellMar>
      </w:tblPr>
      <w:tblGrid>
        <w:gridCol w:w="9781"/>
      </w:tblGrid>
      <w:tr w14:paraId="7A844B1E">
        <w:tblPrEx>
          <w:tblCellMar>
            <w:top w:w="0" w:type="dxa"/>
            <w:left w:w="108" w:type="dxa"/>
            <w:bottom w:w="0" w:type="dxa"/>
            <w:right w:w="108" w:type="dxa"/>
          </w:tblCellMar>
        </w:tblPrEx>
        <w:trPr>
          <w:trHeight w:val="290" w:hRule="atLeast"/>
        </w:trPr>
        <w:tc>
          <w:tcPr>
            <w:tcW w:w="9781" w:type="dxa"/>
            <w:tcBorders>
              <w:top w:val="single" w:color="000000" w:sz="4" w:space="0"/>
              <w:left w:val="single" w:color="000000" w:sz="4" w:space="0"/>
              <w:bottom w:val="single" w:color="000000" w:sz="4" w:space="0"/>
              <w:right w:val="single" w:color="000000" w:sz="4" w:space="0"/>
            </w:tcBorders>
            <w:shd w:val="clear" w:color="auto" w:fill="DDDDDD"/>
          </w:tcPr>
          <w:p w14:paraId="13A6A13D">
            <w:pPr>
              <w:widowControl w:val="0"/>
              <w:spacing w:before="57" w:after="57"/>
              <w:jc w:val="center"/>
              <w:rPr>
                <w:sz w:val="22"/>
                <w:szCs w:val="22"/>
              </w:rPr>
            </w:pPr>
            <w:r>
              <w:rPr>
                <w:rFonts w:ascii="Century Gothic" w:hAnsi="Century Gothic"/>
                <w:b/>
                <w:bCs/>
                <w:sz w:val="22"/>
                <w:szCs w:val="22"/>
              </w:rPr>
              <w:t>9. CRITÉRIOS DE MEDIÇÃO E PAGAMENTO – Art. 6º, XXIII, “g”</w:t>
            </w:r>
          </w:p>
        </w:tc>
      </w:tr>
    </w:tbl>
    <w:p w14:paraId="4042B350">
      <w:pPr>
        <w:spacing w:line="276" w:lineRule="auto"/>
        <w:ind w:right="283"/>
        <w:jc w:val="both"/>
        <w:rPr>
          <w:rStyle w:val="128"/>
          <w:rFonts w:ascii="Century Gothic" w:hAnsi="Century Gothic" w:eastAsia="Arial"/>
          <w:b/>
          <w:bCs/>
          <w:color w:val="000000"/>
          <w:sz w:val="10"/>
          <w:szCs w:val="10"/>
        </w:rPr>
      </w:pPr>
    </w:p>
    <w:p w14:paraId="59E5CFD0">
      <w:pPr>
        <w:spacing w:line="276" w:lineRule="auto"/>
        <w:ind w:right="283"/>
        <w:jc w:val="both"/>
      </w:pPr>
      <w:r>
        <w:rPr>
          <w:rStyle w:val="128"/>
          <w:rFonts w:ascii="Century Gothic" w:hAnsi="Century Gothic" w:eastAsia="Arial"/>
          <w:b/>
          <w:bCs/>
          <w:color w:val="000000"/>
        </w:rPr>
        <w:t>9.1. Liquidação</w:t>
      </w:r>
    </w:p>
    <w:p w14:paraId="606250E7">
      <w:pPr>
        <w:spacing w:line="276" w:lineRule="auto"/>
        <w:ind w:right="283"/>
        <w:jc w:val="both"/>
      </w:pPr>
      <w:r>
        <w:rPr>
          <w:rStyle w:val="128"/>
          <w:rFonts w:ascii="Century Gothic" w:hAnsi="Century Gothic" w:eastAsia="Arial"/>
          <w:b/>
          <w:bCs/>
          <w:color w:val="000000"/>
        </w:rPr>
        <w:t>9.1.1.</w:t>
      </w:r>
      <w:r>
        <w:rPr>
          <w:rStyle w:val="128"/>
          <w:rFonts w:ascii="Century Gothic" w:hAnsi="Century Gothic" w:eastAsia="Arial"/>
          <w:color w:val="000000"/>
        </w:rPr>
        <w:t xml:space="preserve"> Recebida a Nota Fiscal ou documento de cobrança equivalente, correrá o prazo de 10 (dez) dias úteis para fins de liquidação, prorrogáveis por igual período.</w:t>
      </w:r>
    </w:p>
    <w:p w14:paraId="36C68ECD">
      <w:pPr>
        <w:spacing w:line="276" w:lineRule="auto"/>
        <w:ind w:right="283"/>
        <w:jc w:val="both"/>
      </w:pPr>
      <w:r>
        <w:rPr>
          <w:rStyle w:val="128"/>
          <w:rFonts w:ascii="Century Gothic" w:hAnsi="Century Gothic" w:eastAsia="Arial"/>
          <w:b/>
          <w:bCs/>
          <w:color w:val="000000"/>
        </w:rPr>
        <w:t>9.1.2.</w:t>
      </w:r>
      <w:r>
        <w:rPr>
          <w:rStyle w:val="128"/>
          <w:rFonts w:ascii="Century Gothic" w:hAnsi="Century Gothic" w:eastAsia="Arial"/>
          <w:color w:val="000000"/>
        </w:rPr>
        <w:t xml:space="preserve"> Para fins de liquidação, o setor competente deverá verificar se a nota fiscal ou instrumento de</w:t>
      </w:r>
    </w:p>
    <w:p w14:paraId="7A6122FD">
      <w:pPr>
        <w:spacing w:line="276" w:lineRule="auto"/>
        <w:ind w:right="283"/>
        <w:jc w:val="both"/>
      </w:pPr>
      <w:r>
        <w:rPr>
          <w:rStyle w:val="128"/>
          <w:rFonts w:ascii="Century Gothic" w:hAnsi="Century Gothic" w:eastAsia="Arial"/>
          <w:color w:val="000000"/>
        </w:rPr>
        <w:t>cobrança equivalente apresentado expressa os elementos necessários e essenciais do documento.</w:t>
      </w:r>
    </w:p>
    <w:p w14:paraId="7B883FEA">
      <w:pPr>
        <w:spacing w:line="276" w:lineRule="auto"/>
        <w:ind w:right="283"/>
        <w:jc w:val="both"/>
      </w:pPr>
      <w:r>
        <w:rPr>
          <w:rStyle w:val="128"/>
          <w:rFonts w:ascii="Century Gothic" w:hAnsi="Century Gothic" w:eastAsia="Arial"/>
          <w:b/>
          <w:bCs/>
          <w:color w:val="000000"/>
        </w:rPr>
        <w:t>9.1.3.</w:t>
      </w:r>
      <w:r>
        <w:rPr>
          <w:rStyle w:val="128"/>
          <w:rFonts w:ascii="Century Gothic" w:hAnsi="Century Gothic" w:eastAsia="Arial"/>
          <w:color w:val="000000"/>
        </w:rPr>
        <w:t xml:space="preserve"> 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14:paraId="3508E586">
      <w:pPr>
        <w:spacing w:line="276" w:lineRule="auto"/>
        <w:ind w:right="283"/>
        <w:jc w:val="both"/>
      </w:pPr>
      <w:r>
        <w:rPr>
          <w:rStyle w:val="128"/>
          <w:rFonts w:ascii="Century Gothic" w:hAnsi="Century Gothic" w:eastAsia="Arial"/>
          <w:b/>
          <w:bCs/>
          <w:color w:val="000000"/>
        </w:rPr>
        <w:t>9.1.4.</w:t>
      </w:r>
      <w:r>
        <w:rPr>
          <w:rStyle w:val="128"/>
          <w:rFonts w:ascii="Century Gothic" w:hAnsi="Century Gothic" w:eastAsia="Arial"/>
          <w:color w:val="000000"/>
        </w:rPr>
        <w:t xml:space="preserve"> A nota fiscal ou instrumento de cobrança equivalente deverá ser obrigatoriamente acompanhado da comprovação da regularidade fiscal, constatada mediante consulta aos sítios eletrônicos oficiais ou à documentação mencionada no art. 68 da Lei nº 14.133, de 2021.</w:t>
      </w:r>
    </w:p>
    <w:p w14:paraId="315A26B7">
      <w:pPr>
        <w:spacing w:line="276" w:lineRule="auto"/>
        <w:ind w:right="283"/>
        <w:jc w:val="both"/>
      </w:pPr>
      <w:r>
        <w:rPr>
          <w:rStyle w:val="128"/>
          <w:rFonts w:ascii="Century Gothic" w:hAnsi="Century Gothic" w:eastAsia="Arial"/>
          <w:b/>
          <w:bCs/>
          <w:color w:val="000000"/>
        </w:rPr>
        <w:t>9.1.5.</w:t>
      </w:r>
      <w:r>
        <w:rPr>
          <w:rStyle w:val="128"/>
          <w:rFonts w:ascii="Century Gothic" w:hAnsi="Century Gothic" w:eastAsia="Arial"/>
          <w:color w:val="000000"/>
        </w:rPr>
        <w:t xml:space="preserve"> A Administração deverá realizar consulta para:</w:t>
      </w:r>
    </w:p>
    <w:p w14:paraId="6A8BF692">
      <w:pPr>
        <w:spacing w:line="276" w:lineRule="auto"/>
        <w:ind w:right="283"/>
        <w:jc w:val="both"/>
      </w:pPr>
      <w:r>
        <w:rPr>
          <w:rStyle w:val="128"/>
          <w:rFonts w:ascii="Century Gothic" w:hAnsi="Century Gothic" w:eastAsia="Arial"/>
          <w:color w:val="000000"/>
        </w:rPr>
        <w:t>a) verificar a manutenção das condições de habilitação exigidas no edital;</w:t>
      </w:r>
    </w:p>
    <w:p w14:paraId="167F32CE">
      <w:pPr>
        <w:spacing w:line="276" w:lineRule="auto"/>
        <w:ind w:right="283"/>
        <w:jc w:val="both"/>
      </w:pPr>
      <w:r>
        <w:rPr>
          <w:rStyle w:val="128"/>
          <w:rFonts w:ascii="Century Gothic" w:hAnsi="Century Gothic" w:eastAsia="Arial"/>
          <w:color w:val="000000"/>
        </w:rPr>
        <w:t>b) identificar possível razão que impeça a participação em licitação, no âmbito do órgão ou entidade, proibição de contratar com o Poder Público, bem como ocorrências impeditivas indiretas.</w:t>
      </w:r>
    </w:p>
    <w:p w14:paraId="28CCD4AA">
      <w:pPr>
        <w:spacing w:line="276" w:lineRule="auto"/>
        <w:ind w:right="283"/>
        <w:jc w:val="both"/>
      </w:pPr>
      <w:r>
        <w:rPr>
          <w:rStyle w:val="128"/>
          <w:rFonts w:ascii="Century Gothic" w:hAnsi="Century Gothic" w:eastAsia="Arial"/>
          <w:b/>
          <w:bCs/>
          <w:color w:val="000000"/>
        </w:rPr>
        <w:t>9.1.6.</w:t>
      </w:r>
      <w:r>
        <w:rPr>
          <w:rStyle w:val="128"/>
          <w:rFonts w:ascii="Century Gothic" w:hAnsi="Century Gothic" w:eastAsia="Arial"/>
          <w:color w:val="000000"/>
        </w:rPr>
        <w:t xml:space="preserve"> Constatando-se,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550750B4">
      <w:pPr>
        <w:spacing w:line="276" w:lineRule="auto"/>
        <w:ind w:right="283"/>
        <w:jc w:val="both"/>
      </w:pPr>
      <w:r>
        <w:rPr>
          <w:rStyle w:val="128"/>
          <w:rFonts w:ascii="Century Gothic" w:hAnsi="Century Gothic" w:eastAsia="Arial"/>
          <w:b/>
          <w:bCs/>
          <w:color w:val="000000"/>
        </w:rPr>
        <w:t>9.1.7.</w:t>
      </w:r>
      <w:r>
        <w:rPr>
          <w:rStyle w:val="128"/>
          <w:rFonts w:ascii="Century Gothic" w:hAnsi="Century Gothic" w:eastAsia="Arial"/>
          <w:color w:val="000000"/>
        </w:rPr>
        <w:t xml:space="preserve"> 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14AFE628">
      <w:pPr>
        <w:spacing w:line="276" w:lineRule="auto"/>
        <w:ind w:right="283"/>
        <w:jc w:val="both"/>
      </w:pPr>
      <w:r>
        <w:rPr>
          <w:rStyle w:val="128"/>
          <w:rFonts w:ascii="Century Gothic" w:hAnsi="Century Gothic" w:eastAsia="Arial"/>
          <w:b/>
          <w:bCs/>
          <w:color w:val="000000"/>
        </w:rPr>
        <w:t>9.1.8.</w:t>
      </w:r>
      <w:r>
        <w:rPr>
          <w:rStyle w:val="128"/>
          <w:rFonts w:ascii="Century Gothic" w:hAnsi="Century Gothic" w:eastAsia="Arial"/>
          <w:color w:val="000000"/>
        </w:rPr>
        <w:t xml:space="preserve"> Persistindo a irregularidade, o contratante deverá adotar as medidas necessárias à rescisão contratual nos autos do processo administrativo correspondente, assegurada ao contratado a ampla defesa.</w:t>
      </w:r>
    </w:p>
    <w:p w14:paraId="3B1D3B10">
      <w:pPr>
        <w:spacing w:line="276" w:lineRule="auto"/>
        <w:ind w:right="283"/>
        <w:jc w:val="both"/>
      </w:pPr>
      <w:r>
        <w:rPr>
          <w:rStyle w:val="128"/>
          <w:rFonts w:ascii="Century Gothic" w:hAnsi="Century Gothic" w:eastAsia="Arial"/>
          <w:b/>
          <w:bCs/>
          <w:color w:val="000000"/>
        </w:rPr>
        <w:t xml:space="preserve">9.1.9. </w:t>
      </w:r>
      <w:r>
        <w:rPr>
          <w:rStyle w:val="128"/>
          <w:rFonts w:ascii="Century Gothic" w:hAnsi="Century Gothic" w:eastAsia="Arial"/>
          <w:color w:val="000000"/>
        </w:rPr>
        <w:t>Havendo a efetiva execução do objeto, os pagamentos serão realizados normalmente, até que se decida pela rescisão do contrato, caso o contratado não regularize sua situação.</w:t>
      </w:r>
    </w:p>
    <w:p w14:paraId="6B6FA6EE">
      <w:pPr>
        <w:spacing w:line="276" w:lineRule="auto"/>
        <w:ind w:right="283"/>
        <w:jc w:val="both"/>
      </w:pPr>
      <w:r>
        <w:rPr>
          <w:rStyle w:val="128"/>
          <w:rFonts w:ascii="Century Gothic" w:hAnsi="Century Gothic" w:eastAsia="Arial"/>
          <w:b/>
          <w:bCs/>
          <w:color w:val="000000"/>
        </w:rPr>
        <w:t>9.2. Prazo de pagamento</w:t>
      </w:r>
    </w:p>
    <w:p w14:paraId="3563FBA9">
      <w:pPr>
        <w:spacing w:line="276" w:lineRule="auto"/>
        <w:ind w:right="283"/>
        <w:jc w:val="both"/>
      </w:pPr>
      <w:r>
        <w:rPr>
          <w:rStyle w:val="128"/>
          <w:rFonts w:ascii="Century Gothic" w:hAnsi="Century Gothic" w:eastAsia="Arial"/>
          <w:b/>
          <w:bCs/>
          <w:color w:val="000000"/>
        </w:rPr>
        <w:t>9.2.1.</w:t>
      </w:r>
      <w:r>
        <w:rPr>
          <w:rStyle w:val="128"/>
          <w:rFonts w:ascii="Century Gothic" w:hAnsi="Century Gothic" w:eastAsia="Arial"/>
          <w:color w:val="000000"/>
        </w:rPr>
        <w:t xml:space="preserve"> O pagamento ocorrerá em até 30 (trinta) dias a contar da data de entrega dos produtos, mediante apresentação de nota fiscal e após atesto do setor competente, nos termos da Lei Federal nº 14.133/2021.</w:t>
      </w:r>
    </w:p>
    <w:p w14:paraId="57BA5E55">
      <w:pPr>
        <w:spacing w:line="276" w:lineRule="auto"/>
        <w:ind w:right="283"/>
        <w:jc w:val="both"/>
      </w:pPr>
      <w:r>
        <w:rPr>
          <w:rStyle w:val="128"/>
          <w:rFonts w:ascii="Century Gothic" w:hAnsi="Century Gothic" w:eastAsia="Arial"/>
          <w:b/>
          <w:bCs/>
          <w:color w:val="000000"/>
        </w:rPr>
        <w:t>9.2.2.</w:t>
      </w:r>
      <w:r>
        <w:rPr>
          <w:rStyle w:val="128"/>
          <w:rFonts w:ascii="Century Gothic" w:hAnsi="Century Gothic" w:eastAsia="Arial"/>
          <w:color w:val="000000"/>
        </w:rPr>
        <w:t xml:space="preserve"> No caso de atraso pelo Contratante, os valores devidos ao contratado serão atualizados monetariamente entre o termo final do prazo de pagamento até a data de sua efetiva realização, mediante aplicação do índice Nacional de Preços ao Consumidor Amplo (IPCA) de correção monetária.</w:t>
      </w:r>
    </w:p>
    <w:p w14:paraId="23C1B7DA">
      <w:pPr>
        <w:spacing w:line="276" w:lineRule="auto"/>
        <w:ind w:right="283"/>
        <w:jc w:val="both"/>
      </w:pPr>
      <w:r>
        <w:rPr>
          <w:rStyle w:val="128"/>
          <w:rFonts w:ascii="Century Gothic" w:hAnsi="Century Gothic" w:eastAsia="Arial"/>
          <w:b/>
          <w:bCs/>
          <w:color w:val="000000"/>
        </w:rPr>
        <w:t>9.3. Forma de pagamento</w:t>
      </w:r>
    </w:p>
    <w:p w14:paraId="59B6D8EC">
      <w:pPr>
        <w:spacing w:line="276" w:lineRule="auto"/>
        <w:ind w:right="283"/>
        <w:jc w:val="both"/>
      </w:pPr>
      <w:r>
        <w:rPr>
          <w:rStyle w:val="128"/>
          <w:rFonts w:ascii="Century Gothic" w:hAnsi="Century Gothic" w:eastAsia="Arial"/>
          <w:b/>
          <w:bCs/>
          <w:color w:val="000000"/>
        </w:rPr>
        <w:t>9.3.1.</w:t>
      </w:r>
      <w:r>
        <w:rPr>
          <w:rStyle w:val="128"/>
          <w:rFonts w:ascii="Century Gothic" w:hAnsi="Century Gothic" w:eastAsia="Arial"/>
          <w:color w:val="000000"/>
        </w:rPr>
        <w:t xml:space="preserve"> O pagamento será realizado por meio de ordem bancária, para crédito em banco, agência e conta corrente indicados pelo contratado. Será considerada data do pagamento o dia em que constar como emitida a ordem bancária para pagamento. Quando do pagamento, será efetuada a retenção tributária prevista na legislação aplicável.</w:t>
      </w:r>
    </w:p>
    <w:p w14:paraId="56ACAE73">
      <w:pPr>
        <w:spacing w:line="276" w:lineRule="auto"/>
        <w:ind w:right="283"/>
        <w:jc w:val="both"/>
      </w:pPr>
      <w:r>
        <w:rPr>
          <w:rStyle w:val="128"/>
          <w:rFonts w:ascii="Century Gothic" w:hAnsi="Century Gothic" w:eastAsia="Arial"/>
          <w:b/>
          <w:bCs/>
          <w:color w:val="000000"/>
        </w:rPr>
        <w:t>9.3.2.</w:t>
      </w:r>
      <w:r>
        <w:rPr>
          <w:rStyle w:val="128"/>
          <w:rFonts w:ascii="Century Gothic" w:hAnsi="Century Gothic" w:eastAsia="Arial"/>
          <w:color w:val="000000"/>
        </w:rPr>
        <w:t xml:space="preserve"> Independentemente do percentual de tributo inserido na planilha, quando houver, serão retidos na fonte, quando da realização do pagamento, os percentuais estabelecidos na legislação vigente.</w:t>
      </w:r>
    </w:p>
    <w:p w14:paraId="39AD4E04">
      <w:pPr>
        <w:spacing w:line="276" w:lineRule="auto"/>
        <w:ind w:right="283"/>
        <w:jc w:val="both"/>
      </w:pPr>
      <w:r>
        <w:rPr>
          <w:rStyle w:val="128"/>
          <w:rFonts w:ascii="Century Gothic" w:hAnsi="Century Gothic" w:eastAsia="Arial"/>
          <w:b/>
          <w:bCs/>
          <w:color w:val="000000"/>
        </w:rPr>
        <w:t xml:space="preserve">9.3.3. </w:t>
      </w:r>
      <w:r>
        <w:rPr>
          <w:rStyle w:val="128"/>
          <w:rFonts w:ascii="Century Gothic" w:hAnsi="Century Gothic" w:eastAsia="Arial"/>
          <w:color w:val="000000"/>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4896B9EF">
      <w:pPr>
        <w:ind w:left="-567" w:right="454"/>
        <w:jc w:val="both"/>
        <w:rPr>
          <w:rFonts w:ascii="Century Gothic" w:hAnsi="Century Gothic"/>
          <w:color w:val="000000"/>
          <w:sz w:val="10"/>
          <w:szCs w:val="10"/>
        </w:rPr>
      </w:pPr>
    </w:p>
    <w:tbl>
      <w:tblPr>
        <w:tblStyle w:val="12"/>
        <w:tblW w:w="9781" w:type="dxa"/>
        <w:tblInd w:w="103" w:type="dxa"/>
        <w:tblLayout w:type="fixed"/>
        <w:tblCellMar>
          <w:top w:w="0" w:type="dxa"/>
          <w:left w:w="108" w:type="dxa"/>
          <w:bottom w:w="0" w:type="dxa"/>
          <w:right w:w="108" w:type="dxa"/>
        </w:tblCellMar>
      </w:tblPr>
      <w:tblGrid>
        <w:gridCol w:w="9781"/>
      </w:tblGrid>
      <w:tr w14:paraId="7E672C2C">
        <w:tblPrEx>
          <w:tblCellMar>
            <w:top w:w="0" w:type="dxa"/>
            <w:left w:w="108" w:type="dxa"/>
            <w:bottom w:w="0" w:type="dxa"/>
            <w:right w:w="108" w:type="dxa"/>
          </w:tblCellMar>
        </w:tblPrEx>
        <w:trPr>
          <w:trHeight w:val="290" w:hRule="atLeast"/>
        </w:trPr>
        <w:tc>
          <w:tcPr>
            <w:tcW w:w="9781" w:type="dxa"/>
            <w:tcBorders>
              <w:top w:val="single" w:color="000000" w:sz="4" w:space="0"/>
              <w:left w:val="single" w:color="000000" w:sz="4" w:space="0"/>
              <w:bottom w:val="single" w:color="000000" w:sz="4" w:space="0"/>
              <w:right w:val="single" w:color="000000" w:sz="4" w:space="0"/>
            </w:tcBorders>
            <w:shd w:val="clear" w:color="auto" w:fill="DDDDDD"/>
          </w:tcPr>
          <w:p w14:paraId="5967CE6E">
            <w:pPr>
              <w:widowControl w:val="0"/>
              <w:spacing w:before="57" w:after="57"/>
              <w:jc w:val="center"/>
              <w:rPr>
                <w:sz w:val="22"/>
                <w:szCs w:val="22"/>
              </w:rPr>
            </w:pPr>
            <w:r>
              <w:rPr>
                <w:rFonts w:ascii="Century Gothic" w:hAnsi="Century Gothic"/>
                <w:b/>
                <w:bCs/>
                <w:sz w:val="22"/>
                <w:szCs w:val="22"/>
              </w:rPr>
              <w:t>10. FORMAS, CONDIÇÕES E PRAZOS DE PAGAMENTO, BEM COMO O CRITÉRIO DE REAJUSTE, QUANDO FOR O CASO – Art.23, XV do Decreto Municipal 11.685/2023</w:t>
            </w:r>
          </w:p>
        </w:tc>
      </w:tr>
    </w:tbl>
    <w:p w14:paraId="5716887F">
      <w:pPr>
        <w:ind w:left="-567" w:right="454"/>
        <w:jc w:val="both"/>
        <w:rPr>
          <w:rFonts w:ascii="Century Gothic" w:hAnsi="Century Gothic"/>
          <w:sz w:val="10"/>
          <w:szCs w:val="10"/>
        </w:rPr>
      </w:pPr>
    </w:p>
    <w:p w14:paraId="167F5B5D">
      <w:pPr>
        <w:spacing w:line="276" w:lineRule="auto"/>
        <w:ind w:right="227"/>
        <w:jc w:val="both"/>
      </w:pPr>
      <w:r>
        <w:rPr>
          <w:rStyle w:val="128"/>
          <w:rFonts w:ascii="Century Gothic" w:hAnsi="Century Gothic" w:eastAsia="Arial"/>
          <w:b/>
          <w:bCs/>
        </w:rPr>
        <w:t xml:space="preserve">10.1. </w:t>
      </w:r>
      <w:r>
        <w:rPr>
          <w:rStyle w:val="128"/>
          <w:rFonts w:ascii="Century Gothic" w:hAnsi="Century Gothic" w:eastAsia="Arial"/>
        </w:rPr>
        <w:t>O pagamento será realizado de acordo com a execução do objeto do contrato, mediante os preços são fixos e irreajustáveis no prazo de um ano contado da data limite para a apresentação das propostas.</w:t>
      </w:r>
    </w:p>
    <w:p w14:paraId="2EE0AF7D">
      <w:pPr>
        <w:spacing w:before="57" w:after="57" w:line="276" w:lineRule="auto"/>
        <w:ind w:right="227"/>
        <w:jc w:val="both"/>
      </w:pPr>
      <w:r>
        <w:rPr>
          <w:rStyle w:val="128"/>
          <w:rFonts w:ascii="Century Gothic" w:hAnsi="Century Gothic" w:eastAsia="Arial"/>
          <w:b/>
          <w:bCs/>
        </w:rPr>
        <w:t>10.2.</w:t>
      </w:r>
      <w:r>
        <w:rPr>
          <w:rStyle w:val="128"/>
          <w:rFonts w:ascii="Century Gothic" w:hAnsi="Century Gothic" w:eastAsia="Arial"/>
        </w:rPr>
        <w:t xml:space="preserve"> </w:t>
      </w:r>
      <w:r>
        <w:rPr>
          <w:rFonts w:ascii="Century Gothic" w:hAnsi="Century Gothic"/>
        </w:rPr>
        <w:t>Dentro do prazo de vigência do contrato e mediante solicitação da contratada, os preços contratados poderão sofrer reajuste após o interregno de um ano, aplicando-se o índice nacional de preços ao consumidor amplo (IPCA) a ser aprovado por ambas partes interessadas, exclusivamente para as obrigações iniciadas e concluídas após a ocorrência da anualidade.</w:t>
      </w:r>
    </w:p>
    <w:p w14:paraId="7CB92ACB">
      <w:pPr>
        <w:spacing w:before="57" w:after="57" w:line="276" w:lineRule="auto"/>
        <w:ind w:right="227"/>
        <w:jc w:val="both"/>
      </w:pPr>
      <w:r>
        <w:rPr>
          <w:rFonts w:ascii="Century Gothic" w:hAnsi="Century Gothic"/>
          <w:b/>
          <w:bCs/>
        </w:rPr>
        <w:t>10.3.</w:t>
      </w:r>
      <w:r>
        <w:rPr>
          <w:rFonts w:ascii="Century Gothic" w:hAnsi="Century Gothic"/>
        </w:rPr>
        <w:t xml:space="preserve"> Nos reajustes subsequentes ao primeiro, o interregno mínimo de um ano será contado a partir dos efeitos financeiros do último reajuste.</w:t>
      </w:r>
    </w:p>
    <w:p w14:paraId="66ABAC86">
      <w:pPr>
        <w:spacing w:before="57" w:after="57" w:line="276" w:lineRule="auto"/>
        <w:ind w:right="227"/>
        <w:jc w:val="both"/>
      </w:pPr>
      <w:r>
        <w:rPr>
          <w:rFonts w:ascii="Century Gothic" w:hAnsi="Century Gothic"/>
          <w:b/>
          <w:bCs/>
        </w:rPr>
        <w:t>10.4.</w:t>
      </w:r>
      <w:r>
        <w:rPr>
          <w:rFonts w:ascii="Century Gothic" w:hAnsi="Century Gothic"/>
        </w:rPr>
        <w:t xml:space="preserve"> 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14:paraId="63067768">
      <w:pPr>
        <w:spacing w:before="57" w:after="57" w:line="276" w:lineRule="auto"/>
        <w:ind w:right="227"/>
        <w:jc w:val="both"/>
      </w:pPr>
      <w:r>
        <w:rPr>
          <w:rFonts w:ascii="Century Gothic" w:hAnsi="Century Gothic"/>
          <w:b/>
          <w:bCs/>
        </w:rPr>
        <w:t>10.5.</w:t>
      </w:r>
      <w:r>
        <w:rPr>
          <w:rFonts w:ascii="Century Gothic" w:hAnsi="Century Gothic"/>
        </w:rPr>
        <w:t xml:space="preserve"> Nas aferições finais, o índice utilizado para reajuste será, obrigatoriamente, o definitivo.</w:t>
      </w:r>
    </w:p>
    <w:p w14:paraId="0A1FABBF">
      <w:pPr>
        <w:spacing w:before="57" w:after="57" w:line="276" w:lineRule="auto"/>
        <w:ind w:right="227"/>
        <w:jc w:val="both"/>
      </w:pPr>
      <w:r>
        <w:rPr>
          <w:rFonts w:ascii="Century Gothic" w:hAnsi="Century Gothic"/>
          <w:b/>
          <w:bCs/>
        </w:rPr>
        <w:t>10.6.</w:t>
      </w:r>
      <w:r>
        <w:rPr>
          <w:rFonts w:ascii="Century Gothic" w:hAnsi="Century Gothic"/>
        </w:rPr>
        <w:t xml:space="preserve"> Caso o índice estabelecido para reajustamento venha a ser extinto ou de qualquer forma não possa mais ser utilizado, será adotado, em substituição, o que vier a ser determinado pela legislação então em vigor.</w:t>
      </w:r>
    </w:p>
    <w:p w14:paraId="7C0C857E">
      <w:pPr>
        <w:spacing w:before="57" w:after="57" w:line="276" w:lineRule="auto"/>
        <w:ind w:right="227"/>
        <w:jc w:val="both"/>
      </w:pPr>
      <w:r>
        <w:rPr>
          <w:rFonts w:ascii="Century Gothic" w:hAnsi="Century Gothic"/>
          <w:b/>
          <w:bCs/>
        </w:rPr>
        <w:t>10.7.</w:t>
      </w:r>
      <w:r>
        <w:rPr>
          <w:rFonts w:ascii="Century Gothic" w:hAnsi="Century Gothic"/>
        </w:rPr>
        <w:t xml:space="preserve"> Na ausência de previsão legal quanto ao índice substituto, as partes elegerão novo índice oficial, para reajustamento do preço do valor remanescente, por meio de termo aditivo.</w:t>
      </w:r>
    </w:p>
    <w:p w14:paraId="076A1B14">
      <w:pPr>
        <w:spacing w:before="57" w:after="57" w:line="276" w:lineRule="auto"/>
        <w:ind w:right="227"/>
        <w:jc w:val="both"/>
      </w:pPr>
      <w:r>
        <w:rPr>
          <w:rStyle w:val="128"/>
          <w:rFonts w:ascii="Century Gothic" w:hAnsi="Century Gothic" w:eastAsia="Arial"/>
          <w:b/>
          <w:bCs/>
          <w:color w:val="000000"/>
        </w:rPr>
        <w:t>10.8. O reajuste será realizado por apostilamento.</w:t>
      </w:r>
    </w:p>
    <w:tbl>
      <w:tblPr>
        <w:tblStyle w:val="12"/>
        <w:tblW w:w="9750" w:type="dxa"/>
        <w:tblInd w:w="140" w:type="dxa"/>
        <w:tblLayout w:type="fixed"/>
        <w:tblCellMar>
          <w:top w:w="0" w:type="dxa"/>
          <w:left w:w="108" w:type="dxa"/>
          <w:bottom w:w="0" w:type="dxa"/>
          <w:right w:w="108" w:type="dxa"/>
        </w:tblCellMar>
      </w:tblPr>
      <w:tblGrid>
        <w:gridCol w:w="9750"/>
      </w:tblGrid>
      <w:tr w14:paraId="10A1320B">
        <w:tblPrEx>
          <w:tblCellMar>
            <w:top w:w="0" w:type="dxa"/>
            <w:left w:w="108" w:type="dxa"/>
            <w:bottom w:w="0" w:type="dxa"/>
            <w:right w:w="108" w:type="dxa"/>
          </w:tblCellMar>
        </w:tblPrEx>
        <w:trPr>
          <w:trHeight w:val="290" w:hRule="atLeast"/>
        </w:trPr>
        <w:tc>
          <w:tcPr>
            <w:tcW w:w="9750" w:type="dxa"/>
            <w:tcBorders>
              <w:top w:val="single" w:color="000000" w:sz="4" w:space="0"/>
              <w:left w:val="single" w:color="000000" w:sz="4" w:space="0"/>
              <w:bottom w:val="single" w:color="000000" w:sz="4" w:space="0"/>
              <w:right w:val="single" w:color="000000" w:sz="4" w:space="0"/>
            </w:tcBorders>
            <w:shd w:val="clear" w:color="auto" w:fill="DDDDDD"/>
          </w:tcPr>
          <w:p w14:paraId="0C9D7BC0">
            <w:pPr>
              <w:widowControl w:val="0"/>
              <w:spacing w:before="57" w:after="57"/>
              <w:jc w:val="center"/>
              <w:rPr>
                <w:sz w:val="22"/>
                <w:szCs w:val="22"/>
              </w:rPr>
            </w:pPr>
            <w:r>
              <w:rPr>
                <w:rFonts w:ascii="Century Gothic" w:hAnsi="Century Gothic"/>
                <w:b/>
                <w:bCs/>
                <w:sz w:val="22"/>
                <w:szCs w:val="22"/>
              </w:rPr>
              <w:t>11. FORMA E CRITÉRIOS DE SELEÇÃO DO FORNECEDOR – Art. 6º, XXIII, “h”</w:t>
            </w:r>
          </w:p>
        </w:tc>
      </w:tr>
    </w:tbl>
    <w:p w14:paraId="130999CE">
      <w:pPr>
        <w:spacing w:before="57" w:after="57" w:line="276" w:lineRule="auto"/>
        <w:ind w:right="283"/>
        <w:jc w:val="both"/>
        <w:rPr>
          <w:rFonts w:ascii="Century Gothic" w:hAnsi="Century Gothic"/>
        </w:rPr>
      </w:pPr>
      <w:r>
        <w:rPr>
          <w:rFonts w:ascii="Century Gothic" w:hAnsi="Century Gothic"/>
        </w:rPr>
        <w:t xml:space="preserve">A presente contratação será realizada por meio de </w:t>
      </w:r>
      <w:r>
        <w:rPr>
          <w:rFonts w:ascii="Century Gothic" w:hAnsi="Century Gothic"/>
          <w:b/>
          <w:bCs/>
        </w:rPr>
        <w:t>Pregão Eletrônico</w:t>
      </w:r>
      <w:r>
        <w:rPr>
          <w:rFonts w:ascii="Century Gothic" w:hAnsi="Century Gothic"/>
        </w:rPr>
        <w:t xml:space="preserve">, nos termos do art. 28, inciso I, da Lei nº 14.133/2021, e do Decreto Federal nº 10.024/2019, adotando-se como </w:t>
      </w:r>
      <w:r>
        <w:rPr>
          <w:rFonts w:ascii="Century Gothic" w:hAnsi="Century Gothic"/>
          <w:b/>
          <w:bCs/>
        </w:rPr>
        <w:t>critério de julgamento o menor preço global</w:t>
      </w:r>
      <w:r>
        <w:rPr>
          <w:rFonts w:ascii="Century Gothic" w:hAnsi="Century Gothic"/>
        </w:rPr>
        <w:t>, observadas as condições de habilitação técnica, regularidade fiscal e econômico-financeira, conforme estabelecido no edital.</w:t>
      </w:r>
    </w:p>
    <w:p w14:paraId="725E2416">
      <w:pPr>
        <w:spacing w:before="57" w:after="57" w:line="276" w:lineRule="auto"/>
        <w:ind w:right="283"/>
        <w:jc w:val="both"/>
        <w:rPr>
          <w:rFonts w:ascii="Century Gothic" w:hAnsi="Century Gothic"/>
        </w:rPr>
      </w:pPr>
      <w:r>
        <w:rPr>
          <w:rFonts w:ascii="Century Gothic" w:hAnsi="Century Gothic"/>
        </w:rPr>
        <w:t>O julgamento por menor preço global por lote justifica-se pela natureza integrada dos serviços contratados, que exigem gestão centralizada, uniformidade de padrões operacionais, nutricionais e logísticos, e coordenação única entre as diversas etapas da execução (fornecimento de gêneros, preparo, transporte, distribuição, supervisão nutricional, manutenção e fornecimento de GLP). A divisão em lotes poderia comprometer a padronização dos cardápios, a segurança alimentar, a qualidade das refeições e a eficiência da fiscalização, além de aumentar os custos operacionais e os riscos contratuais.</w:t>
      </w:r>
    </w:p>
    <w:p w14:paraId="209B5F4C">
      <w:pPr>
        <w:spacing w:before="57" w:after="57" w:line="276" w:lineRule="auto"/>
        <w:ind w:right="283"/>
        <w:jc w:val="both"/>
        <w:rPr>
          <w:rFonts w:ascii="Century Gothic" w:hAnsi="Century Gothic"/>
        </w:rPr>
      </w:pPr>
      <w:r>
        <w:rPr>
          <w:rFonts w:ascii="Century Gothic" w:hAnsi="Century Gothic"/>
        </w:rPr>
        <w:t xml:space="preserve">Nos termos do art. 107 da Lei nº 14.133/2021, o contrato terá vigência inicial de </w:t>
      </w:r>
      <w:r>
        <w:rPr>
          <w:rFonts w:ascii="Century Gothic" w:hAnsi="Century Gothic"/>
          <w:b/>
          <w:bCs/>
        </w:rPr>
        <w:t>12 (doze) meses</w:t>
      </w:r>
      <w:r>
        <w:rPr>
          <w:rFonts w:ascii="Century Gothic" w:hAnsi="Century Gothic"/>
        </w:rPr>
        <w:t>, podendo ser prorrogado por iguais e sucessivos períodos, limitada a prorrogação ao prazo máximo definido nos termos do art. acima</w:t>
      </w:r>
      <w:r>
        <w:rPr>
          <w:rFonts w:ascii="Century Gothic" w:hAnsi="Century Gothic"/>
          <w:b/>
          <w:bCs/>
        </w:rPr>
        <w:t>,</w:t>
      </w:r>
      <w:r>
        <w:rPr>
          <w:rFonts w:ascii="Century Gothic" w:hAnsi="Century Gothic"/>
        </w:rPr>
        <w:t xml:space="preserve"> desde que haja interesse público justificado e avaliação satisfatória do desempenho da contratada, com base nos indicadores de qualidade, regularidade, segurança sanitária, pontualidade e conformidade técnica da execução.</w:t>
      </w:r>
    </w:p>
    <w:p w14:paraId="03A3B177">
      <w:pPr>
        <w:spacing w:before="57" w:after="57" w:line="276" w:lineRule="auto"/>
        <w:ind w:right="283"/>
        <w:jc w:val="both"/>
        <w:rPr>
          <w:rFonts w:ascii="Century Gothic" w:hAnsi="Century Gothic"/>
        </w:rPr>
      </w:pPr>
      <w:r>
        <w:rPr>
          <w:rFonts w:ascii="Century Gothic" w:hAnsi="Century Gothic"/>
        </w:rPr>
        <w:t xml:space="preserve">A execução contratual será realizada sob o </w:t>
      </w:r>
      <w:r>
        <w:rPr>
          <w:rFonts w:ascii="Century Gothic" w:hAnsi="Century Gothic"/>
          <w:b/>
          <w:bCs/>
        </w:rPr>
        <w:t>regime de execução indireta</w:t>
      </w:r>
      <w:r>
        <w:rPr>
          <w:rFonts w:ascii="Century Gothic" w:hAnsi="Century Gothic"/>
        </w:rPr>
        <w:t xml:space="preserve">, modalidade </w:t>
      </w:r>
      <w:r>
        <w:rPr>
          <w:rFonts w:ascii="Century Gothic" w:hAnsi="Century Gothic"/>
          <w:b/>
          <w:bCs/>
        </w:rPr>
        <w:t>empreitada por preço global</w:t>
      </w:r>
      <w:r>
        <w:rPr>
          <w:rFonts w:ascii="Century Gothic" w:hAnsi="Century Gothic"/>
        </w:rPr>
        <w:t>, com remuneração vinculada à medição mensal dos serviços efetivamente prestados, conforme os quantitativos registrados em relatórios técnicos validados pela fiscalização da Secretaria Municipal de Educação.</w:t>
      </w:r>
    </w:p>
    <w:p w14:paraId="39DBE751">
      <w:pPr>
        <w:spacing w:before="57" w:after="57" w:line="276" w:lineRule="auto"/>
        <w:ind w:right="283"/>
        <w:jc w:val="both"/>
      </w:pPr>
      <w:r>
        <w:rPr>
          <w:rStyle w:val="128"/>
          <w:rFonts w:ascii="Century Gothic" w:hAnsi="Century Gothic" w:eastAsia="Arial"/>
        </w:rPr>
        <w:t xml:space="preserve">A estrutura contratual adotada garante previsibilidade, transparência e controle efetivo da </w:t>
      </w:r>
      <w:r>
        <w:rPr>
          <w:rStyle w:val="128"/>
          <w:rFonts w:ascii="Century Gothic" w:hAnsi="Century Gothic" w:eastAsia="Arial"/>
          <w:color w:val="000000"/>
        </w:rPr>
        <w:t>execução, promovendo a economicidade e a eficiência administrativa na contratação dos serviços de alimentação escolar.</w:t>
      </w:r>
    </w:p>
    <w:p w14:paraId="4445D409">
      <w:pPr>
        <w:overflowPunct w:val="0"/>
        <w:spacing w:line="276" w:lineRule="auto"/>
        <w:ind w:right="283"/>
        <w:jc w:val="both"/>
      </w:pPr>
      <w:r>
        <w:rPr>
          <w:rStyle w:val="128"/>
          <w:rFonts w:ascii="Century Gothic" w:hAnsi="Century Gothic" w:eastAsia="Arial"/>
          <w:b/>
          <w:bCs/>
          <w:color w:val="000000"/>
        </w:rPr>
        <w:t xml:space="preserve">Exigências de habilitação </w:t>
      </w:r>
    </w:p>
    <w:p w14:paraId="45E42D4B">
      <w:pPr>
        <w:overflowPunct w:val="0"/>
        <w:spacing w:line="276" w:lineRule="auto"/>
        <w:ind w:right="283"/>
        <w:jc w:val="both"/>
      </w:pPr>
      <w:r>
        <w:rPr>
          <w:rStyle w:val="128"/>
          <w:rFonts w:ascii="Century Gothic" w:hAnsi="Century Gothic" w:eastAsia="Arial"/>
          <w:b/>
          <w:bCs/>
          <w:color w:val="000000"/>
        </w:rPr>
        <w:t xml:space="preserve">11.3. </w:t>
      </w:r>
      <w:r>
        <w:rPr>
          <w:rStyle w:val="128"/>
          <w:rFonts w:ascii="Century Gothic" w:hAnsi="Century Gothic" w:eastAsia="Arial"/>
          <w:color w:val="000000"/>
        </w:rPr>
        <w:t>Para fins de habilitação, deverá o licitante comprovar os seguintes requisitos:</w:t>
      </w:r>
    </w:p>
    <w:p w14:paraId="5DAA6FC9">
      <w:pPr>
        <w:overflowPunct w:val="0"/>
        <w:spacing w:before="57" w:after="57" w:line="276" w:lineRule="auto"/>
        <w:ind w:right="283"/>
        <w:jc w:val="both"/>
      </w:pPr>
      <w:r>
        <w:rPr>
          <w:rStyle w:val="128"/>
          <w:rFonts w:ascii="Century Gothic" w:hAnsi="Century Gothic" w:eastAsia="Arial"/>
          <w:b/>
          <w:bCs/>
          <w:color w:val="000000"/>
        </w:rPr>
        <w:t xml:space="preserve">Habilitação jurídica </w:t>
      </w:r>
    </w:p>
    <w:p w14:paraId="6E8F4E2E">
      <w:pPr>
        <w:overflowPunct w:val="0"/>
        <w:spacing w:before="57" w:after="57" w:line="276" w:lineRule="auto"/>
        <w:ind w:right="283"/>
        <w:jc w:val="both"/>
      </w:pPr>
      <w:r>
        <w:rPr>
          <w:rStyle w:val="128"/>
          <w:rFonts w:ascii="Century Gothic" w:hAnsi="Century Gothic" w:eastAsia="Arial"/>
          <w:b/>
          <w:bCs/>
          <w:color w:val="000000"/>
        </w:rPr>
        <w:t>11.4.</w:t>
      </w:r>
      <w:r>
        <w:rPr>
          <w:rStyle w:val="128"/>
          <w:rFonts w:ascii="Century Gothic" w:hAnsi="Century Gothic" w:eastAsia="Arial"/>
          <w:color w:val="000000"/>
        </w:rPr>
        <w:t xml:space="preserve"> </w:t>
      </w:r>
      <w:r>
        <w:rPr>
          <w:rStyle w:val="128"/>
          <w:rFonts w:ascii="Century Gothic" w:hAnsi="Century Gothic" w:eastAsia="Arial"/>
          <w:b/>
          <w:bCs/>
          <w:color w:val="000000"/>
        </w:rPr>
        <w:t xml:space="preserve">Pessoa física: </w:t>
      </w:r>
      <w:r>
        <w:rPr>
          <w:rStyle w:val="128"/>
          <w:rFonts w:ascii="Century Gothic" w:hAnsi="Century Gothic" w:eastAsia="Arial"/>
          <w:color w:val="000000"/>
        </w:rPr>
        <w:t>cédula de identidade (RG) ou documento equivalente que, por força de lei, tenha validade para fins de identificação em todo o território nacional;</w:t>
      </w:r>
    </w:p>
    <w:p w14:paraId="0AB72497">
      <w:pPr>
        <w:overflowPunct w:val="0"/>
        <w:spacing w:before="57" w:after="57" w:line="276" w:lineRule="auto"/>
        <w:ind w:right="283"/>
        <w:jc w:val="both"/>
      </w:pPr>
      <w:r>
        <w:rPr>
          <w:rStyle w:val="128"/>
          <w:rFonts w:ascii="Century Gothic" w:hAnsi="Century Gothic" w:eastAsia="Arial"/>
          <w:b/>
          <w:bCs/>
          <w:color w:val="000000"/>
        </w:rPr>
        <w:t xml:space="preserve">11.5. Empresário individual: </w:t>
      </w:r>
      <w:r>
        <w:rPr>
          <w:rStyle w:val="128"/>
          <w:rFonts w:ascii="Century Gothic" w:hAnsi="Century Gothic" w:eastAsia="Arial"/>
          <w:color w:val="000000"/>
        </w:rPr>
        <w:t>inscrição no Registro Público de Empresas Mercantis, a cargo da Junta Comercial da respectiva sede;</w:t>
      </w:r>
    </w:p>
    <w:p w14:paraId="2F035B4C">
      <w:pPr>
        <w:overflowPunct w:val="0"/>
        <w:spacing w:before="57" w:after="57" w:line="276" w:lineRule="auto"/>
        <w:ind w:right="283"/>
        <w:jc w:val="both"/>
      </w:pPr>
      <w:r>
        <w:rPr>
          <w:rStyle w:val="128"/>
          <w:rFonts w:ascii="Century Gothic" w:hAnsi="Century Gothic" w:eastAsia="Arial"/>
          <w:b/>
          <w:bCs/>
          <w:color w:val="000000"/>
        </w:rPr>
        <w:t>11.6.</w:t>
      </w:r>
      <w:r>
        <w:rPr>
          <w:rStyle w:val="128"/>
          <w:rFonts w:ascii="Century Gothic" w:hAnsi="Century Gothic" w:eastAsia="Arial"/>
          <w:color w:val="000000"/>
        </w:rPr>
        <w:t xml:space="preserve"> </w:t>
      </w:r>
      <w:r>
        <w:rPr>
          <w:rStyle w:val="128"/>
          <w:rFonts w:ascii="Century Gothic" w:hAnsi="Century Gothic" w:eastAsia="Arial"/>
          <w:b/>
          <w:bCs/>
          <w:color w:val="000000"/>
        </w:rPr>
        <w:t>Microempreendedor Individual - MEI:</w:t>
      </w:r>
      <w:r>
        <w:rPr>
          <w:rStyle w:val="128"/>
          <w:rFonts w:ascii="Century Gothic" w:hAnsi="Century Gothic" w:eastAsia="Arial"/>
          <w:color w:val="000000"/>
        </w:rPr>
        <w:t xml:space="preserve"> Certificado da Condição de Microempreendedor Individual - CCMEI, cuja aceitação ficará condicionada à verificação da autenticidade no sítio </w:t>
      </w:r>
      <w:r>
        <w:fldChar w:fldCharType="begin"/>
      </w:r>
      <w:r>
        <w:instrText xml:space="preserve"> HYPERLINK "https://www.gov.br/empresas-e-negocios/pt-br/empreendedor" \h </w:instrText>
      </w:r>
      <w:r>
        <w:fldChar w:fldCharType="separate"/>
      </w:r>
      <w:r>
        <w:rPr>
          <w:rStyle w:val="134"/>
          <w:rFonts w:ascii="Century Gothic" w:hAnsi="Century Gothic"/>
          <w:color w:val="000000"/>
        </w:rPr>
        <w:t>https://www.gov.br/empresas-e-negocios/pt-br/empreendedor</w:t>
      </w:r>
      <w:r>
        <w:rPr>
          <w:rStyle w:val="134"/>
          <w:rFonts w:ascii="Century Gothic" w:hAnsi="Century Gothic"/>
          <w:color w:val="000000"/>
        </w:rPr>
        <w:fldChar w:fldCharType="end"/>
      </w:r>
      <w:r>
        <w:rPr>
          <w:rStyle w:val="128"/>
          <w:rFonts w:ascii="Century Gothic" w:hAnsi="Century Gothic" w:eastAsia="Arial"/>
          <w:color w:val="000000"/>
        </w:rPr>
        <w:t>;</w:t>
      </w:r>
    </w:p>
    <w:p w14:paraId="2ED22D0E">
      <w:pPr>
        <w:overflowPunct w:val="0"/>
        <w:spacing w:before="57" w:after="57" w:line="276" w:lineRule="auto"/>
        <w:ind w:right="283"/>
        <w:jc w:val="both"/>
      </w:pPr>
      <w:r>
        <w:rPr>
          <w:rStyle w:val="128"/>
          <w:rFonts w:ascii="Century Gothic" w:hAnsi="Century Gothic" w:eastAsia="Arial"/>
          <w:b/>
          <w:bCs/>
          <w:color w:val="000000"/>
        </w:rPr>
        <w:t>11.7. Sociedade empresária, sociedade limitada unipessoal – SLU ou sociedade identificada como empresa individual de responsabilidade limitada - EIRELI:</w:t>
      </w:r>
      <w:r>
        <w:rPr>
          <w:rStyle w:val="128"/>
          <w:rFonts w:ascii="Century Gothic" w:hAnsi="Century Gothic" w:eastAsia="Arial"/>
          <w:color w:val="000000"/>
        </w:rPr>
        <w:t xml:space="preserve"> inscrição do ato constitutivo, estatuto ou contrato social no Registro Público de Empresas Mercantis, a cargo da Junta Comercial da respectiva sede, acompanhada de documento comprobatório de seus administradores;</w:t>
      </w:r>
    </w:p>
    <w:p w14:paraId="50173FA3">
      <w:pPr>
        <w:overflowPunct w:val="0"/>
        <w:spacing w:before="57" w:after="57" w:line="276" w:lineRule="auto"/>
        <w:ind w:right="283"/>
        <w:jc w:val="both"/>
      </w:pPr>
      <w:r>
        <w:rPr>
          <w:rStyle w:val="128"/>
          <w:rFonts w:ascii="Century Gothic" w:hAnsi="Century Gothic" w:eastAsia="Arial"/>
          <w:b/>
          <w:bCs/>
          <w:color w:val="000000"/>
        </w:rPr>
        <w:t>11.8.</w:t>
      </w:r>
      <w:r>
        <w:rPr>
          <w:rStyle w:val="128"/>
          <w:rFonts w:ascii="Century Gothic" w:hAnsi="Century Gothic" w:eastAsia="Arial"/>
          <w:color w:val="000000"/>
        </w:rPr>
        <w:t xml:space="preserve"> </w:t>
      </w:r>
      <w:r>
        <w:rPr>
          <w:rStyle w:val="128"/>
          <w:rFonts w:ascii="Century Gothic" w:hAnsi="Century Gothic" w:eastAsia="Arial"/>
          <w:b/>
          <w:bCs/>
          <w:color w:val="000000"/>
        </w:rPr>
        <w:t xml:space="preserve">Sociedade empresária estrangeira: </w:t>
      </w:r>
      <w:r>
        <w:rPr>
          <w:rStyle w:val="128"/>
          <w:rFonts w:ascii="Century Gothic" w:hAnsi="Century Gothic" w:eastAsia="Arial"/>
          <w:color w:val="000000"/>
        </w:rPr>
        <w:t>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26F129FB">
      <w:pPr>
        <w:overflowPunct w:val="0"/>
        <w:spacing w:before="57" w:after="57" w:line="276" w:lineRule="auto"/>
        <w:ind w:right="283"/>
        <w:jc w:val="both"/>
      </w:pPr>
      <w:r>
        <w:rPr>
          <w:rStyle w:val="128"/>
          <w:rFonts w:ascii="Century Gothic" w:hAnsi="Century Gothic" w:eastAsia="Arial"/>
          <w:b/>
          <w:bCs/>
          <w:color w:val="000000"/>
        </w:rPr>
        <w:t xml:space="preserve">11.9. Sociedade simples: </w:t>
      </w:r>
      <w:r>
        <w:rPr>
          <w:rStyle w:val="128"/>
          <w:rFonts w:ascii="Century Gothic" w:hAnsi="Century Gothic" w:eastAsia="Arial"/>
          <w:color w:val="000000"/>
        </w:rPr>
        <w:t>inscrição do ato constitutivo no Registro Civil de Pessoas Jurídicas do local de sua sede, acompanhada de documento comprobatório de seus administradores;</w:t>
      </w:r>
    </w:p>
    <w:p w14:paraId="0CE44CE4">
      <w:pPr>
        <w:overflowPunct w:val="0"/>
        <w:spacing w:before="57" w:after="57" w:line="276" w:lineRule="auto"/>
        <w:ind w:right="283"/>
        <w:jc w:val="both"/>
      </w:pPr>
      <w:r>
        <w:rPr>
          <w:rStyle w:val="128"/>
          <w:rFonts w:ascii="Century Gothic" w:hAnsi="Century Gothic" w:eastAsia="Arial"/>
          <w:b/>
          <w:bCs/>
          <w:color w:val="000000"/>
        </w:rPr>
        <w:t>11.10. Filial, sucursal ou agência de sociedade simples ou empresária:</w:t>
      </w:r>
      <w:r>
        <w:rPr>
          <w:rStyle w:val="128"/>
          <w:rFonts w:ascii="Century Gothic" w:hAnsi="Century Gothic" w:eastAsia="Arial"/>
          <w:color w:val="000000"/>
        </w:rPr>
        <w:t xml:space="preserve">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2D667DFA">
      <w:pPr>
        <w:overflowPunct w:val="0"/>
        <w:spacing w:before="57" w:after="57" w:line="276" w:lineRule="auto"/>
        <w:ind w:right="283"/>
        <w:jc w:val="both"/>
      </w:pPr>
      <w:r>
        <w:rPr>
          <w:rStyle w:val="128"/>
          <w:rFonts w:ascii="Century Gothic" w:hAnsi="Century Gothic" w:eastAsia="Arial"/>
          <w:b/>
          <w:bCs/>
          <w:color w:val="000000"/>
        </w:rPr>
        <w:t>11.11. Sociedade cooperativa:</w:t>
      </w:r>
      <w:r>
        <w:rPr>
          <w:rStyle w:val="128"/>
          <w:rFonts w:ascii="Century Gothic" w:hAnsi="Century Gothic" w:eastAsia="Arial"/>
          <w:color w:val="000000"/>
        </w:rPr>
        <w:t xml:space="preserve">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4FFBADAC">
      <w:pPr>
        <w:overflowPunct w:val="0"/>
        <w:spacing w:before="57" w:after="57" w:line="276" w:lineRule="auto"/>
        <w:ind w:right="283"/>
        <w:jc w:val="both"/>
      </w:pPr>
      <w:r>
        <w:rPr>
          <w:rStyle w:val="128"/>
          <w:rFonts w:ascii="Century Gothic" w:hAnsi="Century Gothic" w:eastAsia="Arial"/>
          <w:b/>
          <w:bCs/>
          <w:color w:val="000000"/>
        </w:rPr>
        <w:t xml:space="preserve">11.12. Consórcio de empresas: </w:t>
      </w:r>
      <w:r>
        <w:rPr>
          <w:rStyle w:val="128"/>
          <w:rFonts w:ascii="Century Gothic" w:hAnsi="Century Gothic" w:eastAsia="Arial"/>
          <w:color w:val="000000"/>
        </w:rPr>
        <w:t>contrato de consórcio devidamente arquivado no Registro Civil das Pessoas Jurídicas ou no Registro Público de Empresas Mercantis (art. 279 da Lei nº 6.404, de 15 de dezembro de 1976) ou compromisso público ou particular de constituição, subscrito pelos consorciados, com a indicação da empresa líder, responsável por sua representação perante a Administração (art. 15, caput, I e II, da Lei nº 14.133, de 2021).</w:t>
      </w:r>
    </w:p>
    <w:p w14:paraId="05426EC3">
      <w:pPr>
        <w:overflowPunct w:val="0"/>
        <w:spacing w:before="57" w:after="57" w:line="276" w:lineRule="auto"/>
        <w:ind w:right="283"/>
        <w:jc w:val="both"/>
      </w:pPr>
      <w:r>
        <w:rPr>
          <w:rStyle w:val="128"/>
          <w:rFonts w:ascii="Century Gothic" w:hAnsi="Century Gothic" w:eastAsia="Arial"/>
          <w:b/>
          <w:bCs/>
          <w:color w:val="000000"/>
        </w:rPr>
        <w:t xml:space="preserve">11.13. </w:t>
      </w:r>
      <w:r>
        <w:rPr>
          <w:rStyle w:val="128"/>
          <w:rFonts w:ascii="Century Gothic" w:hAnsi="Century Gothic" w:eastAsia="Arial"/>
          <w:color w:val="000000"/>
        </w:rPr>
        <w:t>Os documentos apresentados deverão estar acompanhados de todas as alterações ou da consolidação respectiva.</w:t>
      </w:r>
    </w:p>
    <w:p w14:paraId="609FE90F">
      <w:pPr>
        <w:overflowPunct w:val="0"/>
        <w:spacing w:before="57" w:after="57" w:line="276" w:lineRule="auto"/>
        <w:ind w:right="283"/>
        <w:jc w:val="both"/>
      </w:pPr>
      <w:r>
        <w:rPr>
          <w:rStyle w:val="128"/>
          <w:rFonts w:ascii="Century Gothic" w:hAnsi="Century Gothic" w:eastAsia="Arial"/>
          <w:b/>
          <w:bCs/>
          <w:color w:val="000000"/>
        </w:rPr>
        <w:t xml:space="preserve">Habilitação fiscal, social e trabalhista </w:t>
      </w:r>
    </w:p>
    <w:p w14:paraId="71BCC375">
      <w:pPr>
        <w:overflowPunct w:val="0"/>
        <w:spacing w:before="57" w:after="57" w:line="276" w:lineRule="auto"/>
        <w:ind w:right="283"/>
        <w:jc w:val="both"/>
      </w:pPr>
      <w:r>
        <w:rPr>
          <w:rStyle w:val="128"/>
          <w:rFonts w:ascii="Century Gothic" w:hAnsi="Century Gothic" w:eastAsia="Arial"/>
          <w:b/>
          <w:bCs/>
          <w:color w:val="000000"/>
        </w:rPr>
        <w:t>11.14.</w:t>
      </w:r>
      <w:r>
        <w:rPr>
          <w:rStyle w:val="128"/>
          <w:rFonts w:ascii="Century Gothic" w:hAnsi="Century Gothic" w:eastAsia="Arial"/>
          <w:color w:val="000000"/>
        </w:rPr>
        <w:t xml:space="preserve"> Prova de inscrição no Cadastro Nacional de Pessoas Jurídicas ou no Cadastro de Pessoas Físicas, conforme o caso;</w:t>
      </w:r>
    </w:p>
    <w:p w14:paraId="71A345A1">
      <w:pPr>
        <w:overflowPunct w:val="0"/>
        <w:spacing w:before="57" w:after="57" w:line="276" w:lineRule="auto"/>
        <w:ind w:right="283"/>
        <w:jc w:val="both"/>
      </w:pPr>
      <w:r>
        <w:rPr>
          <w:rStyle w:val="128"/>
          <w:rFonts w:ascii="Century Gothic" w:hAnsi="Century Gothic" w:eastAsia="Arial"/>
          <w:b/>
          <w:bCs/>
          <w:color w:val="000000"/>
        </w:rPr>
        <w:t>11.15.</w:t>
      </w:r>
      <w:r>
        <w:rPr>
          <w:rStyle w:val="128"/>
          <w:rFonts w:ascii="Century Gothic" w:hAnsi="Century Gothic" w:eastAsia="Arial"/>
          <w:color w:val="000000"/>
        </w:rPr>
        <w:t xml:space="preserve"> 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1FB32182">
      <w:pPr>
        <w:overflowPunct w:val="0"/>
        <w:spacing w:before="57" w:after="57" w:line="276" w:lineRule="auto"/>
        <w:ind w:right="283"/>
        <w:jc w:val="both"/>
      </w:pPr>
      <w:r>
        <w:rPr>
          <w:rStyle w:val="128"/>
          <w:rFonts w:ascii="Century Gothic" w:hAnsi="Century Gothic" w:eastAsia="Arial"/>
          <w:b/>
          <w:bCs/>
          <w:color w:val="000000"/>
        </w:rPr>
        <w:t>11.16.</w:t>
      </w:r>
      <w:r>
        <w:rPr>
          <w:rStyle w:val="128"/>
          <w:rFonts w:ascii="Century Gothic" w:hAnsi="Century Gothic" w:eastAsia="Arial"/>
          <w:color w:val="000000"/>
        </w:rPr>
        <w:t xml:space="preserve"> Prova de regularidade com o Fundo de Garantia do Tempo de Serviço (FGTS);</w:t>
      </w:r>
    </w:p>
    <w:p w14:paraId="361940FC">
      <w:pPr>
        <w:overflowPunct w:val="0"/>
        <w:spacing w:before="57" w:after="57" w:line="276" w:lineRule="auto"/>
        <w:ind w:right="283"/>
        <w:jc w:val="both"/>
      </w:pPr>
      <w:r>
        <w:rPr>
          <w:rStyle w:val="128"/>
          <w:rFonts w:ascii="Century Gothic" w:hAnsi="Century Gothic" w:eastAsia="Arial"/>
          <w:b/>
          <w:bCs/>
          <w:color w:val="000000"/>
        </w:rPr>
        <w:t>11.17.</w:t>
      </w:r>
      <w:r>
        <w:rPr>
          <w:rStyle w:val="128"/>
          <w:rFonts w:ascii="Century Gothic" w:hAnsi="Century Gothic" w:eastAsia="Arial"/>
          <w:color w:val="000000"/>
        </w:rPr>
        <w:t xml:space="preserve"> 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01DEC557">
      <w:pPr>
        <w:overflowPunct w:val="0"/>
        <w:spacing w:before="57" w:after="57" w:line="276" w:lineRule="auto"/>
        <w:ind w:right="283"/>
        <w:jc w:val="both"/>
      </w:pPr>
      <w:r>
        <w:rPr>
          <w:rStyle w:val="128"/>
          <w:rFonts w:ascii="Century Gothic" w:hAnsi="Century Gothic" w:eastAsia="Arial"/>
          <w:b/>
          <w:bCs/>
          <w:color w:val="000000"/>
        </w:rPr>
        <w:t>11.18.</w:t>
      </w:r>
      <w:r>
        <w:rPr>
          <w:rStyle w:val="128"/>
          <w:rFonts w:ascii="Century Gothic" w:hAnsi="Century Gothic" w:eastAsia="Arial"/>
          <w:color w:val="000000"/>
        </w:rPr>
        <w:t xml:space="preserve"> Prova de inscrição no cadastro de contribuintes Municipal relativo ao domicílio ou sede do fornecedor, pertinente ao seu ramo de atividade e compatível com o objeto contratual;</w:t>
      </w:r>
    </w:p>
    <w:p w14:paraId="5A453A26">
      <w:pPr>
        <w:overflowPunct w:val="0"/>
        <w:spacing w:before="57" w:after="57" w:line="276" w:lineRule="auto"/>
        <w:ind w:right="283"/>
        <w:jc w:val="both"/>
      </w:pPr>
      <w:r>
        <w:rPr>
          <w:rStyle w:val="128"/>
          <w:rFonts w:ascii="Century Gothic" w:hAnsi="Century Gothic" w:eastAsia="Arial"/>
          <w:b/>
          <w:bCs/>
          <w:color w:val="000000"/>
        </w:rPr>
        <w:t>11.19.</w:t>
      </w:r>
      <w:r>
        <w:rPr>
          <w:rStyle w:val="128"/>
          <w:rFonts w:ascii="Century Gothic" w:hAnsi="Century Gothic" w:eastAsia="Arial"/>
          <w:color w:val="000000"/>
        </w:rPr>
        <w:t xml:space="preserve"> Prova de regularidade com a Fazenda Municipal do domicílio ou sede do fornecedor, relativa à atividade em cujo exercício contrata ou concorre;</w:t>
      </w:r>
    </w:p>
    <w:p w14:paraId="2CD4AFB5">
      <w:pPr>
        <w:overflowPunct w:val="0"/>
        <w:spacing w:before="57" w:after="57" w:line="276" w:lineRule="auto"/>
        <w:ind w:right="283"/>
        <w:jc w:val="both"/>
      </w:pPr>
      <w:r>
        <w:rPr>
          <w:rStyle w:val="128"/>
          <w:rFonts w:ascii="Century Gothic" w:hAnsi="Century Gothic" w:eastAsia="Arial"/>
          <w:b/>
          <w:bCs/>
          <w:color w:val="000000"/>
        </w:rPr>
        <w:t>11.20.</w:t>
      </w:r>
      <w:r>
        <w:rPr>
          <w:rStyle w:val="128"/>
          <w:rFonts w:ascii="Century Gothic" w:hAnsi="Century Gothic" w:eastAsia="Arial"/>
          <w:color w:val="000000"/>
        </w:rPr>
        <w:t xml:space="preserve"> Prova de regularidade com a Fazenda Estadual do domicílio ou sede do fornecedor, relativa à atividade em cujo exercício contrata ou concorre;</w:t>
      </w:r>
    </w:p>
    <w:p w14:paraId="76656C72">
      <w:pPr>
        <w:overflowPunct w:val="0"/>
        <w:spacing w:before="57" w:after="57" w:line="276" w:lineRule="auto"/>
        <w:ind w:right="283"/>
        <w:jc w:val="both"/>
      </w:pPr>
      <w:r>
        <w:rPr>
          <w:rStyle w:val="128"/>
          <w:rFonts w:ascii="Century Gothic" w:hAnsi="Century Gothic" w:eastAsia="Arial"/>
          <w:b/>
          <w:bCs/>
          <w:color w:val="000000"/>
        </w:rPr>
        <w:t>11.21.</w:t>
      </w:r>
      <w:r>
        <w:rPr>
          <w:rStyle w:val="128"/>
          <w:rFonts w:ascii="Century Gothic" w:hAnsi="Century Gothic" w:eastAsia="Arial"/>
          <w:color w:val="000000"/>
        </w:rPr>
        <w:t xml:space="preserve"> Caso o fornecedor seja considerado isento dos tributos Estadual ou Municipal relacionados ao objeto contratual, deverá comprovar tal condição mediante a apresentação de declaração da Fazenda respectiva do seu domicílio ou sede, ou outra equivalente, na forma da lei.</w:t>
      </w:r>
    </w:p>
    <w:p w14:paraId="2BFE4C5F">
      <w:pPr>
        <w:overflowPunct w:val="0"/>
        <w:spacing w:before="57" w:after="57" w:line="276" w:lineRule="auto"/>
        <w:ind w:right="283"/>
        <w:jc w:val="both"/>
      </w:pPr>
      <w:r>
        <w:rPr>
          <w:rStyle w:val="128"/>
          <w:rFonts w:ascii="Century Gothic" w:hAnsi="Century Gothic" w:eastAsia="Arial"/>
          <w:b/>
          <w:bCs/>
          <w:color w:val="000000"/>
        </w:rPr>
        <w:t>11.22.</w:t>
      </w:r>
      <w:r>
        <w:rPr>
          <w:rStyle w:val="128"/>
          <w:rFonts w:ascii="Century Gothic" w:hAnsi="Century Gothic" w:eastAsia="Arial"/>
          <w:color w:val="000000"/>
        </w:rPr>
        <w:t xml:space="preserve"> O fornecedor enquadrado como microempreendedor individual que pretenda auferir os benefícios do tratamento diferenciado previstos na Lei Complementar n. 123, de 2006, estará dispensado da prova de inscrição nos cadastros de contribuintes estadual e municipal.</w:t>
      </w:r>
    </w:p>
    <w:p w14:paraId="55C4B532">
      <w:pPr>
        <w:overflowPunct w:val="0"/>
        <w:spacing w:before="57" w:after="57" w:line="276" w:lineRule="auto"/>
        <w:ind w:right="283"/>
        <w:jc w:val="both"/>
        <w:rPr>
          <w:rStyle w:val="128"/>
          <w:rFonts w:ascii="Century Gothic" w:hAnsi="Century Gothic" w:eastAsia="Arial"/>
          <w:b/>
          <w:bCs/>
          <w:color w:val="000000"/>
        </w:rPr>
      </w:pPr>
      <w:r>
        <w:rPr>
          <w:rStyle w:val="128"/>
          <w:rFonts w:ascii="Century Gothic" w:hAnsi="Century Gothic" w:eastAsia="Arial"/>
          <w:b/>
          <w:bCs/>
          <w:color w:val="000000"/>
        </w:rPr>
        <w:t xml:space="preserve">Qualificação Econômico-Financeira. </w:t>
      </w:r>
    </w:p>
    <w:p w14:paraId="76683373">
      <w:pPr>
        <w:overflowPunct w:val="0"/>
        <w:spacing w:before="57" w:after="57" w:line="276" w:lineRule="auto"/>
        <w:ind w:right="283"/>
        <w:jc w:val="both"/>
        <w:rPr>
          <w:rStyle w:val="128"/>
          <w:rFonts w:ascii="Century Gothic" w:hAnsi="Century Gothic" w:eastAsia="Arial"/>
          <w:color w:val="000000"/>
        </w:rPr>
      </w:pPr>
      <w:r>
        <w:rPr>
          <w:rStyle w:val="128"/>
          <w:rFonts w:ascii="Century Gothic" w:hAnsi="Century Gothic" w:eastAsia="Arial"/>
          <w:color w:val="000000"/>
        </w:rPr>
        <w:t>a) Certidão negativa de insolvência civil expedida pelo distribuidor do domicílio ou sede do licitante, caso se trate de pessoa física, desde que admitida a sua participação na licitação (art. 5º, inciso II, alínea “c”, da Instrução Normativa Seges/ME nº 116, de 2021), ou de sociedade simples;</w:t>
      </w:r>
    </w:p>
    <w:p w14:paraId="168ABF63">
      <w:pPr>
        <w:overflowPunct w:val="0"/>
        <w:spacing w:line="276" w:lineRule="auto"/>
        <w:ind w:right="283"/>
        <w:jc w:val="both"/>
        <w:rPr>
          <w:rStyle w:val="128"/>
          <w:rFonts w:ascii="Century Gothic" w:hAnsi="Century Gothic" w:eastAsia="Arial"/>
          <w:color w:val="000000"/>
        </w:rPr>
      </w:pPr>
      <w:r>
        <w:rPr>
          <w:rStyle w:val="128"/>
          <w:rFonts w:ascii="Century Gothic" w:hAnsi="Century Gothic" w:eastAsia="Arial"/>
          <w:color w:val="000000"/>
        </w:rPr>
        <w:t>b) Certidão negativa de falência expedida pelo distribuidor da sede do fornecedor - Lei nº 14.133, de 2021, art. 69, caput, inciso II);</w:t>
      </w:r>
    </w:p>
    <w:p w14:paraId="63DCEF23">
      <w:pPr>
        <w:overflowPunct w:val="0"/>
        <w:spacing w:line="276" w:lineRule="auto"/>
        <w:ind w:right="283"/>
        <w:jc w:val="both"/>
      </w:pPr>
      <w:r>
        <w:rPr>
          <w:rStyle w:val="128"/>
          <w:rFonts w:ascii="Century Gothic" w:hAnsi="Century Gothic" w:eastAsia="Arial"/>
          <w:b/>
          <w:bCs/>
          <w:color w:val="000000"/>
        </w:rPr>
        <w:t xml:space="preserve">Qualificação Técnica </w:t>
      </w:r>
    </w:p>
    <w:p w14:paraId="2DCEF811">
      <w:pPr>
        <w:overflowPunct w:val="0"/>
        <w:spacing w:before="57" w:after="57" w:line="276" w:lineRule="auto"/>
        <w:ind w:right="283"/>
        <w:jc w:val="both"/>
      </w:pPr>
      <w:r>
        <w:rPr>
          <w:rStyle w:val="128"/>
          <w:rFonts w:ascii="Century Gothic" w:hAnsi="Century Gothic" w:eastAsia="Arial"/>
          <w:color w:val="000000"/>
        </w:rPr>
        <w:t xml:space="preserve">a) Certidão de Registro da empresa e dos responsáveis técnicos junto ao </w:t>
      </w:r>
      <w:r>
        <w:rPr>
          <w:rStyle w:val="128"/>
          <w:rFonts w:ascii="Century Gothic" w:hAnsi="Century Gothic" w:eastAsia="Times New Romin;Times New Roman"/>
          <w:color w:val="000000"/>
          <w:lang w:eastAsia="zh-CN"/>
        </w:rPr>
        <w:t>Conselho Regional de Nutricionistas (CRN).</w:t>
      </w:r>
    </w:p>
    <w:p w14:paraId="780F82A8">
      <w:pPr>
        <w:overflowPunct w:val="0"/>
        <w:spacing w:before="57" w:after="57" w:line="276" w:lineRule="auto"/>
        <w:ind w:right="283"/>
        <w:jc w:val="both"/>
      </w:pPr>
      <w:r>
        <w:rPr>
          <w:rStyle w:val="128"/>
          <w:rFonts w:ascii="Century Gothic" w:hAnsi="Century Gothic" w:eastAsia="Times New Romin;Times New Roman"/>
          <w:color w:val="000000"/>
          <w:lang w:eastAsia="zh-CN"/>
        </w:rPr>
        <w:t>b) Comprovação de aptidão para desempenho de atividades pertinentes e compatíveis em características semelhantes e complexidade tecnológica equivalente ou superior ao objeto da presente licitação, através de comprovação do licitante possuir em seu quadro permanente, na data prevista para entrega da proposta, profissional de nível superior ou outro devidamente reconhecido pela entidade competente, detentor de Atestado de Responsabilidade Técnica, comprovando a execução e/ou coordenação de serviços de alimentação coletiva, compreendendo os serviços de alimentação escolar e/ou de alimentação para coletividades sadias ou enfermas, incluindo o fornecimento de todos os gêneros alimentícios e demais insumos necessários, e fornecimento de mão de obra treinada para a preparação dos alimentos, distribuição, controle, limpeza e higienização de cozinhas, despensas e/ou lactários.</w:t>
      </w:r>
    </w:p>
    <w:p w14:paraId="0614691C">
      <w:pPr>
        <w:overflowPunct w:val="0"/>
        <w:spacing w:before="57" w:after="57" w:line="276" w:lineRule="auto"/>
        <w:ind w:right="283"/>
        <w:jc w:val="both"/>
      </w:pPr>
      <w:r>
        <w:rPr>
          <w:rStyle w:val="128"/>
          <w:rFonts w:ascii="Century Gothic" w:hAnsi="Century Gothic" w:eastAsia="Times New Romin;Times New Roman"/>
          <w:color w:val="000000"/>
          <w:lang w:eastAsia="zh-CN"/>
        </w:rPr>
        <w:t>c) O(s) atestado(s) deverá(ão) comprovar que o licitante tenha executado serviços similares ao objeto da licitação, em períodos sucessivos ou não, pelo prazo mínimo de 12 (doze) meses.</w:t>
      </w:r>
    </w:p>
    <w:p w14:paraId="5811173C">
      <w:pPr>
        <w:overflowPunct w:val="0"/>
        <w:spacing w:before="57" w:after="57" w:line="276" w:lineRule="auto"/>
        <w:ind w:right="283"/>
        <w:jc w:val="both"/>
      </w:pPr>
      <w:r>
        <w:rPr>
          <w:rStyle w:val="128"/>
          <w:rFonts w:ascii="Century Gothic" w:hAnsi="Century Gothic" w:eastAsia="Times New Romin;Times New Roman"/>
          <w:color w:val="000000"/>
          <w:lang w:eastAsia="zh-CN"/>
        </w:rPr>
        <w:t>d) A comprovação de vínculo profissional poderá ser feita mediante contrato social, registro em carteira profissional, ficha de empregado ou contrato de trabalho, sendo possível a contratação de profissional autônomo que preencha os requisitos e se responsabilize tecnicamente pela execução dos serviços.</w:t>
      </w:r>
    </w:p>
    <w:p w14:paraId="22B53E40">
      <w:pPr>
        <w:overflowPunct w:val="0"/>
        <w:spacing w:before="57" w:after="57" w:line="276" w:lineRule="auto"/>
        <w:ind w:right="283"/>
        <w:jc w:val="both"/>
        <w:rPr>
          <w:rStyle w:val="128"/>
          <w:rFonts w:ascii="Century Gothic" w:hAnsi="Century Gothic" w:eastAsia="Times New Romin;Times New Roman"/>
          <w:color w:val="000000"/>
          <w:lang w:eastAsia="zh-CN"/>
        </w:rPr>
      </w:pPr>
      <w:r>
        <w:rPr>
          <w:rStyle w:val="128"/>
          <w:rFonts w:ascii="Century Gothic" w:hAnsi="Century Gothic" w:eastAsia="Times New Romin;Times New Roman"/>
          <w:color w:val="000000"/>
          <w:lang w:eastAsia="zh-CN"/>
        </w:rPr>
        <w:t>d) Para a comprovação de aptidão para desempenho da atividade compatível com o objeto desta Licitação por meio da qualificação TÉCNICO-OPERACIONAL em cumprimento ao art. 67, II da Lei 14.133/2021, o licitante deverá comprovar a execução de serviços similares de no mínimo 50% (cinquenta por cento) da quantidade total estimada de alimentação escolar para o período de 12 (doze) meses.</w:t>
      </w:r>
    </w:p>
    <w:p w14:paraId="1E21F4D8">
      <w:pPr>
        <w:overflowPunct w:val="0"/>
        <w:spacing w:line="276" w:lineRule="auto"/>
        <w:ind w:right="283"/>
        <w:jc w:val="both"/>
        <w:rPr>
          <w:rStyle w:val="128"/>
          <w:rFonts w:ascii="Century Gothic" w:hAnsi="Century Gothic" w:eastAsia="Times New Romin;Times New Roman"/>
          <w:color w:val="000000"/>
          <w:lang w:eastAsia="zh-CN"/>
        </w:rPr>
      </w:pPr>
    </w:p>
    <w:p w14:paraId="17BAC2E9">
      <w:pPr>
        <w:overflowPunct w:val="0"/>
        <w:spacing w:line="276" w:lineRule="auto"/>
        <w:ind w:right="283"/>
        <w:jc w:val="both"/>
        <w:rPr>
          <w:rStyle w:val="128"/>
          <w:rFonts w:ascii="Century Gothic" w:hAnsi="Century Gothic" w:eastAsia="Times New Romin;Times New Roman"/>
          <w:color w:val="000000"/>
          <w:lang w:eastAsia="zh-CN"/>
        </w:rPr>
      </w:pPr>
    </w:p>
    <w:tbl>
      <w:tblPr>
        <w:tblStyle w:val="12"/>
        <w:tblW w:w="9800" w:type="dxa"/>
        <w:tblInd w:w="90" w:type="dxa"/>
        <w:tblLayout w:type="fixed"/>
        <w:tblCellMar>
          <w:top w:w="0" w:type="dxa"/>
          <w:left w:w="108" w:type="dxa"/>
          <w:bottom w:w="0" w:type="dxa"/>
          <w:right w:w="108" w:type="dxa"/>
        </w:tblCellMar>
      </w:tblPr>
      <w:tblGrid>
        <w:gridCol w:w="9800"/>
      </w:tblGrid>
      <w:tr w14:paraId="4EE4A0F7">
        <w:tblPrEx>
          <w:tblCellMar>
            <w:top w:w="0" w:type="dxa"/>
            <w:left w:w="108" w:type="dxa"/>
            <w:bottom w:w="0" w:type="dxa"/>
            <w:right w:w="108" w:type="dxa"/>
          </w:tblCellMar>
        </w:tblPrEx>
        <w:trPr>
          <w:trHeight w:val="290" w:hRule="atLeast"/>
        </w:trPr>
        <w:tc>
          <w:tcPr>
            <w:tcW w:w="9800" w:type="dxa"/>
            <w:tcBorders>
              <w:top w:val="single" w:color="000000" w:sz="4" w:space="0"/>
              <w:left w:val="single" w:color="000000" w:sz="4" w:space="0"/>
              <w:bottom w:val="single" w:color="000000" w:sz="4" w:space="0"/>
              <w:right w:val="single" w:color="000000" w:sz="4" w:space="0"/>
            </w:tcBorders>
            <w:shd w:val="clear" w:color="auto" w:fill="DDDDDD"/>
          </w:tcPr>
          <w:p w14:paraId="72D42036">
            <w:pPr>
              <w:widowControl w:val="0"/>
              <w:spacing w:before="57" w:after="57"/>
              <w:jc w:val="center"/>
              <w:rPr>
                <w:sz w:val="22"/>
                <w:szCs w:val="22"/>
              </w:rPr>
            </w:pPr>
            <w:r>
              <w:rPr>
                <w:rFonts w:ascii="Century Gothic" w:hAnsi="Century Gothic"/>
                <w:b/>
                <w:bCs/>
                <w:sz w:val="22"/>
                <w:szCs w:val="22"/>
              </w:rPr>
              <w:t>12. ESTIMATIVA DO VALOR, PREÇOS UNITÁRIOS E PARÂMETROS DE OBTENÇÃO – Art. 6º, XXIII, “i”</w:t>
            </w:r>
          </w:p>
        </w:tc>
      </w:tr>
    </w:tbl>
    <w:p w14:paraId="34000C8E">
      <w:pPr>
        <w:spacing w:line="276" w:lineRule="auto"/>
        <w:ind w:left="-567" w:right="454"/>
        <w:jc w:val="both"/>
        <w:rPr>
          <w:rFonts w:ascii="Century Gothic" w:hAnsi="Century Gothic"/>
          <w:sz w:val="10"/>
          <w:szCs w:val="10"/>
        </w:rPr>
      </w:pPr>
    </w:p>
    <w:p w14:paraId="00EE81DA">
      <w:pPr>
        <w:spacing w:line="276" w:lineRule="auto"/>
        <w:ind w:left="-57" w:right="227"/>
        <w:jc w:val="both"/>
      </w:pPr>
      <w:r>
        <w:rPr>
          <w:rStyle w:val="128"/>
          <w:rFonts w:ascii="Century Gothic" w:hAnsi="Century Gothic" w:eastAsia="Times New Romin;Times New Roman"/>
          <w:b/>
          <w:bCs/>
          <w:color w:val="000000"/>
          <w:lang w:eastAsia="zh-CN"/>
        </w:rPr>
        <w:t xml:space="preserve">12.1. </w:t>
      </w:r>
      <w:r>
        <w:rPr>
          <w:rStyle w:val="128"/>
          <w:rFonts w:ascii="Century Gothic" w:hAnsi="Century Gothic" w:eastAsia="Times New Romin;Times New Roman"/>
          <w:color w:val="000000"/>
          <w:lang w:eastAsia="zh-CN"/>
        </w:rPr>
        <w:t>A estimativa de valores constitui etapa essencial do planejamento da contratação, sendo indispensável para garantir a viabilidade orçamentária, a economicidade e a obtenção da proposta mais vantajosa para a Administração Pública, conforme previsto nos arts. 6º, inciso XXIII, e 23 da Lei nº 14.133/2021.</w:t>
      </w:r>
    </w:p>
    <w:p w14:paraId="58F828A3">
      <w:pPr>
        <w:spacing w:line="276" w:lineRule="auto"/>
        <w:ind w:left="-57" w:right="227"/>
        <w:jc w:val="both"/>
      </w:pPr>
      <w:r>
        <w:rPr>
          <w:rStyle w:val="128"/>
          <w:rFonts w:ascii="Century Gothic" w:hAnsi="Century Gothic" w:eastAsia="Times New Romin;Times New Roman"/>
          <w:b/>
          <w:bCs/>
          <w:color w:val="000000"/>
          <w:lang w:eastAsia="zh-CN"/>
        </w:rPr>
        <w:t>12.2.</w:t>
      </w:r>
      <w:r>
        <w:rPr>
          <w:rStyle w:val="128"/>
          <w:rFonts w:eastAsia="Times New Romin;Times New Roman"/>
          <w:color w:val="000000"/>
          <w:lang w:eastAsia="zh-CN"/>
        </w:rPr>
        <w:t xml:space="preserve"> </w:t>
      </w:r>
      <w:r>
        <w:rPr>
          <w:rStyle w:val="128"/>
          <w:rFonts w:ascii="Century Gothic" w:hAnsi="Century Gothic" w:eastAsia="Times New Romin;Times New Roman"/>
          <w:color w:val="000000"/>
          <w:lang w:eastAsia="zh-CN"/>
        </w:rPr>
        <w:t>A elaboração da estimativa de custo para a contratação dos serviços de alimentação escolar pela Prefeitura de Rondonópolis/MT considerou os seguintes parâmetros:</w:t>
      </w:r>
    </w:p>
    <w:p w14:paraId="433BE802">
      <w:pPr>
        <w:numPr>
          <w:ilvl w:val="0"/>
          <w:numId w:val="8"/>
        </w:numPr>
        <w:spacing w:line="276" w:lineRule="auto"/>
        <w:ind w:left="737" w:right="227" w:hanging="227"/>
        <w:jc w:val="both"/>
      </w:pPr>
      <w:r>
        <w:rPr>
          <w:rStyle w:val="128"/>
          <w:rFonts w:ascii="Century Gothic" w:hAnsi="Century Gothic" w:eastAsia="Times New Romin;Times New Roman"/>
          <w:color w:val="000000"/>
          <w:lang w:eastAsia="zh-CN"/>
        </w:rPr>
        <w:t xml:space="preserve"> </w:t>
      </w:r>
      <w:r>
        <w:rPr>
          <w:rStyle w:val="128"/>
          <w:rFonts w:ascii="Century Gothic" w:hAnsi="Century Gothic" w:eastAsia="Times New Romin;Times New Roman"/>
          <w:b/>
          <w:bCs/>
          <w:color w:val="000000"/>
          <w:lang w:eastAsia="zh-CN"/>
        </w:rPr>
        <w:t xml:space="preserve">Contratos anteriores e benchmarking: </w:t>
      </w:r>
      <w:r>
        <w:rPr>
          <w:rStyle w:val="128"/>
          <w:rFonts w:ascii="Century Gothic" w:hAnsi="Century Gothic" w:eastAsia="Times New Romin;Times New Roman"/>
          <w:color w:val="000000"/>
          <w:lang w:eastAsia="zh-CN"/>
        </w:rPr>
        <w:t>Foram analisados os valores praticados em contratos anteriores do próprio município e também em contratações realizadas por outros entes federativos com características demográficas e operacionais semelhantes, especialmente municípios com rede escolar de porte equivalente.</w:t>
      </w:r>
    </w:p>
    <w:p w14:paraId="6C405E27">
      <w:pPr>
        <w:numPr>
          <w:ilvl w:val="0"/>
          <w:numId w:val="8"/>
        </w:numPr>
        <w:spacing w:line="276" w:lineRule="auto"/>
        <w:ind w:left="737" w:right="227" w:hanging="227"/>
        <w:jc w:val="both"/>
      </w:pPr>
      <w:r>
        <w:rPr>
          <w:rStyle w:val="128"/>
          <w:rFonts w:ascii="Century Gothic" w:hAnsi="Century Gothic" w:eastAsia="Times New Romin;Times New Roman"/>
          <w:color w:val="000000"/>
          <w:lang w:eastAsia="zh-CN"/>
        </w:rPr>
        <w:t xml:space="preserve"> </w:t>
      </w:r>
      <w:r>
        <w:rPr>
          <w:rStyle w:val="128"/>
          <w:rFonts w:ascii="Century Gothic" w:hAnsi="Century Gothic" w:eastAsia="Times New Romin;Times New Roman"/>
          <w:b/>
          <w:bCs/>
          <w:color w:val="000000"/>
          <w:lang w:eastAsia="zh-CN"/>
        </w:rPr>
        <w:t xml:space="preserve">Pesquisa de mercado: </w:t>
      </w:r>
      <w:r>
        <w:rPr>
          <w:rStyle w:val="128"/>
          <w:rFonts w:ascii="Century Gothic" w:hAnsi="Century Gothic" w:eastAsia="Times New Romin;Times New Roman"/>
          <w:color w:val="000000"/>
          <w:lang w:eastAsia="zh-CN"/>
        </w:rPr>
        <w:t>Realizou-se levantamento de pesquisas de preços atualizadas junto a fornecedores do ramo alimentício, prestadores de serviços de alimentação institucional e empresas especializadas em fornecimento de refeições preparadas para rede pública de ensino. Essa pesquisa considerou:</w:t>
      </w:r>
    </w:p>
    <w:p w14:paraId="7C68FEAB">
      <w:pPr>
        <w:pStyle w:val="234"/>
        <w:numPr>
          <w:ilvl w:val="0"/>
          <w:numId w:val="10"/>
        </w:numPr>
        <w:tabs>
          <w:tab w:val="left" w:pos="363"/>
          <w:tab w:val="left" w:pos="563"/>
          <w:tab w:val="clear" w:pos="720"/>
        </w:tabs>
        <w:spacing w:line="276" w:lineRule="auto"/>
        <w:ind w:left="964" w:hanging="227"/>
      </w:pPr>
      <w:r>
        <w:rPr>
          <w:rStyle w:val="128"/>
          <w:rFonts w:ascii="Century Gothic" w:hAnsi="Century Gothic" w:eastAsia="Times New Romin;Times New Roman" w:cs="Times New Roman"/>
          <w:color w:val="000000"/>
          <w:szCs w:val="20"/>
          <w:lang w:eastAsia="zh-CN"/>
        </w:rPr>
        <w:t>Gêneros alimentícios in natura e minimamente processados;</w:t>
      </w:r>
    </w:p>
    <w:p w14:paraId="62FED3BD">
      <w:pPr>
        <w:pStyle w:val="234"/>
        <w:numPr>
          <w:ilvl w:val="0"/>
          <w:numId w:val="10"/>
        </w:numPr>
        <w:tabs>
          <w:tab w:val="left" w:pos="363"/>
          <w:tab w:val="left" w:pos="563"/>
          <w:tab w:val="clear" w:pos="720"/>
        </w:tabs>
        <w:spacing w:line="276" w:lineRule="auto"/>
        <w:ind w:left="964" w:hanging="227"/>
      </w:pPr>
      <w:r>
        <w:rPr>
          <w:rStyle w:val="128"/>
          <w:rFonts w:ascii="Century Gothic" w:hAnsi="Century Gothic" w:eastAsia="Times New Romin;Times New Roman" w:cs="Times New Roman"/>
          <w:color w:val="000000"/>
          <w:szCs w:val="20"/>
          <w:lang w:eastAsia="zh-CN"/>
        </w:rPr>
        <w:t>Custos com gás de cozinha (GLP) e insumos auxiliares;</w:t>
      </w:r>
    </w:p>
    <w:p w14:paraId="650DEFF8">
      <w:pPr>
        <w:pStyle w:val="234"/>
        <w:numPr>
          <w:ilvl w:val="0"/>
          <w:numId w:val="10"/>
        </w:numPr>
        <w:tabs>
          <w:tab w:val="left" w:pos="363"/>
          <w:tab w:val="left" w:pos="563"/>
          <w:tab w:val="clear" w:pos="720"/>
        </w:tabs>
        <w:spacing w:line="276" w:lineRule="auto"/>
        <w:ind w:left="964" w:hanging="227"/>
      </w:pPr>
      <w:r>
        <w:rPr>
          <w:rStyle w:val="128"/>
          <w:rFonts w:ascii="Century Gothic" w:hAnsi="Century Gothic" w:eastAsia="Times New Romin;Times New Roman" w:cs="Times New Roman"/>
          <w:color w:val="000000"/>
          <w:szCs w:val="20"/>
          <w:lang w:eastAsia="zh-CN"/>
        </w:rPr>
        <w:t>Mão de obra especializada (cozinheiros, auxiliares, nutricionistas, supervisores);</w:t>
      </w:r>
    </w:p>
    <w:p w14:paraId="62BBF607">
      <w:pPr>
        <w:pStyle w:val="234"/>
        <w:numPr>
          <w:ilvl w:val="0"/>
          <w:numId w:val="10"/>
        </w:numPr>
        <w:tabs>
          <w:tab w:val="left" w:pos="363"/>
          <w:tab w:val="left" w:pos="563"/>
          <w:tab w:val="clear" w:pos="720"/>
        </w:tabs>
        <w:spacing w:line="276" w:lineRule="auto"/>
        <w:ind w:left="964" w:hanging="227"/>
      </w:pPr>
      <w:r>
        <w:rPr>
          <w:rStyle w:val="128"/>
          <w:rFonts w:ascii="Century Gothic" w:hAnsi="Century Gothic" w:eastAsia="Times New Romin;Times New Roman" w:cs="Times New Roman"/>
          <w:color w:val="000000"/>
          <w:szCs w:val="20"/>
          <w:lang w:eastAsia="zh-CN"/>
        </w:rPr>
        <w:t>Transporte e distribuição de insumos e refeições prontas;</w:t>
      </w:r>
    </w:p>
    <w:p w14:paraId="5FDA4AD3">
      <w:pPr>
        <w:pStyle w:val="234"/>
        <w:numPr>
          <w:ilvl w:val="0"/>
          <w:numId w:val="10"/>
        </w:numPr>
        <w:tabs>
          <w:tab w:val="left" w:pos="363"/>
          <w:tab w:val="left" w:pos="563"/>
          <w:tab w:val="clear" w:pos="720"/>
        </w:tabs>
        <w:spacing w:after="69" w:line="276" w:lineRule="auto"/>
        <w:ind w:left="964" w:hanging="227"/>
      </w:pPr>
      <w:r>
        <w:rPr>
          <w:rStyle w:val="128"/>
          <w:rFonts w:ascii="Century Gothic" w:hAnsi="Century Gothic" w:eastAsia="Times New Romin;Times New Roman" w:cs="Times New Roman"/>
          <w:color w:val="000000"/>
          <w:szCs w:val="20"/>
          <w:lang w:eastAsia="zh-CN"/>
        </w:rPr>
        <w:t>Manutenção corretiva e preventiva dos equipamentos utilizados nas cozinhas escolares.</w:t>
      </w:r>
    </w:p>
    <w:p w14:paraId="54756A27">
      <w:pPr>
        <w:pStyle w:val="234"/>
        <w:tabs>
          <w:tab w:val="left" w:pos="363"/>
          <w:tab w:val="left" w:pos="563"/>
        </w:tabs>
        <w:spacing w:after="12" w:line="276" w:lineRule="auto"/>
        <w:ind w:left="510" w:right="283"/>
        <w:jc w:val="both"/>
      </w:pPr>
      <w:r>
        <w:rPr>
          <w:rStyle w:val="128"/>
          <w:rFonts w:ascii="Century Gothic" w:hAnsi="Century Gothic" w:eastAsia="Times New Romin;Times New Roman" w:cs="Times New Roman"/>
          <w:b/>
          <w:bCs/>
          <w:color w:val="000000"/>
          <w:szCs w:val="20"/>
          <w:lang w:eastAsia="zh-CN"/>
        </w:rPr>
        <w:t>c) Diretrizes do PNAE:</w:t>
      </w:r>
      <w:r>
        <w:rPr>
          <w:rStyle w:val="128"/>
          <w:rFonts w:ascii="Century Gothic" w:hAnsi="Century Gothic" w:eastAsia="Times New Romin;Times New Roman" w:cs="Times New Roman"/>
          <w:color w:val="000000"/>
          <w:szCs w:val="20"/>
          <w:lang w:eastAsia="zh-CN"/>
        </w:rPr>
        <w:t xml:space="preserve"> A estimativa também está alinhada às diretrizes do Programa Nacional de Alimentação Escolar (PNAE), incluindo a previsão de destinação de parte dos recursos para aquisição de alimentos oriundos da agricultura familiar, conforme determina a Lei nº 11.947/2009. Essa exigência requer planejamento orçamentário específico, impactando o modelo de fornecimento adotado e os custos envolvidos.</w:t>
      </w:r>
    </w:p>
    <w:p w14:paraId="37762A6B">
      <w:pPr>
        <w:pStyle w:val="234"/>
        <w:tabs>
          <w:tab w:val="left" w:pos="363"/>
          <w:tab w:val="left" w:pos="563"/>
        </w:tabs>
        <w:spacing w:after="12" w:line="276" w:lineRule="auto"/>
        <w:ind w:left="510" w:right="283"/>
        <w:jc w:val="both"/>
      </w:pPr>
      <w:r>
        <w:rPr>
          <w:rStyle w:val="128"/>
          <w:rFonts w:ascii="Century Gothic" w:hAnsi="Century Gothic" w:eastAsia="Times New Romin;Times New Roman" w:cs="Times New Roman"/>
          <w:b/>
          <w:bCs/>
          <w:color w:val="000000"/>
          <w:szCs w:val="20"/>
          <w:lang w:eastAsia="zh-CN"/>
        </w:rPr>
        <w:t>d) Custos diretos e indiretos considerados</w:t>
      </w:r>
    </w:p>
    <w:p w14:paraId="4B4612F4">
      <w:pPr>
        <w:pStyle w:val="234"/>
        <w:tabs>
          <w:tab w:val="left" w:pos="363"/>
        </w:tabs>
        <w:spacing w:line="276" w:lineRule="auto"/>
        <w:ind w:left="510"/>
        <w:jc w:val="both"/>
      </w:pPr>
      <w:r>
        <w:rPr>
          <w:rStyle w:val="128"/>
          <w:rFonts w:ascii="Century Gothic" w:hAnsi="Century Gothic" w:eastAsia="Times New Romin;Times New Roman" w:cs="Times New Roman"/>
          <w:color w:val="000000"/>
          <w:szCs w:val="20"/>
          <w:lang w:eastAsia="zh-CN"/>
        </w:rPr>
        <w:t>A composição do valor estimado abrange:</w:t>
      </w:r>
    </w:p>
    <w:p w14:paraId="5A51EA70">
      <w:pPr>
        <w:pStyle w:val="234"/>
        <w:numPr>
          <w:ilvl w:val="0"/>
          <w:numId w:val="10"/>
        </w:numPr>
        <w:tabs>
          <w:tab w:val="left" w:pos="363"/>
          <w:tab w:val="clear" w:pos="720"/>
        </w:tabs>
        <w:spacing w:line="276" w:lineRule="auto"/>
        <w:ind w:left="850" w:hanging="340"/>
      </w:pPr>
      <w:r>
        <w:rPr>
          <w:rStyle w:val="128"/>
          <w:rFonts w:ascii="Century Gothic" w:hAnsi="Century Gothic" w:eastAsia="Times New Romin;Times New Roman" w:cs="Times New Roman"/>
          <w:color w:val="000000"/>
          <w:szCs w:val="20"/>
          <w:lang w:eastAsia="zh-CN"/>
        </w:rPr>
        <w:t>Custos diretos com insumos alimentares, pessoal, logística e equipamentos;</w:t>
      </w:r>
    </w:p>
    <w:p w14:paraId="139BB5B0">
      <w:pPr>
        <w:pStyle w:val="234"/>
        <w:numPr>
          <w:ilvl w:val="0"/>
          <w:numId w:val="10"/>
        </w:numPr>
        <w:tabs>
          <w:tab w:val="left" w:pos="363"/>
          <w:tab w:val="clear" w:pos="720"/>
        </w:tabs>
        <w:spacing w:line="276" w:lineRule="auto"/>
        <w:ind w:left="850" w:hanging="340"/>
      </w:pPr>
      <w:r>
        <w:rPr>
          <w:rStyle w:val="128"/>
          <w:rFonts w:ascii="Century Gothic" w:hAnsi="Century Gothic" w:eastAsia="Times New Romin;Times New Roman" w:cs="Times New Roman"/>
          <w:color w:val="000000"/>
          <w:szCs w:val="20"/>
          <w:lang w:eastAsia="zh-CN"/>
        </w:rPr>
        <w:t>Despesas indiretas como:</w:t>
      </w:r>
    </w:p>
    <w:p w14:paraId="5795E319">
      <w:pPr>
        <w:pStyle w:val="234"/>
        <w:numPr>
          <w:ilvl w:val="1"/>
          <w:numId w:val="10"/>
        </w:numPr>
        <w:tabs>
          <w:tab w:val="left" w:pos="363"/>
        </w:tabs>
        <w:spacing w:line="276" w:lineRule="auto"/>
        <w:ind w:left="1440"/>
      </w:pPr>
      <w:r>
        <w:rPr>
          <w:rStyle w:val="128"/>
          <w:rFonts w:ascii="Century Gothic" w:hAnsi="Century Gothic" w:eastAsia="Times New Romin;Times New Roman" w:cs="Times New Roman"/>
          <w:color w:val="000000"/>
          <w:szCs w:val="20"/>
          <w:lang w:eastAsia="zh-CN"/>
        </w:rPr>
        <w:t>Variações sazonais nos preços dos alimentos;</w:t>
      </w:r>
    </w:p>
    <w:p w14:paraId="2C361ED5">
      <w:pPr>
        <w:pStyle w:val="234"/>
        <w:numPr>
          <w:ilvl w:val="1"/>
          <w:numId w:val="10"/>
        </w:numPr>
        <w:tabs>
          <w:tab w:val="left" w:pos="363"/>
        </w:tabs>
        <w:spacing w:line="276" w:lineRule="auto"/>
        <w:ind w:left="1440"/>
      </w:pPr>
      <w:r>
        <w:rPr>
          <w:rStyle w:val="128"/>
          <w:rFonts w:ascii="Century Gothic" w:hAnsi="Century Gothic" w:eastAsia="Times New Romin;Times New Roman" w:cs="Times New Roman"/>
          <w:color w:val="000000"/>
          <w:szCs w:val="20"/>
          <w:lang w:eastAsia="zh-CN"/>
        </w:rPr>
        <w:t>Ajustes salariais decorrentes de convenções coletivas;</w:t>
      </w:r>
    </w:p>
    <w:p w14:paraId="3349A8AC">
      <w:pPr>
        <w:pStyle w:val="234"/>
        <w:numPr>
          <w:ilvl w:val="1"/>
          <w:numId w:val="10"/>
        </w:numPr>
        <w:tabs>
          <w:tab w:val="left" w:pos="363"/>
        </w:tabs>
        <w:spacing w:line="276" w:lineRule="auto"/>
        <w:ind w:left="1440"/>
      </w:pPr>
      <w:r>
        <w:rPr>
          <w:rStyle w:val="128"/>
          <w:rFonts w:ascii="Century Gothic" w:hAnsi="Century Gothic" w:eastAsia="Times New Romin;Times New Roman" w:cs="Times New Roman"/>
          <w:color w:val="000000"/>
          <w:szCs w:val="20"/>
          <w:lang w:eastAsia="zh-CN"/>
        </w:rPr>
        <w:t>Despesas com manutenção e reposição de utensílios e mobiliário;</w:t>
      </w:r>
    </w:p>
    <w:p w14:paraId="2BD8996A">
      <w:pPr>
        <w:pStyle w:val="234"/>
        <w:numPr>
          <w:ilvl w:val="1"/>
          <w:numId w:val="10"/>
        </w:numPr>
        <w:tabs>
          <w:tab w:val="left" w:pos="363"/>
        </w:tabs>
        <w:spacing w:line="276" w:lineRule="auto"/>
        <w:ind w:left="1440"/>
      </w:pPr>
      <w:r>
        <w:rPr>
          <w:rStyle w:val="128"/>
          <w:rFonts w:ascii="Century Gothic" w:hAnsi="Century Gothic" w:eastAsia="Times New Romin;Times New Roman" w:cs="Times New Roman"/>
          <w:color w:val="000000"/>
          <w:szCs w:val="20"/>
          <w:lang w:eastAsia="zh-CN"/>
        </w:rPr>
        <w:t>Encargos tributários, administrativos e operacionais.</w:t>
      </w:r>
    </w:p>
    <w:p w14:paraId="2F824390">
      <w:pPr>
        <w:pStyle w:val="234"/>
        <w:tabs>
          <w:tab w:val="left" w:pos="363"/>
          <w:tab w:val="left" w:pos="563"/>
        </w:tabs>
        <w:spacing w:line="276" w:lineRule="auto"/>
        <w:ind w:left="510" w:right="283"/>
        <w:jc w:val="both"/>
      </w:pPr>
      <w:r>
        <w:rPr>
          <w:rStyle w:val="128"/>
          <w:rFonts w:ascii="Century Gothic" w:hAnsi="Century Gothic" w:eastAsia="Times New Romin;Times New Roman" w:cs="Times New Roman"/>
          <w:b/>
          <w:bCs/>
          <w:color w:val="000000"/>
          <w:szCs w:val="20"/>
          <w:lang w:eastAsia="zh-CN"/>
        </w:rPr>
        <w:t>e) Mecanismos de controle e adequação financeira</w:t>
      </w:r>
    </w:p>
    <w:p w14:paraId="3366ACCD">
      <w:pPr>
        <w:pStyle w:val="234"/>
        <w:tabs>
          <w:tab w:val="left" w:pos="363"/>
        </w:tabs>
        <w:spacing w:line="276" w:lineRule="auto"/>
        <w:ind w:left="510" w:right="283"/>
        <w:jc w:val="both"/>
      </w:pPr>
      <w:r>
        <w:rPr>
          <w:rStyle w:val="128"/>
          <w:rFonts w:ascii="Century Gothic" w:hAnsi="Century Gothic" w:eastAsia="Times New Romin;Times New Roman" w:cs="Times New Roman"/>
          <w:color w:val="000000"/>
          <w:szCs w:val="20"/>
          <w:lang w:eastAsia="zh-CN"/>
        </w:rPr>
        <w:t>Durante a vigência contratual, a Administração Pública Municipal manterá mecanismos permanentes de controle orçamentário e auditoria, acompanhando a execução financeira do contrato. Em caso de oscilações relevantes no mercado que impactem a regularidade da prestação do serviço, poderão ser adotadas medidas de reequilíbrio econômico-financeiro, nos termos da legislação vigente.</w:t>
      </w:r>
    </w:p>
    <w:p w14:paraId="050004E0">
      <w:pPr>
        <w:pStyle w:val="234"/>
        <w:tabs>
          <w:tab w:val="left" w:pos="363"/>
        </w:tabs>
        <w:spacing w:line="276" w:lineRule="auto"/>
        <w:ind w:left="510" w:right="283"/>
        <w:jc w:val="both"/>
      </w:pPr>
      <w:bookmarkStart w:id="59" w:name="_heading=h.kvxhylj5hrw4_Copia_1"/>
      <w:bookmarkEnd w:id="59"/>
      <w:r>
        <w:rPr>
          <w:rStyle w:val="128"/>
          <w:rFonts w:ascii="Century Gothic" w:hAnsi="Century Gothic" w:eastAsia="Times New Romin;Times New Roman" w:cs="Times New Roman"/>
          <w:color w:val="000000"/>
          <w:szCs w:val="20"/>
          <w:lang w:eastAsia="zh-CN"/>
        </w:rPr>
        <w:t>A correta definição dos valores estimados permite à Administração garantir a transparência, previsibilidade e efetividade na alocação dos recursos públicos, promovendo contratações sustentáveis e compatíveis com os princípios constitucionais da legalidade, eficiência, isonomia e interesse público.</w:t>
      </w:r>
    </w:p>
    <w:p w14:paraId="6CC7B507">
      <w:pPr>
        <w:spacing w:before="57" w:after="57" w:line="276" w:lineRule="auto"/>
        <w:ind w:left="-57" w:right="227"/>
        <w:jc w:val="both"/>
      </w:pPr>
      <w:r>
        <w:rPr>
          <w:rStyle w:val="128"/>
          <w:rFonts w:ascii="Century Gothic" w:hAnsi="Century Gothic" w:eastAsia="Times New Romin;Times New Roman"/>
          <w:b/>
          <w:bCs/>
          <w:color w:val="000000"/>
          <w:lang w:eastAsia="zh-CN"/>
        </w:rPr>
        <w:t>12.3.</w:t>
      </w:r>
      <w:r>
        <w:rPr>
          <w:rStyle w:val="128"/>
          <w:rFonts w:ascii="Century Gothic" w:hAnsi="Century Gothic" w:eastAsia="Times New Romin;Times New Roman"/>
          <w:color w:val="000000"/>
          <w:lang w:eastAsia="zh-CN"/>
        </w:rPr>
        <w:t xml:space="preserve"> O custo estimado da contratação é de </w:t>
      </w:r>
      <w:r>
        <w:rPr>
          <w:rStyle w:val="128"/>
          <w:rFonts w:ascii="Century Gothic" w:hAnsi="Century Gothic" w:eastAsia="Times New Romin;Times New Roman"/>
          <w:b/>
          <w:bCs/>
          <w:color w:val="000000"/>
          <w:lang w:eastAsia="zh-CN"/>
        </w:rPr>
        <w:t>R$ 53.113.758,00 (Cinquenta e três milhões, cento e treze mil e setecentos e cinquenta e oito reais),</w:t>
      </w:r>
      <w:r>
        <w:rPr>
          <w:rStyle w:val="128"/>
          <w:rFonts w:ascii="Century Gothic" w:hAnsi="Century Gothic" w:eastAsia="Times New Romin;Times New Roman"/>
          <w:color w:val="000000"/>
          <w:lang w:eastAsia="zh-CN"/>
        </w:rPr>
        <w:t xml:space="preserve"> e encontra-se pormenorizado em planilha demonstrativa de preços unitários e totais em anexo no processo.</w:t>
      </w:r>
    </w:p>
    <w:p w14:paraId="4478BB76">
      <w:pPr>
        <w:pStyle w:val="228"/>
        <w:tabs>
          <w:tab w:val="left" w:pos="0"/>
        </w:tabs>
        <w:spacing w:before="0" w:line="240" w:lineRule="auto"/>
        <w:ind w:left="-567" w:right="454"/>
        <w:jc w:val="both"/>
        <w:rPr>
          <w:rFonts w:ascii="Century Gothic" w:hAnsi="Century Gothic" w:eastAsia="Times New Romin;Times New Roman" w:cs="Times New Roman"/>
          <w:kern w:val="0"/>
          <w:sz w:val="4"/>
          <w:szCs w:val="4"/>
          <w:lang w:bidi="ar-SA"/>
        </w:rPr>
      </w:pPr>
    </w:p>
    <w:tbl>
      <w:tblPr>
        <w:tblStyle w:val="12"/>
        <w:tblW w:w="9800" w:type="dxa"/>
        <w:tblInd w:w="90" w:type="dxa"/>
        <w:tblLayout w:type="fixed"/>
        <w:tblCellMar>
          <w:top w:w="0" w:type="dxa"/>
          <w:left w:w="108" w:type="dxa"/>
          <w:bottom w:w="0" w:type="dxa"/>
          <w:right w:w="108" w:type="dxa"/>
        </w:tblCellMar>
      </w:tblPr>
      <w:tblGrid>
        <w:gridCol w:w="9800"/>
      </w:tblGrid>
      <w:tr w14:paraId="69FB0D63">
        <w:tblPrEx>
          <w:tblCellMar>
            <w:top w:w="0" w:type="dxa"/>
            <w:left w:w="108" w:type="dxa"/>
            <w:bottom w:w="0" w:type="dxa"/>
            <w:right w:w="108" w:type="dxa"/>
          </w:tblCellMar>
        </w:tblPrEx>
        <w:trPr>
          <w:trHeight w:val="290" w:hRule="atLeast"/>
        </w:trPr>
        <w:tc>
          <w:tcPr>
            <w:tcW w:w="9800" w:type="dxa"/>
            <w:tcBorders>
              <w:top w:val="single" w:color="000000" w:sz="4" w:space="0"/>
              <w:left w:val="single" w:color="000000" w:sz="4" w:space="0"/>
              <w:bottom w:val="single" w:color="000000" w:sz="4" w:space="0"/>
              <w:right w:val="single" w:color="000000" w:sz="4" w:space="0"/>
            </w:tcBorders>
            <w:shd w:val="clear" w:color="auto" w:fill="DDDDDD"/>
          </w:tcPr>
          <w:p w14:paraId="66BC89B0">
            <w:pPr>
              <w:widowControl w:val="0"/>
              <w:spacing w:before="57" w:after="57"/>
              <w:jc w:val="center"/>
              <w:rPr>
                <w:sz w:val="22"/>
                <w:szCs w:val="22"/>
              </w:rPr>
            </w:pPr>
            <w:r>
              <w:rPr>
                <w:rFonts w:ascii="Century Gothic" w:hAnsi="Century Gothic"/>
                <w:b/>
                <w:bCs/>
                <w:sz w:val="22"/>
                <w:szCs w:val="22"/>
              </w:rPr>
              <w:t>13. ADEQUAÇÃO ORÇAMENTÁRIA E COMPATIBILIDADE COM A LEI DE DIRETRIZES ORÇAMENTÁRIAS E O PLANO PLURIANUAL – Art. 6º, XXIII, “i”</w:t>
            </w:r>
          </w:p>
        </w:tc>
      </w:tr>
    </w:tbl>
    <w:p w14:paraId="5F3D70BF">
      <w:pPr>
        <w:ind w:left="-567" w:right="454"/>
        <w:jc w:val="both"/>
        <w:rPr>
          <w:rFonts w:ascii="Century Gothic" w:hAnsi="Century Gothic"/>
          <w:sz w:val="10"/>
          <w:szCs w:val="10"/>
        </w:rPr>
      </w:pPr>
    </w:p>
    <w:p w14:paraId="531B2ACC">
      <w:pPr>
        <w:spacing w:line="276" w:lineRule="auto"/>
        <w:ind w:left="-57" w:right="283"/>
        <w:jc w:val="both"/>
      </w:pPr>
      <w:r>
        <w:rPr>
          <w:rStyle w:val="128"/>
          <w:rFonts w:ascii="Century Gothic" w:hAnsi="Century Gothic" w:eastAsia="Arial"/>
          <w:b/>
          <w:bCs/>
          <w:color w:val="000000"/>
        </w:rPr>
        <w:t>13.1.</w:t>
      </w:r>
      <w:r>
        <w:rPr>
          <w:rStyle w:val="128"/>
          <w:rFonts w:ascii="Century Gothic" w:hAnsi="Century Gothic" w:eastAsia="Arial"/>
          <w:color w:val="000000"/>
        </w:rPr>
        <w:t xml:space="preserve"> As despesas decorrentes da presente contratação correrão à conta de recursos específicos consignados no Orçamento do Município.</w:t>
      </w:r>
    </w:p>
    <w:p w14:paraId="5445C507">
      <w:pPr>
        <w:ind w:left="-57" w:right="283"/>
        <w:jc w:val="both"/>
        <w:rPr>
          <w:rStyle w:val="128"/>
          <w:rFonts w:ascii="Century Gothic" w:hAnsi="Century Gothic" w:eastAsia="Arial"/>
          <w:b/>
          <w:bCs/>
          <w:color w:val="000000"/>
        </w:rPr>
      </w:pPr>
      <w:r>
        <w:rPr>
          <w:rStyle w:val="128"/>
          <w:rFonts w:ascii="Century Gothic" w:hAnsi="Century Gothic" w:eastAsia="Arial"/>
          <w:b/>
          <w:bCs/>
          <w:color w:val="000000"/>
        </w:rPr>
        <w:t>13.2. A contratação será atendida pela seguinte dotação:</w:t>
      </w:r>
    </w:p>
    <w:p w14:paraId="13A46D1F">
      <w:pPr>
        <w:ind w:left="-57" w:right="283"/>
        <w:jc w:val="both"/>
        <w:rPr>
          <w:rStyle w:val="128"/>
          <w:rFonts w:ascii="Century Gothic" w:hAnsi="Century Gothic" w:eastAsia="Arial"/>
          <w:b/>
          <w:bCs/>
          <w:color w:val="000000"/>
        </w:rPr>
      </w:pPr>
    </w:p>
    <w:tbl>
      <w:tblPr>
        <w:tblStyle w:val="12"/>
        <w:tblW w:w="9812" w:type="dxa"/>
        <w:tblInd w:w="79" w:type="dxa"/>
        <w:tblLayout w:type="fixed"/>
        <w:tblCellMar>
          <w:top w:w="0" w:type="dxa"/>
          <w:left w:w="108" w:type="dxa"/>
          <w:bottom w:w="0" w:type="dxa"/>
          <w:right w:w="108" w:type="dxa"/>
        </w:tblCellMar>
      </w:tblPr>
      <w:tblGrid>
        <w:gridCol w:w="2836"/>
        <w:gridCol w:w="6976"/>
      </w:tblGrid>
      <w:tr w14:paraId="2688F7CD">
        <w:tblPrEx>
          <w:tblCellMar>
            <w:top w:w="0" w:type="dxa"/>
            <w:left w:w="108" w:type="dxa"/>
            <w:bottom w:w="0" w:type="dxa"/>
            <w:right w:w="108" w:type="dxa"/>
          </w:tblCellMar>
        </w:tblPrEx>
        <w:trPr>
          <w:trHeight w:val="225" w:hRule="atLeast"/>
        </w:trPr>
        <w:tc>
          <w:tcPr>
            <w:tcW w:w="9811" w:type="dxa"/>
            <w:gridSpan w:val="2"/>
            <w:tcBorders>
              <w:top w:val="single" w:color="000000" w:sz="4" w:space="0"/>
              <w:left w:val="single" w:color="000000" w:sz="4" w:space="0"/>
              <w:bottom w:val="single" w:color="000000" w:sz="4" w:space="0"/>
              <w:right w:val="single" w:color="000000" w:sz="4" w:space="0"/>
            </w:tcBorders>
          </w:tcPr>
          <w:p w14:paraId="25FAEDFE">
            <w:pPr>
              <w:widowControl w:val="0"/>
              <w:jc w:val="center"/>
              <w:rPr>
                <w:rFonts w:ascii="Calibri" w:hAnsi="Calibri" w:cs="Calibri"/>
                <w:color w:val="000000"/>
                <w:sz w:val="22"/>
                <w:szCs w:val="22"/>
              </w:rPr>
            </w:pPr>
            <w:r>
              <w:rPr>
                <w:rFonts w:ascii="Calibri" w:hAnsi="Calibri" w:cs="Calibri"/>
                <w:color w:val="000000"/>
                <w:sz w:val="22"/>
                <w:szCs w:val="22"/>
              </w:rPr>
              <w:t>Classificação Orçamentária da Despesa</w:t>
            </w:r>
          </w:p>
        </w:tc>
      </w:tr>
      <w:tr w14:paraId="1C2CA4B4">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6F9734BC">
            <w:pPr>
              <w:widowControl w:val="0"/>
              <w:jc w:val="both"/>
              <w:rPr>
                <w:rFonts w:ascii="Calibri" w:hAnsi="Calibri"/>
                <w:color w:val="000000"/>
                <w:sz w:val="22"/>
                <w:szCs w:val="22"/>
              </w:rPr>
            </w:pPr>
            <w:r>
              <w:rPr>
                <w:rFonts w:ascii="Calibri" w:hAnsi="Calibri"/>
                <w:color w:val="000000"/>
                <w:sz w:val="22"/>
                <w:szCs w:val="22"/>
              </w:rPr>
              <w:t>Órgão</w:t>
            </w:r>
          </w:p>
        </w:tc>
        <w:tc>
          <w:tcPr>
            <w:tcW w:w="6975" w:type="dxa"/>
            <w:tcBorders>
              <w:left w:val="single" w:color="000000" w:sz="4" w:space="0"/>
              <w:bottom w:val="single" w:color="000000" w:sz="4" w:space="0"/>
              <w:right w:val="single" w:color="000000" w:sz="4" w:space="0"/>
            </w:tcBorders>
          </w:tcPr>
          <w:p w14:paraId="16CEF228">
            <w:pPr>
              <w:widowControl w:val="0"/>
              <w:jc w:val="both"/>
              <w:rPr>
                <w:rFonts w:ascii="Calibri" w:hAnsi="Calibri"/>
                <w:color w:val="000000"/>
                <w:sz w:val="22"/>
                <w:szCs w:val="22"/>
              </w:rPr>
            </w:pPr>
            <w:r>
              <w:rPr>
                <w:rFonts w:ascii="Calibri" w:hAnsi="Calibri"/>
                <w:color w:val="000000"/>
                <w:sz w:val="22"/>
                <w:szCs w:val="22"/>
              </w:rPr>
              <w:t>02 - Prefeitura Municipal de Rondonópolis</w:t>
            </w:r>
          </w:p>
        </w:tc>
      </w:tr>
      <w:tr w14:paraId="69282F3C">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77B73B65">
            <w:pPr>
              <w:widowControl w:val="0"/>
              <w:jc w:val="both"/>
              <w:rPr>
                <w:rFonts w:ascii="Calibri" w:hAnsi="Calibri"/>
                <w:color w:val="000000"/>
                <w:sz w:val="22"/>
                <w:szCs w:val="22"/>
              </w:rPr>
            </w:pPr>
            <w:r>
              <w:rPr>
                <w:rFonts w:ascii="Calibri" w:hAnsi="Calibri"/>
                <w:color w:val="000000"/>
                <w:sz w:val="22"/>
                <w:szCs w:val="22"/>
              </w:rPr>
              <w:t>Unidade</w:t>
            </w:r>
          </w:p>
        </w:tc>
        <w:tc>
          <w:tcPr>
            <w:tcW w:w="6975" w:type="dxa"/>
            <w:tcBorders>
              <w:left w:val="single" w:color="000000" w:sz="4" w:space="0"/>
              <w:bottom w:val="single" w:color="000000" w:sz="4" w:space="0"/>
              <w:right w:val="single" w:color="000000" w:sz="4" w:space="0"/>
            </w:tcBorders>
          </w:tcPr>
          <w:p w14:paraId="4B6E7FC3">
            <w:pPr>
              <w:widowControl w:val="0"/>
              <w:jc w:val="both"/>
              <w:rPr>
                <w:rFonts w:ascii="Calibri" w:hAnsi="Calibri"/>
                <w:color w:val="000000"/>
                <w:sz w:val="22"/>
                <w:szCs w:val="22"/>
              </w:rPr>
            </w:pPr>
            <w:r>
              <w:rPr>
                <w:rFonts w:ascii="Calibri" w:hAnsi="Calibri"/>
                <w:color w:val="000000"/>
                <w:sz w:val="22"/>
                <w:szCs w:val="22"/>
              </w:rPr>
              <w:t>011 – Fundo de Manutenção e Desenvolvimento da Educação Básica</w:t>
            </w:r>
          </w:p>
        </w:tc>
      </w:tr>
      <w:tr w14:paraId="18AD4690">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45A8F101">
            <w:pPr>
              <w:pStyle w:val="167"/>
              <w:widowControl w:val="0"/>
              <w:jc w:val="both"/>
              <w:rPr>
                <w:color w:val="000000"/>
              </w:rPr>
            </w:pPr>
            <w:r>
              <w:rPr>
                <w:color w:val="000000"/>
              </w:rPr>
              <w:t>Funcional Programática</w:t>
            </w:r>
          </w:p>
        </w:tc>
        <w:tc>
          <w:tcPr>
            <w:tcW w:w="6975" w:type="dxa"/>
            <w:tcBorders>
              <w:left w:val="single" w:color="000000" w:sz="4" w:space="0"/>
              <w:bottom w:val="single" w:color="000000" w:sz="4" w:space="0"/>
              <w:right w:val="single" w:color="000000" w:sz="4" w:space="0"/>
            </w:tcBorders>
          </w:tcPr>
          <w:p w14:paraId="7D3295E4">
            <w:pPr>
              <w:pStyle w:val="167"/>
              <w:widowControl w:val="0"/>
              <w:snapToGrid w:val="0"/>
              <w:jc w:val="both"/>
              <w:rPr>
                <w:color w:val="000000"/>
              </w:rPr>
            </w:pPr>
            <w:r>
              <w:rPr>
                <w:color w:val="000000"/>
              </w:rPr>
              <w:t>12.306.2208.2046 – Alimentação Indígena</w:t>
            </w:r>
          </w:p>
        </w:tc>
      </w:tr>
      <w:tr w14:paraId="2B57ECBD">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4A78CA2B">
            <w:pPr>
              <w:pStyle w:val="167"/>
              <w:widowControl w:val="0"/>
              <w:jc w:val="both"/>
              <w:rPr>
                <w:color w:val="000000"/>
              </w:rPr>
            </w:pPr>
            <w:r>
              <w:rPr>
                <w:color w:val="000000"/>
              </w:rPr>
              <w:t>Elemento de Despesa</w:t>
            </w:r>
          </w:p>
        </w:tc>
        <w:tc>
          <w:tcPr>
            <w:tcW w:w="6975" w:type="dxa"/>
            <w:tcBorders>
              <w:left w:val="single" w:color="000000" w:sz="4" w:space="0"/>
              <w:bottom w:val="single" w:color="000000" w:sz="4" w:space="0"/>
              <w:right w:val="single" w:color="000000" w:sz="4" w:space="0"/>
            </w:tcBorders>
          </w:tcPr>
          <w:p w14:paraId="16F0B4E1">
            <w:pPr>
              <w:pStyle w:val="167"/>
              <w:widowControl w:val="0"/>
              <w:snapToGrid w:val="0"/>
              <w:jc w:val="both"/>
              <w:rPr>
                <w:color w:val="000000"/>
              </w:rPr>
            </w:pPr>
            <w:r>
              <w:rPr>
                <w:color w:val="000000"/>
              </w:rPr>
              <w:t>3.3.90.30 – Material de Consumo</w:t>
            </w:r>
          </w:p>
        </w:tc>
      </w:tr>
      <w:tr w14:paraId="3A8FAF91">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6721CFB2">
            <w:pPr>
              <w:pStyle w:val="167"/>
              <w:widowControl w:val="0"/>
              <w:jc w:val="both"/>
              <w:rPr>
                <w:color w:val="000000"/>
              </w:rPr>
            </w:pPr>
            <w:r>
              <w:rPr>
                <w:color w:val="000000"/>
              </w:rPr>
              <w:t>Reduzido</w:t>
            </w:r>
          </w:p>
        </w:tc>
        <w:tc>
          <w:tcPr>
            <w:tcW w:w="6975" w:type="dxa"/>
            <w:tcBorders>
              <w:left w:val="single" w:color="000000" w:sz="4" w:space="0"/>
              <w:bottom w:val="single" w:color="000000" w:sz="4" w:space="0"/>
              <w:right w:val="single" w:color="000000" w:sz="4" w:space="0"/>
            </w:tcBorders>
          </w:tcPr>
          <w:p w14:paraId="1729D2FB">
            <w:pPr>
              <w:pStyle w:val="167"/>
              <w:widowControl w:val="0"/>
              <w:snapToGrid w:val="0"/>
              <w:jc w:val="both"/>
              <w:rPr>
                <w:color w:val="000000"/>
                <w:lang w:eastAsia="pt-BR"/>
              </w:rPr>
            </w:pPr>
            <w:r>
              <w:rPr>
                <w:color w:val="000000"/>
                <w:lang w:eastAsia="pt-BR"/>
              </w:rPr>
              <w:t>291</w:t>
            </w:r>
          </w:p>
        </w:tc>
      </w:tr>
      <w:tr w14:paraId="2945B179">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354F12FC">
            <w:pPr>
              <w:widowControl w:val="0"/>
              <w:jc w:val="both"/>
            </w:pPr>
            <w:r>
              <w:rPr>
                <w:rFonts w:ascii="Calibri" w:hAnsi="Calibri" w:cs="Calibri"/>
                <w:color w:val="000000"/>
                <w:sz w:val="22"/>
                <w:szCs w:val="22"/>
              </w:rPr>
              <w:t xml:space="preserve">Previsão </w:t>
            </w:r>
            <w:r>
              <w:rPr>
                <w:rFonts w:ascii="Calibri" w:hAnsi="Calibri" w:eastAsia="Times New Romin" w:cs="Calibri"/>
                <w:color w:val="000000"/>
                <w:sz w:val="22"/>
                <w:szCs w:val="22"/>
              </w:rPr>
              <w:t>da</w:t>
            </w:r>
            <w:r>
              <w:rPr>
                <w:rFonts w:ascii="Calibri" w:hAnsi="Calibri" w:cs="Calibri"/>
                <w:color w:val="000000"/>
                <w:sz w:val="22"/>
                <w:szCs w:val="22"/>
              </w:rPr>
              <w:t xml:space="preserve"> despesa</w:t>
            </w:r>
          </w:p>
        </w:tc>
        <w:tc>
          <w:tcPr>
            <w:tcW w:w="6975" w:type="dxa"/>
            <w:tcBorders>
              <w:left w:val="single" w:color="000000" w:sz="4" w:space="0"/>
              <w:bottom w:val="single" w:color="000000" w:sz="4" w:space="0"/>
              <w:right w:val="single" w:color="000000" w:sz="4" w:space="0"/>
            </w:tcBorders>
          </w:tcPr>
          <w:p w14:paraId="35982810">
            <w:pPr>
              <w:widowControl w:val="0"/>
              <w:ind w:right="-57"/>
              <w:jc w:val="both"/>
              <w:rPr>
                <w:rFonts w:ascii="Calibri" w:hAnsi="Calibri"/>
                <w:color w:val="000000"/>
                <w:sz w:val="22"/>
                <w:szCs w:val="22"/>
              </w:rPr>
            </w:pPr>
            <w:r>
              <w:rPr>
                <w:rFonts w:ascii="Calibri" w:hAnsi="Calibri"/>
                <w:color w:val="000000"/>
                <w:sz w:val="22"/>
                <w:szCs w:val="22"/>
              </w:rPr>
              <w:t>R$</w:t>
            </w:r>
          </w:p>
        </w:tc>
      </w:tr>
      <w:tr w14:paraId="3AECDDEB">
        <w:tblPrEx>
          <w:tblCellMar>
            <w:top w:w="0" w:type="dxa"/>
            <w:left w:w="108" w:type="dxa"/>
            <w:bottom w:w="0" w:type="dxa"/>
            <w:right w:w="108" w:type="dxa"/>
          </w:tblCellMar>
        </w:tblPrEx>
        <w:trPr>
          <w:trHeight w:val="324" w:hRule="atLeast"/>
        </w:trPr>
        <w:tc>
          <w:tcPr>
            <w:tcW w:w="2836" w:type="dxa"/>
            <w:tcBorders>
              <w:left w:val="single" w:color="000000" w:sz="4" w:space="0"/>
              <w:bottom w:val="single" w:color="000000" w:sz="4" w:space="0"/>
            </w:tcBorders>
          </w:tcPr>
          <w:p w14:paraId="71B6499E">
            <w:pPr>
              <w:pStyle w:val="167"/>
              <w:widowControl w:val="0"/>
              <w:jc w:val="both"/>
              <w:rPr>
                <w:color w:val="000000"/>
              </w:rPr>
            </w:pPr>
            <w:r>
              <w:rPr>
                <w:color w:val="000000"/>
              </w:rPr>
              <w:t>Fonte de Recursos</w:t>
            </w:r>
          </w:p>
        </w:tc>
        <w:tc>
          <w:tcPr>
            <w:tcW w:w="6975" w:type="dxa"/>
            <w:tcBorders>
              <w:left w:val="single" w:color="000000" w:sz="4" w:space="0"/>
              <w:bottom w:val="single" w:color="000000" w:sz="4" w:space="0"/>
              <w:right w:val="single" w:color="000000" w:sz="4" w:space="0"/>
            </w:tcBorders>
          </w:tcPr>
          <w:p w14:paraId="79332A5B">
            <w:pPr>
              <w:widowControl w:val="0"/>
              <w:jc w:val="both"/>
              <w:rPr>
                <w:rFonts w:ascii="Calibri" w:hAnsi="Calibri"/>
                <w:color w:val="000000"/>
                <w:sz w:val="22"/>
                <w:szCs w:val="22"/>
              </w:rPr>
            </w:pPr>
            <w:r>
              <w:rPr>
                <w:rFonts w:ascii="Calibri" w:hAnsi="Calibri"/>
                <w:color w:val="000000"/>
                <w:sz w:val="22"/>
                <w:szCs w:val="22"/>
              </w:rPr>
              <w:t>1.500.0000000 – Recursos não Vinculados de Impostos</w:t>
            </w:r>
          </w:p>
        </w:tc>
      </w:tr>
    </w:tbl>
    <w:p w14:paraId="2C0A59C3"/>
    <w:tbl>
      <w:tblPr>
        <w:tblStyle w:val="12"/>
        <w:tblW w:w="9813" w:type="dxa"/>
        <w:tblInd w:w="79" w:type="dxa"/>
        <w:tblLayout w:type="fixed"/>
        <w:tblCellMar>
          <w:top w:w="0" w:type="dxa"/>
          <w:left w:w="108" w:type="dxa"/>
          <w:bottom w:w="0" w:type="dxa"/>
          <w:right w:w="108" w:type="dxa"/>
        </w:tblCellMar>
      </w:tblPr>
      <w:tblGrid>
        <w:gridCol w:w="2833"/>
        <w:gridCol w:w="6980"/>
      </w:tblGrid>
      <w:tr w14:paraId="5532C3ED">
        <w:tblPrEx>
          <w:tblCellMar>
            <w:top w:w="0" w:type="dxa"/>
            <w:left w:w="108" w:type="dxa"/>
            <w:bottom w:w="0" w:type="dxa"/>
            <w:right w:w="108" w:type="dxa"/>
          </w:tblCellMar>
        </w:tblPrEx>
        <w:trPr>
          <w:trHeight w:val="225" w:hRule="atLeast"/>
        </w:trPr>
        <w:tc>
          <w:tcPr>
            <w:tcW w:w="9812" w:type="dxa"/>
            <w:gridSpan w:val="2"/>
            <w:tcBorders>
              <w:top w:val="single" w:color="000000" w:sz="4" w:space="0"/>
              <w:left w:val="single" w:color="000000" w:sz="4" w:space="0"/>
              <w:bottom w:val="single" w:color="000000" w:sz="4" w:space="0"/>
              <w:right w:val="single" w:color="000000" w:sz="4" w:space="0"/>
            </w:tcBorders>
          </w:tcPr>
          <w:p w14:paraId="24225C11">
            <w:pPr>
              <w:widowControl w:val="0"/>
              <w:jc w:val="center"/>
              <w:rPr>
                <w:rFonts w:ascii="Calibri" w:hAnsi="Calibri" w:cs="Calibri"/>
                <w:color w:val="000000"/>
                <w:sz w:val="22"/>
                <w:szCs w:val="22"/>
              </w:rPr>
            </w:pPr>
            <w:r>
              <w:rPr>
                <w:rFonts w:ascii="Calibri" w:hAnsi="Calibri" w:cs="Calibri"/>
                <w:color w:val="000000"/>
                <w:sz w:val="22"/>
                <w:szCs w:val="22"/>
              </w:rPr>
              <w:t>Classificação Orçamentária da Despesa</w:t>
            </w:r>
          </w:p>
        </w:tc>
      </w:tr>
      <w:tr w14:paraId="117F8F90">
        <w:tblPrEx>
          <w:tblCellMar>
            <w:top w:w="0" w:type="dxa"/>
            <w:left w:w="108" w:type="dxa"/>
            <w:bottom w:w="0" w:type="dxa"/>
            <w:right w:w="108" w:type="dxa"/>
          </w:tblCellMar>
        </w:tblPrEx>
        <w:tc>
          <w:tcPr>
            <w:tcW w:w="2833" w:type="dxa"/>
            <w:tcBorders>
              <w:left w:val="single" w:color="000000" w:sz="4" w:space="0"/>
              <w:bottom w:val="single" w:color="000000" w:sz="4" w:space="0"/>
            </w:tcBorders>
          </w:tcPr>
          <w:p w14:paraId="17934D71">
            <w:pPr>
              <w:widowControl w:val="0"/>
              <w:jc w:val="both"/>
              <w:rPr>
                <w:rFonts w:ascii="Calibri" w:hAnsi="Calibri"/>
                <w:color w:val="000000"/>
                <w:sz w:val="22"/>
                <w:szCs w:val="22"/>
              </w:rPr>
            </w:pPr>
            <w:r>
              <w:rPr>
                <w:rFonts w:ascii="Calibri" w:hAnsi="Calibri"/>
                <w:color w:val="000000"/>
                <w:sz w:val="22"/>
                <w:szCs w:val="22"/>
              </w:rPr>
              <w:t>Órgão</w:t>
            </w:r>
          </w:p>
        </w:tc>
        <w:tc>
          <w:tcPr>
            <w:tcW w:w="6979" w:type="dxa"/>
            <w:tcBorders>
              <w:left w:val="single" w:color="000000" w:sz="4" w:space="0"/>
              <w:bottom w:val="single" w:color="000000" w:sz="4" w:space="0"/>
              <w:right w:val="single" w:color="000000" w:sz="4" w:space="0"/>
            </w:tcBorders>
          </w:tcPr>
          <w:p w14:paraId="090EA293">
            <w:pPr>
              <w:widowControl w:val="0"/>
              <w:jc w:val="both"/>
              <w:rPr>
                <w:rFonts w:ascii="Calibri" w:hAnsi="Calibri"/>
                <w:color w:val="000000"/>
                <w:sz w:val="22"/>
                <w:szCs w:val="22"/>
              </w:rPr>
            </w:pPr>
            <w:r>
              <w:rPr>
                <w:rFonts w:ascii="Calibri" w:hAnsi="Calibri"/>
                <w:color w:val="000000"/>
                <w:sz w:val="22"/>
                <w:szCs w:val="22"/>
              </w:rPr>
              <w:t>02 - Prefeitura Municipal de Rondonópolis</w:t>
            </w:r>
          </w:p>
        </w:tc>
      </w:tr>
      <w:tr w14:paraId="3143AD99">
        <w:tblPrEx>
          <w:tblCellMar>
            <w:top w:w="0" w:type="dxa"/>
            <w:left w:w="108" w:type="dxa"/>
            <w:bottom w:w="0" w:type="dxa"/>
            <w:right w:w="108" w:type="dxa"/>
          </w:tblCellMar>
        </w:tblPrEx>
        <w:tc>
          <w:tcPr>
            <w:tcW w:w="2833" w:type="dxa"/>
            <w:tcBorders>
              <w:left w:val="single" w:color="000000" w:sz="4" w:space="0"/>
              <w:bottom w:val="single" w:color="000000" w:sz="4" w:space="0"/>
            </w:tcBorders>
          </w:tcPr>
          <w:p w14:paraId="65B33697">
            <w:pPr>
              <w:widowControl w:val="0"/>
              <w:jc w:val="both"/>
              <w:rPr>
                <w:rFonts w:ascii="Calibri" w:hAnsi="Calibri"/>
                <w:color w:val="000000"/>
                <w:sz w:val="22"/>
                <w:szCs w:val="22"/>
              </w:rPr>
            </w:pPr>
            <w:r>
              <w:rPr>
                <w:rFonts w:ascii="Calibri" w:hAnsi="Calibri"/>
                <w:color w:val="000000"/>
                <w:sz w:val="22"/>
                <w:szCs w:val="22"/>
              </w:rPr>
              <w:t>Unidade</w:t>
            </w:r>
          </w:p>
        </w:tc>
        <w:tc>
          <w:tcPr>
            <w:tcW w:w="6979" w:type="dxa"/>
            <w:tcBorders>
              <w:left w:val="single" w:color="000000" w:sz="4" w:space="0"/>
              <w:bottom w:val="single" w:color="000000" w:sz="4" w:space="0"/>
              <w:right w:val="single" w:color="000000" w:sz="4" w:space="0"/>
            </w:tcBorders>
          </w:tcPr>
          <w:p w14:paraId="2742304C">
            <w:pPr>
              <w:widowControl w:val="0"/>
              <w:jc w:val="both"/>
              <w:rPr>
                <w:rFonts w:ascii="Calibri" w:hAnsi="Calibri"/>
                <w:color w:val="000000"/>
                <w:sz w:val="22"/>
                <w:szCs w:val="22"/>
              </w:rPr>
            </w:pPr>
            <w:r>
              <w:rPr>
                <w:rFonts w:ascii="Calibri" w:hAnsi="Calibri"/>
                <w:color w:val="000000"/>
                <w:sz w:val="22"/>
                <w:szCs w:val="22"/>
              </w:rPr>
              <w:t>011 – Fundo de Manutenção e Desenvolvimento da Educação Básica</w:t>
            </w:r>
          </w:p>
        </w:tc>
      </w:tr>
      <w:tr w14:paraId="0C631741">
        <w:tblPrEx>
          <w:tblCellMar>
            <w:top w:w="0" w:type="dxa"/>
            <w:left w:w="108" w:type="dxa"/>
            <w:bottom w:w="0" w:type="dxa"/>
            <w:right w:w="108" w:type="dxa"/>
          </w:tblCellMar>
        </w:tblPrEx>
        <w:tc>
          <w:tcPr>
            <w:tcW w:w="2833" w:type="dxa"/>
            <w:tcBorders>
              <w:left w:val="single" w:color="000000" w:sz="4" w:space="0"/>
              <w:bottom w:val="single" w:color="000000" w:sz="4" w:space="0"/>
            </w:tcBorders>
          </w:tcPr>
          <w:p w14:paraId="0C67A632">
            <w:pPr>
              <w:pStyle w:val="167"/>
              <w:widowControl w:val="0"/>
              <w:jc w:val="both"/>
              <w:rPr>
                <w:color w:val="000000"/>
              </w:rPr>
            </w:pPr>
            <w:r>
              <w:rPr>
                <w:color w:val="000000"/>
              </w:rPr>
              <w:t>Funcional Programática</w:t>
            </w:r>
          </w:p>
        </w:tc>
        <w:tc>
          <w:tcPr>
            <w:tcW w:w="6979" w:type="dxa"/>
            <w:tcBorders>
              <w:left w:val="single" w:color="000000" w:sz="4" w:space="0"/>
              <w:bottom w:val="single" w:color="000000" w:sz="4" w:space="0"/>
              <w:right w:val="single" w:color="000000" w:sz="4" w:space="0"/>
            </w:tcBorders>
          </w:tcPr>
          <w:p w14:paraId="7F5F76F2">
            <w:pPr>
              <w:pStyle w:val="167"/>
              <w:widowControl w:val="0"/>
              <w:snapToGrid w:val="0"/>
              <w:jc w:val="both"/>
              <w:rPr>
                <w:color w:val="000000"/>
              </w:rPr>
            </w:pPr>
            <w:r>
              <w:rPr>
                <w:color w:val="000000"/>
              </w:rPr>
              <w:t>12.306.2208.2046 – Alimentação Indígena</w:t>
            </w:r>
          </w:p>
        </w:tc>
      </w:tr>
      <w:tr w14:paraId="0BD1BC92">
        <w:tblPrEx>
          <w:tblCellMar>
            <w:top w:w="0" w:type="dxa"/>
            <w:left w:w="108" w:type="dxa"/>
            <w:bottom w:w="0" w:type="dxa"/>
            <w:right w:w="108" w:type="dxa"/>
          </w:tblCellMar>
        </w:tblPrEx>
        <w:tc>
          <w:tcPr>
            <w:tcW w:w="2833" w:type="dxa"/>
            <w:tcBorders>
              <w:left w:val="single" w:color="000000" w:sz="4" w:space="0"/>
              <w:bottom w:val="single" w:color="000000" w:sz="4" w:space="0"/>
            </w:tcBorders>
          </w:tcPr>
          <w:p w14:paraId="507FDD79">
            <w:pPr>
              <w:pStyle w:val="167"/>
              <w:widowControl w:val="0"/>
              <w:jc w:val="both"/>
              <w:rPr>
                <w:color w:val="000000"/>
              </w:rPr>
            </w:pPr>
            <w:r>
              <w:rPr>
                <w:color w:val="000000"/>
              </w:rPr>
              <w:t>Elemento de Despesa</w:t>
            </w:r>
          </w:p>
        </w:tc>
        <w:tc>
          <w:tcPr>
            <w:tcW w:w="6979" w:type="dxa"/>
            <w:tcBorders>
              <w:left w:val="single" w:color="000000" w:sz="4" w:space="0"/>
              <w:bottom w:val="single" w:color="000000" w:sz="4" w:space="0"/>
              <w:right w:val="single" w:color="000000" w:sz="4" w:space="0"/>
            </w:tcBorders>
          </w:tcPr>
          <w:p w14:paraId="54604206">
            <w:pPr>
              <w:pStyle w:val="167"/>
              <w:widowControl w:val="0"/>
              <w:snapToGrid w:val="0"/>
              <w:jc w:val="both"/>
              <w:rPr>
                <w:color w:val="000000"/>
              </w:rPr>
            </w:pPr>
            <w:r>
              <w:rPr>
                <w:color w:val="000000"/>
              </w:rPr>
              <w:t>3.3.90.30 – Material de Consumo</w:t>
            </w:r>
          </w:p>
        </w:tc>
      </w:tr>
      <w:tr w14:paraId="68DB6C97">
        <w:tblPrEx>
          <w:tblCellMar>
            <w:top w:w="0" w:type="dxa"/>
            <w:left w:w="108" w:type="dxa"/>
            <w:bottom w:w="0" w:type="dxa"/>
            <w:right w:w="108" w:type="dxa"/>
          </w:tblCellMar>
        </w:tblPrEx>
        <w:tc>
          <w:tcPr>
            <w:tcW w:w="2833" w:type="dxa"/>
            <w:tcBorders>
              <w:left w:val="single" w:color="000000" w:sz="4" w:space="0"/>
              <w:bottom w:val="single" w:color="000000" w:sz="4" w:space="0"/>
            </w:tcBorders>
          </w:tcPr>
          <w:p w14:paraId="083BDF18">
            <w:pPr>
              <w:pStyle w:val="167"/>
              <w:widowControl w:val="0"/>
              <w:jc w:val="both"/>
              <w:rPr>
                <w:color w:val="000000"/>
              </w:rPr>
            </w:pPr>
            <w:r>
              <w:rPr>
                <w:color w:val="000000"/>
              </w:rPr>
              <w:t>Reduzido</w:t>
            </w:r>
          </w:p>
        </w:tc>
        <w:tc>
          <w:tcPr>
            <w:tcW w:w="6979" w:type="dxa"/>
            <w:tcBorders>
              <w:left w:val="single" w:color="000000" w:sz="4" w:space="0"/>
              <w:bottom w:val="single" w:color="000000" w:sz="4" w:space="0"/>
              <w:right w:val="single" w:color="000000" w:sz="4" w:space="0"/>
            </w:tcBorders>
          </w:tcPr>
          <w:p w14:paraId="7BEA5C14">
            <w:pPr>
              <w:pStyle w:val="167"/>
              <w:widowControl w:val="0"/>
              <w:snapToGrid w:val="0"/>
              <w:jc w:val="both"/>
              <w:rPr>
                <w:color w:val="000000"/>
                <w:lang w:eastAsia="pt-BR"/>
              </w:rPr>
            </w:pPr>
            <w:r>
              <w:rPr>
                <w:color w:val="000000"/>
                <w:lang w:eastAsia="pt-BR"/>
              </w:rPr>
              <w:t>292</w:t>
            </w:r>
          </w:p>
        </w:tc>
      </w:tr>
      <w:tr w14:paraId="10599BC5">
        <w:tblPrEx>
          <w:tblCellMar>
            <w:top w:w="0" w:type="dxa"/>
            <w:left w:w="108" w:type="dxa"/>
            <w:bottom w:w="0" w:type="dxa"/>
            <w:right w:w="108" w:type="dxa"/>
          </w:tblCellMar>
        </w:tblPrEx>
        <w:tc>
          <w:tcPr>
            <w:tcW w:w="2833" w:type="dxa"/>
            <w:tcBorders>
              <w:left w:val="single" w:color="000000" w:sz="4" w:space="0"/>
              <w:bottom w:val="single" w:color="000000" w:sz="4" w:space="0"/>
            </w:tcBorders>
          </w:tcPr>
          <w:p w14:paraId="44E1CA7A">
            <w:pPr>
              <w:widowControl w:val="0"/>
              <w:jc w:val="both"/>
            </w:pPr>
            <w:r>
              <w:rPr>
                <w:rFonts w:ascii="Calibri" w:hAnsi="Calibri" w:cs="Calibri"/>
                <w:color w:val="000000"/>
                <w:sz w:val="22"/>
                <w:szCs w:val="22"/>
              </w:rPr>
              <w:t xml:space="preserve">Previsão </w:t>
            </w:r>
            <w:r>
              <w:rPr>
                <w:rFonts w:ascii="Calibri" w:hAnsi="Calibri" w:eastAsia="Times New Romin" w:cs="Calibri"/>
                <w:color w:val="000000"/>
                <w:sz w:val="22"/>
                <w:szCs w:val="22"/>
              </w:rPr>
              <w:t>da</w:t>
            </w:r>
            <w:r>
              <w:rPr>
                <w:rFonts w:ascii="Calibri" w:hAnsi="Calibri" w:cs="Calibri"/>
                <w:color w:val="000000"/>
                <w:sz w:val="22"/>
                <w:szCs w:val="22"/>
              </w:rPr>
              <w:t xml:space="preserve"> despesa</w:t>
            </w:r>
          </w:p>
        </w:tc>
        <w:tc>
          <w:tcPr>
            <w:tcW w:w="6979" w:type="dxa"/>
            <w:tcBorders>
              <w:left w:val="single" w:color="000000" w:sz="4" w:space="0"/>
              <w:bottom w:val="single" w:color="000000" w:sz="4" w:space="0"/>
              <w:right w:val="single" w:color="000000" w:sz="4" w:space="0"/>
            </w:tcBorders>
          </w:tcPr>
          <w:p w14:paraId="25217A32">
            <w:pPr>
              <w:widowControl w:val="0"/>
              <w:ind w:right="-57"/>
              <w:jc w:val="both"/>
              <w:rPr>
                <w:rFonts w:ascii="Calibri" w:hAnsi="Calibri"/>
                <w:color w:val="000000"/>
                <w:sz w:val="22"/>
                <w:szCs w:val="22"/>
              </w:rPr>
            </w:pPr>
            <w:r>
              <w:rPr>
                <w:rFonts w:ascii="Calibri" w:hAnsi="Calibri"/>
                <w:color w:val="000000"/>
                <w:sz w:val="22"/>
                <w:szCs w:val="22"/>
              </w:rPr>
              <w:t>R$</w:t>
            </w:r>
          </w:p>
        </w:tc>
      </w:tr>
      <w:tr w14:paraId="6CEDCF17">
        <w:tblPrEx>
          <w:tblCellMar>
            <w:top w:w="0" w:type="dxa"/>
            <w:left w:w="108" w:type="dxa"/>
            <w:bottom w:w="0" w:type="dxa"/>
            <w:right w:w="108" w:type="dxa"/>
          </w:tblCellMar>
        </w:tblPrEx>
        <w:trPr>
          <w:trHeight w:val="324" w:hRule="atLeast"/>
        </w:trPr>
        <w:tc>
          <w:tcPr>
            <w:tcW w:w="2833" w:type="dxa"/>
            <w:tcBorders>
              <w:left w:val="single" w:color="000000" w:sz="4" w:space="0"/>
              <w:bottom w:val="single" w:color="000000" w:sz="4" w:space="0"/>
            </w:tcBorders>
          </w:tcPr>
          <w:p w14:paraId="58B9929B">
            <w:pPr>
              <w:pStyle w:val="167"/>
              <w:widowControl w:val="0"/>
              <w:jc w:val="both"/>
              <w:rPr>
                <w:color w:val="000000"/>
              </w:rPr>
            </w:pPr>
            <w:r>
              <w:rPr>
                <w:color w:val="000000"/>
              </w:rPr>
              <w:t>Fonte de Recursos</w:t>
            </w:r>
          </w:p>
        </w:tc>
        <w:tc>
          <w:tcPr>
            <w:tcW w:w="6979" w:type="dxa"/>
            <w:tcBorders>
              <w:left w:val="single" w:color="000000" w:sz="4" w:space="0"/>
              <w:bottom w:val="single" w:color="000000" w:sz="4" w:space="0"/>
              <w:right w:val="single" w:color="000000" w:sz="4" w:space="0"/>
            </w:tcBorders>
          </w:tcPr>
          <w:p w14:paraId="623A2D6E">
            <w:pPr>
              <w:widowControl w:val="0"/>
              <w:jc w:val="both"/>
              <w:rPr>
                <w:rFonts w:ascii="Calibri" w:hAnsi="Calibri"/>
                <w:color w:val="000000"/>
                <w:sz w:val="22"/>
                <w:szCs w:val="22"/>
              </w:rPr>
            </w:pPr>
            <w:r>
              <w:rPr>
                <w:rFonts w:ascii="Calibri" w:hAnsi="Calibri"/>
                <w:color w:val="000000"/>
                <w:sz w:val="22"/>
                <w:szCs w:val="22"/>
              </w:rPr>
              <w:t>1.569.0000000 – Outras Transferências de Recursos do FNDE</w:t>
            </w:r>
          </w:p>
        </w:tc>
      </w:tr>
    </w:tbl>
    <w:p w14:paraId="7A2EA867"/>
    <w:tbl>
      <w:tblPr>
        <w:tblStyle w:val="12"/>
        <w:tblW w:w="9813" w:type="dxa"/>
        <w:tblInd w:w="90" w:type="dxa"/>
        <w:tblLayout w:type="fixed"/>
        <w:tblCellMar>
          <w:top w:w="0" w:type="dxa"/>
          <w:left w:w="108" w:type="dxa"/>
          <w:bottom w:w="0" w:type="dxa"/>
          <w:right w:w="108" w:type="dxa"/>
        </w:tblCellMar>
      </w:tblPr>
      <w:tblGrid>
        <w:gridCol w:w="2833"/>
        <w:gridCol w:w="6980"/>
      </w:tblGrid>
      <w:tr w14:paraId="63D6B4F1">
        <w:tblPrEx>
          <w:tblCellMar>
            <w:top w:w="0" w:type="dxa"/>
            <w:left w:w="108" w:type="dxa"/>
            <w:bottom w:w="0" w:type="dxa"/>
            <w:right w:w="108" w:type="dxa"/>
          </w:tblCellMar>
        </w:tblPrEx>
        <w:trPr>
          <w:trHeight w:val="225" w:hRule="atLeast"/>
        </w:trPr>
        <w:tc>
          <w:tcPr>
            <w:tcW w:w="9812" w:type="dxa"/>
            <w:gridSpan w:val="2"/>
            <w:tcBorders>
              <w:top w:val="single" w:color="000000" w:sz="4" w:space="0"/>
              <w:left w:val="single" w:color="000000" w:sz="4" w:space="0"/>
              <w:bottom w:val="single" w:color="000000" w:sz="4" w:space="0"/>
              <w:right w:val="single" w:color="000000" w:sz="4" w:space="0"/>
            </w:tcBorders>
          </w:tcPr>
          <w:p w14:paraId="6AFF6BC8">
            <w:pPr>
              <w:widowControl w:val="0"/>
              <w:jc w:val="center"/>
              <w:rPr>
                <w:rFonts w:ascii="Calibri" w:hAnsi="Calibri" w:cs="Calibri"/>
                <w:color w:val="000000"/>
                <w:sz w:val="22"/>
                <w:szCs w:val="22"/>
              </w:rPr>
            </w:pPr>
            <w:r>
              <w:rPr>
                <w:rFonts w:ascii="Calibri" w:hAnsi="Calibri" w:cs="Calibri"/>
                <w:color w:val="000000"/>
                <w:sz w:val="22"/>
                <w:szCs w:val="22"/>
              </w:rPr>
              <w:t>Classificação Orçamentária da Despesa</w:t>
            </w:r>
          </w:p>
        </w:tc>
      </w:tr>
      <w:tr w14:paraId="49B3BE4C">
        <w:tblPrEx>
          <w:tblCellMar>
            <w:top w:w="0" w:type="dxa"/>
            <w:left w:w="108" w:type="dxa"/>
            <w:bottom w:w="0" w:type="dxa"/>
            <w:right w:w="108" w:type="dxa"/>
          </w:tblCellMar>
        </w:tblPrEx>
        <w:tc>
          <w:tcPr>
            <w:tcW w:w="2833" w:type="dxa"/>
            <w:tcBorders>
              <w:left w:val="single" w:color="000000" w:sz="4" w:space="0"/>
              <w:bottom w:val="single" w:color="000000" w:sz="4" w:space="0"/>
            </w:tcBorders>
          </w:tcPr>
          <w:p w14:paraId="3EE860EF">
            <w:pPr>
              <w:widowControl w:val="0"/>
              <w:jc w:val="both"/>
              <w:rPr>
                <w:rFonts w:ascii="Calibri" w:hAnsi="Calibri"/>
                <w:color w:val="000000"/>
                <w:sz w:val="22"/>
                <w:szCs w:val="22"/>
              </w:rPr>
            </w:pPr>
            <w:r>
              <w:rPr>
                <w:rFonts w:ascii="Calibri" w:hAnsi="Calibri"/>
                <w:color w:val="000000"/>
                <w:sz w:val="22"/>
                <w:szCs w:val="22"/>
              </w:rPr>
              <w:t>Órgão</w:t>
            </w:r>
          </w:p>
        </w:tc>
        <w:tc>
          <w:tcPr>
            <w:tcW w:w="6979" w:type="dxa"/>
            <w:tcBorders>
              <w:left w:val="single" w:color="000000" w:sz="4" w:space="0"/>
              <w:bottom w:val="single" w:color="000000" w:sz="4" w:space="0"/>
              <w:right w:val="single" w:color="000000" w:sz="4" w:space="0"/>
            </w:tcBorders>
          </w:tcPr>
          <w:p w14:paraId="73DB936D">
            <w:pPr>
              <w:widowControl w:val="0"/>
              <w:jc w:val="both"/>
              <w:rPr>
                <w:rFonts w:ascii="Calibri" w:hAnsi="Calibri"/>
                <w:color w:val="000000"/>
                <w:sz w:val="22"/>
                <w:szCs w:val="22"/>
              </w:rPr>
            </w:pPr>
            <w:r>
              <w:rPr>
                <w:rFonts w:ascii="Calibri" w:hAnsi="Calibri"/>
                <w:color w:val="000000"/>
                <w:sz w:val="22"/>
                <w:szCs w:val="22"/>
              </w:rPr>
              <w:t>02 - Prefeitura Municipal de Rondonópolis</w:t>
            </w:r>
          </w:p>
        </w:tc>
      </w:tr>
      <w:tr w14:paraId="1B63C18D">
        <w:tblPrEx>
          <w:tblCellMar>
            <w:top w:w="0" w:type="dxa"/>
            <w:left w:w="108" w:type="dxa"/>
            <w:bottom w:w="0" w:type="dxa"/>
            <w:right w:w="108" w:type="dxa"/>
          </w:tblCellMar>
        </w:tblPrEx>
        <w:tc>
          <w:tcPr>
            <w:tcW w:w="2833" w:type="dxa"/>
            <w:tcBorders>
              <w:left w:val="single" w:color="000000" w:sz="4" w:space="0"/>
              <w:bottom w:val="single" w:color="000000" w:sz="4" w:space="0"/>
            </w:tcBorders>
          </w:tcPr>
          <w:p w14:paraId="0F9853A3">
            <w:pPr>
              <w:widowControl w:val="0"/>
              <w:jc w:val="both"/>
              <w:rPr>
                <w:rFonts w:ascii="Calibri" w:hAnsi="Calibri"/>
                <w:color w:val="000000"/>
                <w:sz w:val="22"/>
                <w:szCs w:val="22"/>
              </w:rPr>
            </w:pPr>
            <w:r>
              <w:rPr>
                <w:rFonts w:ascii="Calibri" w:hAnsi="Calibri"/>
                <w:color w:val="000000"/>
                <w:sz w:val="22"/>
                <w:szCs w:val="22"/>
              </w:rPr>
              <w:t>Unidade</w:t>
            </w:r>
          </w:p>
        </w:tc>
        <w:tc>
          <w:tcPr>
            <w:tcW w:w="6979" w:type="dxa"/>
            <w:tcBorders>
              <w:left w:val="single" w:color="000000" w:sz="4" w:space="0"/>
              <w:bottom w:val="single" w:color="000000" w:sz="4" w:space="0"/>
              <w:right w:val="single" w:color="000000" w:sz="4" w:space="0"/>
            </w:tcBorders>
          </w:tcPr>
          <w:p w14:paraId="61CD4883">
            <w:pPr>
              <w:widowControl w:val="0"/>
              <w:jc w:val="both"/>
              <w:rPr>
                <w:rFonts w:ascii="Calibri" w:hAnsi="Calibri"/>
                <w:color w:val="000000"/>
                <w:sz w:val="22"/>
                <w:szCs w:val="22"/>
              </w:rPr>
            </w:pPr>
            <w:r>
              <w:rPr>
                <w:rFonts w:ascii="Calibri" w:hAnsi="Calibri"/>
                <w:color w:val="000000"/>
                <w:sz w:val="22"/>
                <w:szCs w:val="22"/>
              </w:rPr>
              <w:t>011 – Fundo de Manutenção e Desenvolvimento da Educação Básica</w:t>
            </w:r>
          </w:p>
        </w:tc>
      </w:tr>
      <w:tr w14:paraId="404D4E43">
        <w:tblPrEx>
          <w:tblCellMar>
            <w:top w:w="0" w:type="dxa"/>
            <w:left w:w="108" w:type="dxa"/>
            <w:bottom w:w="0" w:type="dxa"/>
            <w:right w:w="108" w:type="dxa"/>
          </w:tblCellMar>
        </w:tblPrEx>
        <w:tc>
          <w:tcPr>
            <w:tcW w:w="2833" w:type="dxa"/>
            <w:tcBorders>
              <w:left w:val="single" w:color="000000" w:sz="4" w:space="0"/>
              <w:bottom w:val="single" w:color="000000" w:sz="4" w:space="0"/>
            </w:tcBorders>
          </w:tcPr>
          <w:p w14:paraId="5D0510A4">
            <w:pPr>
              <w:pStyle w:val="167"/>
              <w:widowControl w:val="0"/>
              <w:jc w:val="both"/>
              <w:rPr>
                <w:color w:val="000000"/>
              </w:rPr>
            </w:pPr>
            <w:r>
              <w:rPr>
                <w:color w:val="000000"/>
              </w:rPr>
              <w:t>Funcional Programática</w:t>
            </w:r>
          </w:p>
        </w:tc>
        <w:tc>
          <w:tcPr>
            <w:tcW w:w="6979" w:type="dxa"/>
            <w:tcBorders>
              <w:left w:val="single" w:color="000000" w:sz="4" w:space="0"/>
              <w:bottom w:val="single" w:color="000000" w:sz="4" w:space="0"/>
              <w:right w:val="single" w:color="000000" w:sz="4" w:space="0"/>
            </w:tcBorders>
          </w:tcPr>
          <w:p w14:paraId="265C5C4A">
            <w:pPr>
              <w:pStyle w:val="167"/>
              <w:widowControl w:val="0"/>
              <w:snapToGrid w:val="0"/>
              <w:jc w:val="both"/>
              <w:rPr>
                <w:color w:val="000000"/>
              </w:rPr>
            </w:pPr>
            <w:r>
              <w:rPr>
                <w:color w:val="000000"/>
              </w:rPr>
              <w:t>12.306.2209.2062 – Alimentação do Ensino Fundamental</w:t>
            </w:r>
          </w:p>
        </w:tc>
      </w:tr>
      <w:tr w14:paraId="24131C15">
        <w:tblPrEx>
          <w:tblCellMar>
            <w:top w:w="0" w:type="dxa"/>
            <w:left w:w="108" w:type="dxa"/>
            <w:bottom w:w="0" w:type="dxa"/>
            <w:right w:w="108" w:type="dxa"/>
          </w:tblCellMar>
        </w:tblPrEx>
        <w:tc>
          <w:tcPr>
            <w:tcW w:w="2833" w:type="dxa"/>
            <w:tcBorders>
              <w:left w:val="single" w:color="000000" w:sz="4" w:space="0"/>
              <w:bottom w:val="single" w:color="000000" w:sz="4" w:space="0"/>
            </w:tcBorders>
          </w:tcPr>
          <w:p w14:paraId="70C02FD6">
            <w:pPr>
              <w:pStyle w:val="167"/>
              <w:widowControl w:val="0"/>
              <w:jc w:val="both"/>
              <w:rPr>
                <w:color w:val="000000"/>
              </w:rPr>
            </w:pPr>
            <w:r>
              <w:rPr>
                <w:color w:val="000000"/>
              </w:rPr>
              <w:t>Elemento de Despesa</w:t>
            </w:r>
          </w:p>
        </w:tc>
        <w:tc>
          <w:tcPr>
            <w:tcW w:w="6979" w:type="dxa"/>
            <w:tcBorders>
              <w:left w:val="single" w:color="000000" w:sz="4" w:space="0"/>
              <w:bottom w:val="single" w:color="000000" w:sz="4" w:space="0"/>
              <w:right w:val="single" w:color="000000" w:sz="4" w:space="0"/>
            </w:tcBorders>
          </w:tcPr>
          <w:p w14:paraId="17F81A3C">
            <w:pPr>
              <w:pStyle w:val="167"/>
              <w:widowControl w:val="0"/>
              <w:snapToGrid w:val="0"/>
              <w:jc w:val="both"/>
              <w:rPr>
                <w:color w:val="000000"/>
              </w:rPr>
            </w:pPr>
            <w:r>
              <w:rPr>
                <w:color w:val="000000"/>
              </w:rPr>
              <w:t>3.3.90.30 – Material de Consumo</w:t>
            </w:r>
          </w:p>
        </w:tc>
      </w:tr>
      <w:tr w14:paraId="1C2F8881">
        <w:tblPrEx>
          <w:tblCellMar>
            <w:top w:w="0" w:type="dxa"/>
            <w:left w:w="108" w:type="dxa"/>
            <w:bottom w:w="0" w:type="dxa"/>
            <w:right w:w="108" w:type="dxa"/>
          </w:tblCellMar>
        </w:tblPrEx>
        <w:tc>
          <w:tcPr>
            <w:tcW w:w="2833" w:type="dxa"/>
            <w:tcBorders>
              <w:left w:val="single" w:color="000000" w:sz="4" w:space="0"/>
              <w:bottom w:val="single" w:color="000000" w:sz="4" w:space="0"/>
            </w:tcBorders>
          </w:tcPr>
          <w:p w14:paraId="0C291285">
            <w:pPr>
              <w:pStyle w:val="167"/>
              <w:widowControl w:val="0"/>
              <w:jc w:val="both"/>
              <w:rPr>
                <w:color w:val="000000"/>
              </w:rPr>
            </w:pPr>
            <w:r>
              <w:rPr>
                <w:color w:val="000000"/>
              </w:rPr>
              <w:t>Reduzido</w:t>
            </w:r>
          </w:p>
        </w:tc>
        <w:tc>
          <w:tcPr>
            <w:tcW w:w="6979" w:type="dxa"/>
            <w:tcBorders>
              <w:left w:val="single" w:color="000000" w:sz="4" w:space="0"/>
              <w:bottom w:val="single" w:color="000000" w:sz="4" w:space="0"/>
              <w:right w:val="single" w:color="000000" w:sz="4" w:space="0"/>
            </w:tcBorders>
          </w:tcPr>
          <w:p w14:paraId="1EB83755">
            <w:pPr>
              <w:pStyle w:val="167"/>
              <w:widowControl w:val="0"/>
              <w:snapToGrid w:val="0"/>
              <w:jc w:val="both"/>
              <w:rPr>
                <w:color w:val="000000"/>
                <w:lang w:eastAsia="pt-BR"/>
              </w:rPr>
            </w:pPr>
            <w:r>
              <w:rPr>
                <w:color w:val="000000"/>
                <w:lang w:eastAsia="pt-BR"/>
              </w:rPr>
              <w:t>293</w:t>
            </w:r>
          </w:p>
        </w:tc>
      </w:tr>
      <w:tr w14:paraId="31F04B41">
        <w:tblPrEx>
          <w:tblCellMar>
            <w:top w:w="0" w:type="dxa"/>
            <w:left w:w="108" w:type="dxa"/>
            <w:bottom w:w="0" w:type="dxa"/>
            <w:right w:w="108" w:type="dxa"/>
          </w:tblCellMar>
        </w:tblPrEx>
        <w:tc>
          <w:tcPr>
            <w:tcW w:w="2833" w:type="dxa"/>
            <w:tcBorders>
              <w:left w:val="single" w:color="000000" w:sz="4" w:space="0"/>
              <w:bottom w:val="single" w:color="000000" w:sz="4" w:space="0"/>
            </w:tcBorders>
          </w:tcPr>
          <w:p w14:paraId="6694816C">
            <w:pPr>
              <w:widowControl w:val="0"/>
              <w:jc w:val="both"/>
            </w:pPr>
            <w:r>
              <w:rPr>
                <w:rFonts w:ascii="Calibri" w:hAnsi="Calibri" w:cs="Calibri"/>
                <w:color w:val="000000"/>
                <w:sz w:val="22"/>
                <w:szCs w:val="22"/>
              </w:rPr>
              <w:t xml:space="preserve">Previsão </w:t>
            </w:r>
            <w:r>
              <w:rPr>
                <w:rFonts w:ascii="Calibri" w:hAnsi="Calibri" w:eastAsia="Times New Romin" w:cs="Calibri"/>
                <w:color w:val="000000"/>
                <w:sz w:val="22"/>
                <w:szCs w:val="22"/>
              </w:rPr>
              <w:t>da</w:t>
            </w:r>
            <w:r>
              <w:rPr>
                <w:rFonts w:ascii="Calibri" w:hAnsi="Calibri" w:cs="Calibri"/>
                <w:color w:val="000000"/>
                <w:sz w:val="22"/>
                <w:szCs w:val="22"/>
              </w:rPr>
              <w:t xml:space="preserve"> despesa</w:t>
            </w:r>
          </w:p>
        </w:tc>
        <w:tc>
          <w:tcPr>
            <w:tcW w:w="6979" w:type="dxa"/>
            <w:tcBorders>
              <w:left w:val="single" w:color="000000" w:sz="4" w:space="0"/>
              <w:bottom w:val="single" w:color="000000" w:sz="4" w:space="0"/>
              <w:right w:val="single" w:color="000000" w:sz="4" w:space="0"/>
            </w:tcBorders>
          </w:tcPr>
          <w:p w14:paraId="6A35EDCA">
            <w:pPr>
              <w:widowControl w:val="0"/>
              <w:ind w:right="-57"/>
              <w:jc w:val="both"/>
              <w:rPr>
                <w:rFonts w:ascii="Calibri" w:hAnsi="Calibri"/>
                <w:color w:val="000000"/>
                <w:sz w:val="22"/>
                <w:szCs w:val="22"/>
              </w:rPr>
            </w:pPr>
            <w:r>
              <w:rPr>
                <w:rFonts w:ascii="Calibri" w:hAnsi="Calibri"/>
                <w:color w:val="000000"/>
                <w:sz w:val="22"/>
                <w:szCs w:val="22"/>
              </w:rPr>
              <w:t>R$</w:t>
            </w:r>
          </w:p>
        </w:tc>
      </w:tr>
      <w:tr w14:paraId="447D7037">
        <w:tblPrEx>
          <w:tblCellMar>
            <w:top w:w="0" w:type="dxa"/>
            <w:left w:w="108" w:type="dxa"/>
            <w:bottom w:w="0" w:type="dxa"/>
            <w:right w:w="108" w:type="dxa"/>
          </w:tblCellMar>
        </w:tblPrEx>
        <w:trPr>
          <w:trHeight w:val="324" w:hRule="atLeast"/>
        </w:trPr>
        <w:tc>
          <w:tcPr>
            <w:tcW w:w="2833" w:type="dxa"/>
            <w:tcBorders>
              <w:left w:val="single" w:color="000000" w:sz="4" w:space="0"/>
              <w:bottom w:val="single" w:color="000000" w:sz="4" w:space="0"/>
            </w:tcBorders>
          </w:tcPr>
          <w:p w14:paraId="6A83D387">
            <w:pPr>
              <w:pStyle w:val="167"/>
              <w:widowControl w:val="0"/>
              <w:jc w:val="both"/>
              <w:rPr>
                <w:color w:val="000000"/>
              </w:rPr>
            </w:pPr>
            <w:r>
              <w:rPr>
                <w:color w:val="000000"/>
              </w:rPr>
              <w:t>Fonte de Recursos</w:t>
            </w:r>
          </w:p>
        </w:tc>
        <w:tc>
          <w:tcPr>
            <w:tcW w:w="6979" w:type="dxa"/>
            <w:tcBorders>
              <w:left w:val="single" w:color="000000" w:sz="4" w:space="0"/>
              <w:bottom w:val="single" w:color="000000" w:sz="4" w:space="0"/>
              <w:right w:val="single" w:color="000000" w:sz="4" w:space="0"/>
            </w:tcBorders>
          </w:tcPr>
          <w:p w14:paraId="5E56D6DB">
            <w:pPr>
              <w:widowControl w:val="0"/>
              <w:jc w:val="both"/>
              <w:rPr>
                <w:rFonts w:ascii="Calibri" w:hAnsi="Calibri"/>
                <w:color w:val="000000"/>
                <w:sz w:val="22"/>
                <w:szCs w:val="22"/>
              </w:rPr>
            </w:pPr>
            <w:r>
              <w:rPr>
                <w:rFonts w:ascii="Calibri" w:hAnsi="Calibri"/>
                <w:color w:val="000000"/>
                <w:sz w:val="22"/>
                <w:szCs w:val="22"/>
              </w:rPr>
              <w:t>1.500.0000000 – Recursos não Vinculados de Impostos</w:t>
            </w:r>
          </w:p>
        </w:tc>
      </w:tr>
    </w:tbl>
    <w:p w14:paraId="1B46D3F6"/>
    <w:tbl>
      <w:tblPr>
        <w:tblStyle w:val="12"/>
        <w:tblW w:w="9863" w:type="dxa"/>
        <w:tblInd w:w="79" w:type="dxa"/>
        <w:tblLayout w:type="fixed"/>
        <w:tblCellMar>
          <w:top w:w="0" w:type="dxa"/>
          <w:left w:w="108" w:type="dxa"/>
          <w:bottom w:w="0" w:type="dxa"/>
          <w:right w:w="108" w:type="dxa"/>
        </w:tblCellMar>
      </w:tblPr>
      <w:tblGrid>
        <w:gridCol w:w="2863"/>
        <w:gridCol w:w="7000"/>
      </w:tblGrid>
      <w:tr w14:paraId="7A2A7D0A">
        <w:tblPrEx>
          <w:tblCellMar>
            <w:top w:w="0" w:type="dxa"/>
            <w:left w:w="108" w:type="dxa"/>
            <w:bottom w:w="0" w:type="dxa"/>
            <w:right w:w="108" w:type="dxa"/>
          </w:tblCellMar>
        </w:tblPrEx>
        <w:trPr>
          <w:trHeight w:val="225" w:hRule="atLeast"/>
        </w:trPr>
        <w:tc>
          <w:tcPr>
            <w:tcW w:w="9862" w:type="dxa"/>
            <w:gridSpan w:val="2"/>
            <w:tcBorders>
              <w:top w:val="single" w:color="000000" w:sz="4" w:space="0"/>
              <w:left w:val="single" w:color="000000" w:sz="4" w:space="0"/>
              <w:bottom w:val="single" w:color="000000" w:sz="4" w:space="0"/>
              <w:right w:val="single" w:color="000000" w:sz="4" w:space="0"/>
            </w:tcBorders>
          </w:tcPr>
          <w:p w14:paraId="073E4004">
            <w:pPr>
              <w:widowControl w:val="0"/>
              <w:jc w:val="center"/>
              <w:rPr>
                <w:rFonts w:ascii="Calibri" w:hAnsi="Calibri" w:cs="Calibri"/>
                <w:color w:val="000000"/>
                <w:sz w:val="22"/>
                <w:szCs w:val="22"/>
              </w:rPr>
            </w:pPr>
            <w:r>
              <w:rPr>
                <w:rFonts w:ascii="Calibri" w:hAnsi="Calibri" w:cs="Calibri"/>
                <w:color w:val="000000"/>
                <w:sz w:val="22"/>
                <w:szCs w:val="22"/>
              </w:rPr>
              <w:t>Classificação Orçamentária da Despesa</w:t>
            </w:r>
          </w:p>
        </w:tc>
      </w:tr>
      <w:tr w14:paraId="0C194102">
        <w:tblPrEx>
          <w:tblCellMar>
            <w:top w:w="0" w:type="dxa"/>
            <w:left w:w="108" w:type="dxa"/>
            <w:bottom w:w="0" w:type="dxa"/>
            <w:right w:w="108" w:type="dxa"/>
          </w:tblCellMar>
        </w:tblPrEx>
        <w:tc>
          <w:tcPr>
            <w:tcW w:w="2863" w:type="dxa"/>
            <w:tcBorders>
              <w:left w:val="single" w:color="000000" w:sz="4" w:space="0"/>
              <w:bottom w:val="single" w:color="000000" w:sz="4" w:space="0"/>
            </w:tcBorders>
          </w:tcPr>
          <w:p w14:paraId="4B0BF38D">
            <w:pPr>
              <w:widowControl w:val="0"/>
              <w:jc w:val="both"/>
              <w:rPr>
                <w:rFonts w:ascii="Calibri" w:hAnsi="Calibri"/>
                <w:color w:val="000000"/>
                <w:sz w:val="22"/>
                <w:szCs w:val="22"/>
              </w:rPr>
            </w:pPr>
            <w:r>
              <w:rPr>
                <w:rFonts w:ascii="Calibri" w:hAnsi="Calibri"/>
                <w:color w:val="000000"/>
                <w:sz w:val="22"/>
                <w:szCs w:val="22"/>
              </w:rPr>
              <w:t>Órgão</w:t>
            </w:r>
          </w:p>
        </w:tc>
        <w:tc>
          <w:tcPr>
            <w:tcW w:w="6999" w:type="dxa"/>
            <w:tcBorders>
              <w:left w:val="single" w:color="000000" w:sz="4" w:space="0"/>
              <w:bottom w:val="single" w:color="000000" w:sz="4" w:space="0"/>
              <w:right w:val="single" w:color="000000" w:sz="4" w:space="0"/>
            </w:tcBorders>
          </w:tcPr>
          <w:p w14:paraId="248B3913">
            <w:pPr>
              <w:widowControl w:val="0"/>
              <w:jc w:val="both"/>
              <w:rPr>
                <w:rFonts w:ascii="Calibri" w:hAnsi="Calibri"/>
                <w:color w:val="000000"/>
                <w:sz w:val="22"/>
                <w:szCs w:val="22"/>
              </w:rPr>
            </w:pPr>
            <w:r>
              <w:rPr>
                <w:rFonts w:ascii="Calibri" w:hAnsi="Calibri"/>
                <w:color w:val="000000"/>
                <w:sz w:val="22"/>
                <w:szCs w:val="22"/>
              </w:rPr>
              <w:t>02 - Prefeitura Municipal de Rondonópolis</w:t>
            </w:r>
          </w:p>
        </w:tc>
      </w:tr>
      <w:tr w14:paraId="2C34B97B">
        <w:tblPrEx>
          <w:tblCellMar>
            <w:top w:w="0" w:type="dxa"/>
            <w:left w:w="108" w:type="dxa"/>
            <w:bottom w:w="0" w:type="dxa"/>
            <w:right w:w="108" w:type="dxa"/>
          </w:tblCellMar>
        </w:tblPrEx>
        <w:tc>
          <w:tcPr>
            <w:tcW w:w="2863" w:type="dxa"/>
            <w:tcBorders>
              <w:left w:val="single" w:color="000000" w:sz="4" w:space="0"/>
              <w:bottom w:val="single" w:color="000000" w:sz="4" w:space="0"/>
            </w:tcBorders>
          </w:tcPr>
          <w:p w14:paraId="3FDF988F">
            <w:pPr>
              <w:widowControl w:val="0"/>
              <w:jc w:val="both"/>
              <w:rPr>
                <w:rFonts w:ascii="Calibri" w:hAnsi="Calibri"/>
                <w:color w:val="000000"/>
                <w:sz w:val="22"/>
                <w:szCs w:val="22"/>
              </w:rPr>
            </w:pPr>
            <w:r>
              <w:rPr>
                <w:rFonts w:ascii="Calibri" w:hAnsi="Calibri"/>
                <w:color w:val="000000"/>
                <w:sz w:val="22"/>
                <w:szCs w:val="22"/>
              </w:rPr>
              <w:t>Unidade</w:t>
            </w:r>
          </w:p>
        </w:tc>
        <w:tc>
          <w:tcPr>
            <w:tcW w:w="6999" w:type="dxa"/>
            <w:tcBorders>
              <w:left w:val="single" w:color="000000" w:sz="4" w:space="0"/>
              <w:bottom w:val="single" w:color="000000" w:sz="4" w:space="0"/>
              <w:right w:val="single" w:color="000000" w:sz="4" w:space="0"/>
            </w:tcBorders>
          </w:tcPr>
          <w:p w14:paraId="7FEC6D94">
            <w:pPr>
              <w:widowControl w:val="0"/>
              <w:jc w:val="both"/>
              <w:rPr>
                <w:rFonts w:ascii="Calibri" w:hAnsi="Calibri"/>
                <w:color w:val="000000"/>
                <w:sz w:val="22"/>
                <w:szCs w:val="22"/>
              </w:rPr>
            </w:pPr>
            <w:r>
              <w:rPr>
                <w:rFonts w:ascii="Calibri" w:hAnsi="Calibri"/>
                <w:color w:val="000000"/>
                <w:sz w:val="22"/>
                <w:szCs w:val="22"/>
              </w:rPr>
              <w:t>011 – Fundo de Manutenção e Desenvolvimento da Educação Básica</w:t>
            </w:r>
          </w:p>
        </w:tc>
      </w:tr>
      <w:tr w14:paraId="29ACE3FD">
        <w:tblPrEx>
          <w:tblCellMar>
            <w:top w:w="0" w:type="dxa"/>
            <w:left w:w="108" w:type="dxa"/>
            <w:bottom w:w="0" w:type="dxa"/>
            <w:right w:w="108" w:type="dxa"/>
          </w:tblCellMar>
        </w:tblPrEx>
        <w:tc>
          <w:tcPr>
            <w:tcW w:w="2863" w:type="dxa"/>
            <w:tcBorders>
              <w:left w:val="single" w:color="000000" w:sz="4" w:space="0"/>
              <w:bottom w:val="single" w:color="000000" w:sz="4" w:space="0"/>
            </w:tcBorders>
          </w:tcPr>
          <w:p w14:paraId="7DBC811E">
            <w:pPr>
              <w:pStyle w:val="167"/>
              <w:widowControl w:val="0"/>
              <w:jc w:val="both"/>
              <w:rPr>
                <w:color w:val="000000"/>
              </w:rPr>
            </w:pPr>
            <w:r>
              <w:rPr>
                <w:color w:val="000000"/>
              </w:rPr>
              <w:t>Funcional Programática</w:t>
            </w:r>
          </w:p>
        </w:tc>
        <w:tc>
          <w:tcPr>
            <w:tcW w:w="6999" w:type="dxa"/>
            <w:tcBorders>
              <w:left w:val="single" w:color="000000" w:sz="4" w:space="0"/>
              <w:bottom w:val="single" w:color="000000" w:sz="4" w:space="0"/>
              <w:right w:val="single" w:color="000000" w:sz="4" w:space="0"/>
            </w:tcBorders>
          </w:tcPr>
          <w:p w14:paraId="43B24925">
            <w:pPr>
              <w:pStyle w:val="167"/>
              <w:widowControl w:val="0"/>
              <w:snapToGrid w:val="0"/>
              <w:jc w:val="both"/>
              <w:rPr>
                <w:color w:val="000000"/>
              </w:rPr>
            </w:pPr>
            <w:r>
              <w:rPr>
                <w:color w:val="000000"/>
              </w:rPr>
              <w:t>12.306.2209.2062 – Alimentação do Ensino Fundamental</w:t>
            </w:r>
          </w:p>
        </w:tc>
      </w:tr>
      <w:tr w14:paraId="21E3BDFA">
        <w:tblPrEx>
          <w:tblCellMar>
            <w:top w:w="0" w:type="dxa"/>
            <w:left w:w="108" w:type="dxa"/>
            <w:bottom w:w="0" w:type="dxa"/>
            <w:right w:w="108" w:type="dxa"/>
          </w:tblCellMar>
        </w:tblPrEx>
        <w:tc>
          <w:tcPr>
            <w:tcW w:w="2863" w:type="dxa"/>
            <w:tcBorders>
              <w:left w:val="single" w:color="000000" w:sz="4" w:space="0"/>
              <w:bottom w:val="single" w:color="000000" w:sz="4" w:space="0"/>
            </w:tcBorders>
          </w:tcPr>
          <w:p w14:paraId="68B328B0">
            <w:pPr>
              <w:pStyle w:val="167"/>
              <w:widowControl w:val="0"/>
              <w:jc w:val="both"/>
              <w:rPr>
                <w:color w:val="000000"/>
              </w:rPr>
            </w:pPr>
            <w:r>
              <w:rPr>
                <w:color w:val="000000"/>
              </w:rPr>
              <w:t>Elemento de Despesa</w:t>
            </w:r>
          </w:p>
        </w:tc>
        <w:tc>
          <w:tcPr>
            <w:tcW w:w="6999" w:type="dxa"/>
            <w:tcBorders>
              <w:left w:val="single" w:color="000000" w:sz="4" w:space="0"/>
              <w:bottom w:val="single" w:color="000000" w:sz="4" w:space="0"/>
              <w:right w:val="single" w:color="000000" w:sz="4" w:space="0"/>
            </w:tcBorders>
          </w:tcPr>
          <w:p w14:paraId="3C2CE897">
            <w:pPr>
              <w:pStyle w:val="167"/>
              <w:widowControl w:val="0"/>
              <w:snapToGrid w:val="0"/>
              <w:jc w:val="both"/>
              <w:rPr>
                <w:color w:val="000000"/>
              </w:rPr>
            </w:pPr>
            <w:r>
              <w:rPr>
                <w:color w:val="000000"/>
              </w:rPr>
              <w:t>3.3.90.30 – Material de Consumo</w:t>
            </w:r>
          </w:p>
        </w:tc>
      </w:tr>
      <w:tr w14:paraId="70A95C4D">
        <w:tblPrEx>
          <w:tblCellMar>
            <w:top w:w="0" w:type="dxa"/>
            <w:left w:w="108" w:type="dxa"/>
            <w:bottom w:w="0" w:type="dxa"/>
            <w:right w:w="108" w:type="dxa"/>
          </w:tblCellMar>
        </w:tblPrEx>
        <w:tc>
          <w:tcPr>
            <w:tcW w:w="2863" w:type="dxa"/>
            <w:tcBorders>
              <w:left w:val="single" w:color="000000" w:sz="4" w:space="0"/>
              <w:bottom w:val="single" w:color="000000" w:sz="4" w:space="0"/>
            </w:tcBorders>
          </w:tcPr>
          <w:p w14:paraId="38FBE07C">
            <w:pPr>
              <w:pStyle w:val="167"/>
              <w:widowControl w:val="0"/>
              <w:jc w:val="both"/>
              <w:rPr>
                <w:color w:val="000000"/>
              </w:rPr>
            </w:pPr>
            <w:r>
              <w:rPr>
                <w:color w:val="000000"/>
              </w:rPr>
              <w:t>Reduzido</w:t>
            </w:r>
          </w:p>
        </w:tc>
        <w:tc>
          <w:tcPr>
            <w:tcW w:w="6999" w:type="dxa"/>
            <w:tcBorders>
              <w:left w:val="single" w:color="000000" w:sz="4" w:space="0"/>
              <w:bottom w:val="single" w:color="000000" w:sz="4" w:space="0"/>
              <w:right w:val="single" w:color="000000" w:sz="4" w:space="0"/>
            </w:tcBorders>
          </w:tcPr>
          <w:p w14:paraId="31DFC585">
            <w:pPr>
              <w:pStyle w:val="167"/>
              <w:widowControl w:val="0"/>
              <w:snapToGrid w:val="0"/>
              <w:jc w:val="both"/>
              <w:rPr>
                <w:color w:val="000000"/>
                <w:lang w:eastAsia="pt-BR"/>
              </w:rPr>
            </w:pPr>
            <w:r>
              <w:rPr>
                <w:color w:val="000000"/>
                <w:lang w:eastAsia="pt-BR"/>
              </w:rPr>
              <w:t>294</w:t>
            </w:r>
          </w:p>
        </w:tc>
      </w:tr>
      <w:tr w14:paraId="3DA061E6">
        <w:tblPrEx>
          <w:tblCellMar>
            <w:top w:w="0" w:type="dxa"/>
            <w:left w:w="108" w:type="dxa"/>
            <w:bottom w:w="0" w:type="dxa"/>
            <w:right w:w="108" w:type="dxa"/>
          </w:tblCellMar>
        </w:tblPrEx>
        <w:tc>
          <w:tcPr>
            <w:tcW w:w="2863" w:type="dxa"/>
            <w:tcBorders>
              <w:left w:val="single" w:color="000000" w:sz="4" w:space="0"/>
              <w:bottom w:val="single" w:color="000000" w:sz="4" w:space="0"/>
            </w:tcBorders>
          </w:tcPr>
          <w:p w14:paraId="2C46DFC6">
            <w:pPr>
              <w:widowControl w:val="0"/>
              <w:jc w:val="both"/>
            </w:pPr>
            <w:r>
              <w:rPr>
                <w:rFonts w:ascii="Calibri" w:hAnsi="Calibri" w:cs="Calibri"/>
                <w:color w:val="000000"/>
                <w:sz w:val="22"/>
                <w:szCs w:val="22"/>
              </w:rPr>
              <w:t xml:space="preserve">Previsão </w:t>
            </w:r>
            <w:r>
              <w:rPr>
                <w:rFonts w:ascii="Calibri" w:hAnsi="Calibri" w:eastAsia="Times New Romin" w:cs="Calibri"/>
                <w:color w:val="000000"/>
                <w:sz w:val="22"/>
                <w:szCs w:val="22"/>
              </w:rPr>
              <w:t>da</w:t>
            </w:r>
            <w:r>
              <w:rPr>
                <w:rFonts w:ascii="Calibri" w:hAnsi="Calibri" w:cs="Calibri"/>
                <w:color w:val="000000"/>
                <w:sz w:val="22"/>
                <w:szCs w:val="22"/>
              </w:rPr>
              <w:t xml:space="preserve"> despesa</w:t>
            </w:r>
          </w:p>
        </w:tc>
        <w:tc>
          <w:tcPr>
            <w:tcW w:w="6999" w:type="dxa"/>
            <w:tcBorders>
              <w:left w:val="single" w:color="000000" w:sz="4" w:space="0"/>
              <w:bottom w:val="single" w:color="000000" w:sz="4" w:space="0"/>
              <w:right w:val="single" w:color="000000" w:sz="4" w:space="0"/>
            </w:tcBorders>
          </w:tcPr>
          <w:p w14:paraId="360374B0">
            <w:pPr>
              <w:widowControl w:val="0"/>
              <w:ind w:right="-57"/>
              <w:jc w:val="both"/>
              <w:rPr>
                <w:rFonts w:ascii="Calibri" w:hAnsi="Calibri"/>
                <w:color w:val="000000"/>
                <w:sz w:val="22"/>
                <w:szCs w:val="22"/>
              </w:rPr>
            </w:pPr>
            <w:r>
              <w:rPr>
                <w:rFonts w:ascii="Calibri" w:hAnsi="Calibri"/>
                <w:color w:val="000000"/>
                <w:sz w:val="22"/>
                <w:szCs w:val="22"/>
              </w:rPr>
              <w:t>R$</w:t>
            </w:r>
          </w:p>
        </w:tc>
      </w:tr>
      <w:tr w14:paraId="27FCC3A4">
        <w:tblPrEx>
          <w:tblCellMar>
            <w:top w:w="0" w:type="dxa"/>
            <w:left w:w="108" w:type="dxa"/>
            <w:bottom w:w="0" w:type="dxa"/>
            <w:right w:w="108" w:type="dxa"/>
          </w:tblCellMar>
        </w:tblPrEx>
        <w:trPr>
          <w:trHeight w:val="324" w:hRule="atLeast"/>
        </w:trPr>
        <w:tc>
          <w:tcPr>
            <w:tcW w:w="2863" w:type="dxa"/>
            <w:tcBorders>
              <w:left w:val="single" w:color="000000" w:sz="4" w:space="0"/>
              <w:bottom w:val="single" w:color="000000" w:sz="4" w:space="0"/>
            </w:tcBorders>
          </w:tcPr>
          <w:p w14:paraId="4CD885DA">
            <w:pPr>
              <w:pStyle w:val="167"/>
              <w:widowControl w:val="0"/>
              <w:jc w:val="both"/>
              <w:rPr>
                <w:color w:val="000000"/>
              </w:rPr>
            </w:pPr>
            <w:r>
              <w:rPr>
                <w:color w:val="000000"/>
              </w:rPr>
              <w:t>Fonte de Recursos</w:t>
            </w:r>
          </w:p>
        </w:tc>
        <w:tc>
          <w:tcPr>
            <w:tcW w:w="6999" w:type="dxa"/>
            <w:tcBorders>
              <w:left w:val="single" w:color="000000" w:sz="4" w:space="0"/>
              <w:bottom w:val="single" w:color="000000" w:sz="4" w:space="0"/>
              <w:right w:val="single" w:color="000000" w:sz="4" w:space="0"/>
            </w:tcBorders>
          </w:tcPr>
          <w:p w14:paraId="2993D91C">
            <w:pPr>
              <w:widowControl w:val="0"/>
              <w:jc w:val="both"/>
              <w:rPr>
                <w:rFonts w:ascii="Calibri" w:hAnsi="Calibri"/>
                <w:color w:val="000000"/>
                <w:sz w:val="22"/>
                <w:szCs w:val="22"/>
              </w:rPr>
            </w:pPr>
            <w:r>
              <w:rPr>
                <w:rFonts w:ascii="Calibri" w:hAnsi="Calibri"/>
                <w:color w:val="000000"/>
                <w:sz w:val="22"/>
                <w:szCs w:val="22"/>
              </w:rPr>
              <w:t>1.552.0000000 – Transferências de Recursos do FNDE referentes ao Programa Nacional de Alimentação Escolar(PNAE)</w:t>
            </w:r>
          </w:p>
        </w:tc>
      </w:tr>
    </w:tbl>
    <w:p w14:paraId="26EA3476">
      <w:pPr>
        <w:rPr>
          <w:sz w:val="4"/>
          <w:szCs w:val="4"/>
        </w:rPr>
      </w:pPr>
    </w:p>
    <w:tbl>
      <w:tblPr>
        <w:tblStyle w:val="12"/>
        <w:tblW w:w="9863" w:type="dxa"/>
        <w:tblInd w:w="90" w:type="dxa"/>
        <w:tblLayout w:type="fixed"/>
        <w:tblCellMar>
          <w:top w:w="0" w:type="dxa"/>
          <w:left w:w="108" w:type="dxa"/>
          <w:bottom w:w="0" w:type="dxa"/>
          <w:right w:w="108" w:type="dxa"/>
        </w:tblCellMar>
      </w:tblPr>
      <w:tblGrid>
        <w:gridCol w:w="2836"/>
        <w:gridCol w:w="7027"/>
      </w:tblGrid>
      <w:tr w14:paraId="3A86292D">
        <w:tblPrEx>
          <w:tblCellMar>
            <w:top w:w="0" w:type="dxa"/>
            <w:left w:w="108" w:type="dxa"/>
            <w:bottom w:w="0" w:type="dxa"/>
            <w:right w:w="108" w:type="dxa"/>
          </w:tblCellMar>
        </w:tblPrEx>
        <w:trPr>
          <w:trHeight w:val="225" w:hRule="atLeast"/>
        </w:trPr>
        <w:tc>
          <w:tcPr>
            <w:tcW w:w="9862" w:type="dxa"/>
            <w:gridSpan w:val="2"/>
            <w:tcBorders>
              <w:top w:val="single" w:color="000000" w:sz="4" w:space="0"/>
              <w:left w:val="single" w:color="000000" w:sz="4" w:space="0"/>
              <w:bottom w:val="single" w:color="000000" w:sz="4" w:space="0"/>
              <w:right w:val="single" w:color="000000" w:sz="4" w:space="0"/>
            </w:tcBorders>
          </w:tcPr>
          <w:p w14:paraId="01EB4A18">
            <w:pPr>
              <w:widowControl w:val="0"/>
              <w:jc w:val="center"/>
              <w:rPr>
                <w:rFonts w:ascii="Calibri" w:hAnsi="Calibri" w:cs="Calibri"/>
                <w:color w:val="000000"/>
                <w:sz w:val="22"/>
                <w:szCs w:val="22"/>
              </w:rPr>
            </w:pPr>
            <w:r>
              <w:rPr>
                <w:rFonts w:ascii="Calibri" w:hAnsi="Calibri" w:cs="Calibri"/>
                <w:color w:val="000000"/>
                <w:sz w:val="22"/>
                <w:szCs w:val="22"/>
              </w:rPr>
              <w:t>Classificação Orçamentária da Despesa</w:t>
            </w:r>
          </w:p>
        </w:tc>
      </w:tr>
      <w:tr w14:paraId="6092AD49">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47E66E81">
            <w:pPr>
              <w:widowControl w:val="0"/>
              <w:jc w:val="both"/>
              <w:rPr>
                <w:rFonts w:ascii="Calibri" w:hAnsi="Calibri"/>
                <w:color w:val="000000"/>
                <w:sz w:val="22"/>
                <w:szCs w:val="22"/>
              </w:rPr>
            </w:pPr>
            <w:r>
              <w:rPr>
                <w:rFonts w:ascii="Calibri" w:hAnsi="Calibri"/>
                <w:color w:val="000000"/>
                <w:sz w:val="22"/>
                <w:szCs w:val="22"/>
              </w:rPr>
              <w:t>Órgão</w:t>
            </w:r>
          </w:p>
        </w:tc>
        <w:tc>
          <w:tcPr>
            <w:tcW w:w="7026" w:type="dxa"/>
            <w:tcBorders>
              <w:left w:val="single" w:color="000000" w:sz="4" w:space="0"/>
              <w:bottom w:val="single" w:color="000000" w:sz="4" w:space="0"/>
              <w:right w:val="single" w:color="000000" w:sz="4" w:space="0"/>
            </w:tcBorders>
          </w:tcPr>
          <w:p w14:paraId="6E2A1C75">
            <w:pPr>
              <w:widowControl w:val="0"/>
              <w:jc w:val="both"/>
              <w:rPr>
                <w:rFonts w:ascii="Calibri" w:hAnsi="Calibri"/>
                <w:color w:val="000000"/>
                <w:sz w:val="22"/>
                <w:szCs w:val="22"/>
              </w:rPr>
            </w:pPr>
            <w:r>
              <w:rPr>
                <w:rFonts w:ascii="Calibri" w:hAnsi="Calibri"/>
                <w:color w:val="000000"/>
                <w:sz w:val="22"/>
                <w:szCs w:val="22"/>
              </w:rPr>
              <w:t>02 - Prefeitura Municipal de Rondonópolis</w:t>
            </w:r>
          </w:p>
        </w:tc>
      </w:tr>
      <w:tr w14:paraId="7CE42735">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760EC23A">
            <w:pPr>
              <w:widowControl w:val="0"/>
              <w:jc w:val="both"/>
              <w:rPr>
                <w:rFonts w:ascii="Calibri" w:hAnsi="Calibri"/>
                <w:color w:val="000000"/>
                <w:sz w:val="22"/>
                <w:szCs w:val="22"/>
              </w:rPr>
            </w:pPr>
            <w:r>
              <w:rPr>
                <w:rFonts w:ascii="Calibri" w:hAnsi="Calibri"/>
                <w:color w:val="000000"/>
                <w:sz w:val="22"/>
                <w:szCs w:val="22"/>
              </w:rPr>
              <w:t>Unidade</w:t>
            </w:r>
          </w:p>
        </w:tc>
        <w:tc>
          <w:tcPr>
            <w:tcW w:w="7026" w:type="dxa"/>
            <w:tcBorders>
              <w:left w:val="single" w:color="000000" w:sz="4" w:space="0"/>
              <w:bottom w:val="single" w:color="000000" w:sz="4" w:space="0"/>
              <w:right w:val="single" w:color="000000" w:sz="4" w:space="0"/>
            </w:tcBorders>
          </w:tcPr>
          <w:p w14:paraId="2F3E1CD0">
            <w:pPr>
              <w:widowControl w:val="0"/>
              <w:jc w:val="both"/>
              <w:rPr>
                <w:rFonts w:ascii="Calibri" w:hAnsi="Calibri"/>
                <w:color w:val="000000"/>
                <w:sz w:val="22"/>
                <w:szCs w:val="22"/>
              </w:rPr>
            </w:pPr>
            <w:r>
              <w:rPr>
                <w:rFonts w:ascii="Calibri" w:hAnsi="Calibri"/>
                <w:color w:val="000000"/>
                <w:sz w:val="22"/>
                <w:szCs w:val="22"/>
              </w:rPr>
              <w:t>011 – Fundo de Manutenção e Desenvolvimento da  Educação Básica</w:t>
            </w:r>
          </w:p>
        </w:tc>
      </w:tr>
      <w:tr w14:paraId="589ACEC7">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57C11FAD">
            <w:pPr>
              <w:pStyle w:val="167"/>
              <w:widowControl w:val="0"/>
              <w:jc w:val="both"/>
              <w:rPr>
                <w:color w:val="000000"/>
              </w:rPr>
            </w:pPr>
            <w:r>
              <w:rPr>
                <w:color w:val="000000"/>
              </w:rPr>
              <w:t>Funcional Programática</w:t>
            </w:r>
          </w:p>
        </w:tc>
        <w:tc>
          <w:tcPr>
            <w:tcW w:w="7026" w:type="dxa"/>
            <w:tcBorders>
              <w:left w:val="single" w:color="000000" w:sz="4" w:space="0"/>
              <w:bottom w:val="single" w:color="000000" w:sz="4" w:space="0"/>
              <w:right w:val="single" w:color="000000" w:sz="4" w:space="0"/>
            </w:tcBorders>
          </w:tcPr>
          <w:p w14:paraId="26E920C4">
            <w:pPr>
              <w:pStyle w:val="167"/>
              <w:widowControl w:val="0"/>
              <w:snapToGrid w:val="0"/>
              <w:jc w:val="both"/>
              <w:rPr>
                <w:color w:val="000000"/>
              </w:rPr>
            </w:pPr>
            <w:r>
              <w:rPr>
                <w:color w:val="000000"/>
              </w:rPr>
              <w:t>12.306.2210.2052 – Alimentação da Educação Infantil</w:t>
            </w:r>
          </w:p>
        </w:tc>
      </w:tr>
      <w:tr w14:paraId="2EFE250A">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45FB7E63">
            <w:pPr>
              <w:pStyle w:val="167"/>
              <w:widowControl w:val="0"/>
              <w:jc w:val="both"/>
              <w:rPr>
                <w:color w:val="000000"/>
              </w:rPr>
            </w:pPr>
            <w:r>
              <w:rPr>
                <w:color w:val="000000"/>
              </w:rPr>
              <w:t>Elemento de Despesa</w:t>
            </w:r>
          </w:p>
        </w:tc>
        <w:tc>
          <w:tcPr>
            <w:tcW w:w="7026" w:type="dxa"/>
            <w:tcBorders>
              <w:left w:val="single" w:color="000000" w:sz="4" w:space="0"/>
              <w:bottom w:val="single" w:color="000000" w:sz="4" w:space="0"/>
              <w:right w:val="single" w:color="000000" w:sz="4" w:space="0"/>
            </w:tcBorders>
          </w:tcPr>
          <w:p w14:paraId="5C2C6A7D">
            <w:pPr>
              <w:pStyle w:val="167"/>
              <w:widowControl w:val="0"/>
              <w:snapToGrid w:val="0"/>
              <w:jc w:val="both"/>
              <w:rPr>
                <w:color w:val="000000"/>
              </w:rPr>
            </w:pPr>
            <w:r>
              <w:rPr>
                <w:color w:val="000000"/>
              </w:rPr>
              <w:t>3.3.90.30 – Material de Consumo</w:t>
            </w:r>
          </w:p>
        </w:tc>
      </w:tr>
      <w:tr w14:paraId="4BE75529">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66DFAC20">
            <w:pPr>
              <w:pStyle w:val="167"/>
              <w:widowControl w:val="0"/>
              <w:jc w:val="both"/>
              <w:rPr>
                <w:color w:val="000000"/>
              </w:rPr>
            </w:pPr>
            <w:r>
              <w:rPr>
                <w:color w:val="000000"/>
              </w:rPr>
              <w:t>Reduzido</w:t>
            </w:r>
          </w:p>
        </w:tc>
        <w:tc>
          <w:tcPr>
            <w:tcW w:w="7026" w:type="dxa"/>
            <w:tcBorders>
              <w:left w:val="single" w:color="000000" w:sz="4" w:space="0"/>
              <w:bottom w:val="single" w:color="000000" w:sz="4" w:space="0"/>
              <w:right w:val="single" w:color="000000" w:sz="4" w:space="0"/>
            </w:tcBorders>
          </w:tcPr>
          <w:p w14:paraId="2DDB2A02">
            <w:pPr>
              <w:pStyle w:val="167"/>
              <w:widowControl w:val="0"/>
              <w:snapToGrid w:val="0"/>
              <w:jc w:val="both"/>
              <w:rPr>
                <w:color w:val="000000"/>
                <w:lang w:eastAsia="pt-BR"/>
              </w:rPr>
            </w:pPr>
            <w:r>
              <w:rPr>
                <w:color w:val="000000"/>
                <w:lang w:eastAsia="pt-BR"/>
              </w:rPr>
              <w:t>289</w:t>
            </w:r>
          </w:p>
        </w:tc>
      </w:tr>
      <w:tr w14:paraId="40B169EA">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04BAD5D9">
            <w:pPr>
              <w:widowControl w:val="0"/>
              <w:jc w:val="both"/>
            </w:pPr>
            <w:r>
              <w:rPr>
                <w:rFonts w:ascii="Calibri" w:hAnsi="Calibri" w:cs="Calibri"/>
                <w:color w:val="000000"/>
                <w:sz w:val="22"/>
                <w:szCs w:val="22"/>
              </w:rPr>
              <w:t xml:space="preserve">Previsão </w:t>
            </w:r>
            <w:r>
              <w:rPr>
                <w:rFonts w:ascii="Calibri" w:hAnsi="Calibri" w:eastAsia="Times New Romin" w:cs="Calibri"/>
                <w:color w:val="000000"/>
                <w:sz w:val="22"/>
                <w:szCs w:val="22"/>
              </w:rPr>
              <w:t>da</w:t>
            </w:r>
            <w:r>
              <w:rPr>
                <w:rFonts w:ascii="Calibri" w:hAnsi="Calibri" w:cs="Calibri"/>
                <w:color w:val="000000"/>
                <w:sz w:val="22"/>
                <w:szCs w:val="22"/>
              </w:rPr>
              <w:t xml:space="preserve"> despesa</w:t>
            </w:r>
          </w:p>
        </w:tc>
        <w:tc>
          <w:tcPr>
            <w:tcW w:w="7026" w:type="dxa"/>
            <w:tcBorders>
              <w:left w:val="single" w:color="000000" w:sz="4" w:space="0"/>
              <w:bottom w:val="single" w:color="000000" w:sz="4" w:space="0"/>
              <w:right w:val="single" w:color="000000" w:sz="4" w:space="0"/>
            </w:tcBorders>
          </w:tcPr>
          <w:p w14:paraId="0EAA920B">
            <w:pPr>
              <w:widowControl w:val="0"/>
              <w:ind w:right="-57"/>
              <w:jc w:val="both"/>
              <w:rPr>
                <w:rFonts w:ascii="Calibri" w:hAnsi="Calibri"/>
                <w:color w:val="000000"/>
                <w:sz w:val="22"/>
                <w:szCs w:val="22"/>
              </w:rPr>
            </w:pPr>
            <w:r>
              <w:rPr>
                <w:rFonts w:ascii="Calibri" w:hAnsi="Calibri"/>
                <w:color w:val="000000"/>
                <w:sz w:val="22"/>
                <w:szCs w:val="22"/>
              </w:rPr>
              <w:t>R$</w:t>
            </w:r>
          </w:p>
        </w:tc>
      </w:tr>
      <w:tr w14:paraId="73B8A679">
        <w:tblPrEx>
          <w:tblCellMar>
            <w:top w:w="0" w:type="dxa"/>
            <w:left w:w="108" w:type="dxa"/>
            <w:bottom w:w="0" w:type="dxa"/>
            <w:right w:w="108" w:type="dxa"/>
          </w:tblCellMar>
        </w:tblPrEx>
        <w:trPr>
          <w:trHeight w:val="324" w:hRule="atLeast"/>
        </w:trPr>
        <w:tc>
          <w:tcPr>
            <w:tcW w:w="2836" w:type="dxa"/>
            <w:tcBorders>
              <w:left w:val="single" w:color="000000" w:sz="4" w:space="0"/>
              <w:bottom w:val="single" w:color="000000" w:sz="4" w:space="0"/>
            </w:tcBorders>
          </w:tcPr>
          <w:p w14:paraId="71391F81">
            <w:pPr>
              <w:pStyle w:val="167"/>
              <w:widowControl w:val="0"/>
              <w:jc w:val="both"/>
              <w:rPr>
                <w:color w:val="000000"/>
              </w:rPr>
            </w:pPr>
            <w:r>
              <w:rPr>
                <w:color w:val="000000"/>
              </w:rPr>
              <w:t>Fonte de Recursos</w:t>
            </w:r>
          </w:p>
        </w:tc>
        <w:tc>
          <w:tcPr>
            <w:tcW w:w="7026" w:type="dxa"/>
            <w:tcBorders>
              <w:left w:val="single" w:color="000000" w:sz="4" w:space="0"/>
              <w:bottom w:val="single" w:color="000000" w:sz="4" w:space="0"/>
              <w:right w:val="single" w:color="000000" w:sz="4" w:space="0"/>
            </w:tcBorders>
          </w:tcPr>
          <w:p w14:paraId="377A8E7A">
            <w:pPr>
              <w:widowControl w:val="0"/>
              <w:jc w:val="both"/>
              <w:rPr>
                <w:rFonts w:ascii="Calibri" w:hAnsi="Calibri"/>
                <w:color w:val="000000"/>
                <w:sz w:val="22"/>
                <w:szCs w:val="22"/>
              </w:rPr>
            </w:pPr>
            <w:r>
              <w:rPr>
                <w:rFonts w:ascii="Calibri" w:hAnsi="Calibri"/>
                <w:color w:val="000000"/>
                <w:sz w:val="22"/>
                <w:szCs w:val="22"/>
              </w:rPr>
              <w:t>1.500.0000000 – Recursos não Vinculados de Impostos</w:t>
            </w:r>
          </w:p>
        </w:tc>
      </w:tr>
    </w:tbl>
    <w:p w14:paraId="0DD76D17"/>
    <w:tbl>
      <w:tblPr>
        <w:tblStyle w:val="12"/>
        <w:tblW w:w="9887" w:type="dxa"/>
        <w:tblInd w:w="52" w:type="dxa"/>
        <w:tblLayout w:type="fixed"/>
        <w:tblCellMar>
          <w:top w:w="0" w:type="dxa"/>
          <w:left w:w="108" w:type="dxa"/>
          <w:bottom w:w="0" w:type="dxa"/>
          <w:right w:w="108" w:type="dxa"/>
        </w:tblCellMar>
      </w:tblPr>
      <w:tblGrid>
        <w:gridCol w:w="2836"/>
        <w:gridCol w:w="7051"/>
      </w:tblGrid>
      <w:tr w14:paraId="141FAC4B">
        <w:tblPrEx>
          <w:tblCellMar>
            <w:top w:w="0" w:type="dxa"/>
            <w:left w:w="108" w:type="dxa"/>
            <w:bottom w:w="0" w:type="dxa"/>
            <w:right w:w="108" w:type="dxa"/>
          </w:tblCellMar>
        </w:tblPrEx>
        <w:trPr>
          <w:trHeight w:val="225" w:hRule="atLeast"/>
        </w:trPr>
        <w:tc>
          <w:tcPr>
            <w:tcW w:w="9886" w:type="dxa"/>
            <w:gridSpan w:val="2"/>
            <w:tcBorders>
              <w:top w:val="single" w:color="000000" w:sz="4" w:space="0"/>
              <w:left w:val="single" w:color="000000" w:sz="4" w:space="0"/>
              <w:bottom w:val="single" w:color="000000" w:sz="4" w:space="0"/>
              <w:right w:val="single" w:color="000000" w:sz="4" w:space="0"/>
            </w:tcBorders>
          </w:tcPr>
          <w:p w14:paraId="1C80CC05">
            <w:pPr>
              <w:widowControl w:val="0"/>
              <w:jc w:val="center"/>
              <w:rPr>
                <w:rFonts w:ascii="Calibri" w:hAnsi="Calibri" w:cs="Calibri"/>
                <w:color w:val="000000"/>
                <w:sz w:val="22"/>
                <w:szCs w:val="22"/>
              </w:rPr>
            </w:pPr>
            <w:r>
              <w:rPr>
                <w:rFonts w:ascii="Calibri" w:hAnsi="Calibri" w:cs="Calibri"/>
                <w:color w:val="000000"/>
                <w:sz w:val="22"/>
                <w:szCs w:val="22"/>
              </w:rPr>
              <w:t>Classificação Orçamentária da Despesa</w:t>
            </w:r>
          </w:p>
        </w:tc>
      </w:tr>
      <w:tr w14:paraId="7DEBDE88">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1E216FDF">
            <w:pPr>
              <w:widowControl w:val="0"/>
              <w:jc w:val="both"/>
              <w:rPr>
                <w:rFonts w:ascii="Calibri" w:hAnsi="Calibri"/>
                <w:color w:val="000000"/>
                <w:sz w:val="22"/>
                <w:szCs w:val="22"/>
              </w:rPr>
            </w:pPr>
            <w:r>
              <w:rPr>
                <w:rFonts w:ascii="Calibri" w:hAnsi="Calibri"/>
                <w:color w:val="000000"/>
                <w:sz w:val="22"/>
                <w:szCs w:val="22"/>
              </w:rPr>
              <w:t>Órgão</w:t>
            </w:r>
          </w:p>
        </w:tc>
        <w:tc>
          <w:tcPr>
            <w:tcW w:w="7050" w:type="dxa"/>
            <w:tcBorders>
              <w:left w:val="single" w:color="000000" w:sz="4" w:space="0"/>
              <w:bottom w:val="single" w:color="000000" w:sz="4" w:space="0"/>
              <w:right w:val="single" w:color="000000" w:sz="4" w:space="0"/>
            </w:tcBorders>
          </w:tcPr>
          <w:p w14:paraId="03CD8174">
            <w:pPr>
              <w:widowControl w:val="0"/>
              <w:jc w:val="both"/>
              <w:rPr>
                <w:rFonts w:ascii="Calibri" w:hAnsi="Calibri"/>
                <w:color w:val="000000"/>
                <w:sz w:val="22"/>
                <w:szCs w:val="22"/>
              </w:rPr>
            </w:pPr>
            <w:r>
              <w:rPr>
                <w:rFonts w:ascii="Calibri" w:hAnsi="Calibri"/>
                <w:color w:val="000000"/>
                <w:sz w:val="22"/>
                <w:szCs w:val="22"/>
              </w:rPr>
              <w:t>02 - Prefeitura Municipal de Rondonópolis</w:t>
            </w:r>
          </w:p>
        </w:tc>
      </w:tr>
      <w:tr w14:paraId="0DB03217">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5CC50BBA">
            <w:pPr>
              <w:widowControl w:val="0"/>
              <w:jc w:val="both"/>
              <w:rPr>
                <w:rFonts w:ascii="Calibri" w:hAnsi="Calibri"/>
                <w:color w:val="000000"/>
                <w:sz w:val="22"/>
                <w:szCs w:val="22"/>
              </w:rPr>
            </w:pPr>
            <w:r>
              <w:rPr>
                <w:rFonts w:ascii="Calibri" w:hAnsi="Calibri"/>
                <w:color w:val="000000"/>
                <w:sz w:val="22"/>
                <w:szCs w:val="22"/>
              </w:rPr>
              <w:t>Unidade</w:t>
            </w:r>
          </w:p>
        </w:tc>
        <w:tc>
          <w:tcPr>
            <w:tcW w:w="7050" w:type="dxa"/>
            <w:tcBorders>
              <w:left w:val="single" w:color="000000" w:sz="4" w:space="0"/>
              <w:bottom w:val="single" w:color="000000" w:sz="4" w:space="0"/>
              <w:right w:val="single" w:color="000000" w:sz="4" w:space="0"/>
            </w:tcBorders>
          </w:tcPr>
          <w:p w14:paraId="0E5FD662">
            <w:pPr>
              <w:widowControl w:val="0"/>
              <w:jc w:val="both"/>
              <w:rPr>
                <w:rFonts w:ascii="Calibri" w:hAnsi="Calibri"/>
                <w:color w:val="000000"/>
                <w:sz w:val="22"/>
                <w:szCs w:val="22"/>
              </w:rPr>
            </w:pPr>
            <w:r>
              <w:rPr>
                <w:rFonts w:ascii="Calibri" w:hAnsi="Calibri"/>
                <w:color w:val="000000"/>
                <w:sz w:val="22"/>
                <w:szCs w:val="22"/>
              </w:rPr>
              <w:t>011 – Fundo de Manutenção e Desenvolvimento da  Educação Básica</w:t>
            </w:r>
          </w:p>
        </w:tc>
      </w:tr>
      <w:tr w14:paraId="549C9F05">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3B7E5095">
            <w:pPr>
              <w:pStyle w:val="167"/>
              <w:widowControl w:val="0"/>
              <w:jc w:val="both"/>
              <w:rPr>
                <w:color w:val="000000"/>
              </w:rPr>
            </w:pPr>
            <w:r>
              <w:rPr>
                <w:color w:val="000000"/>
              </w:rPr>
              <w:t>Funcional Programática</w:t>
            </w:r>
          </w:p>
        </w:tc>
        <w:tc>
          <w:tcPr>
            <w:tcW w:w="7050" w:type="dxa"/>
            <w:tcBorders>
              <w:left w:val="single" w:color="000000" w:sz="4" w:space="0"/>
              <w:bottom w:val="single" w:color="000000" w:sz="4" w:space="0"/>
              <w:right w:val="single" w:color="000000" w:sz="4" w:space="0"/>
            </w:tcBorders>
          </w:tcPr>
          <w:p w14:paraId="77E62EC1">
            <w:pPr>
              <w:pStyle w:val="167"/>
              <w:widowControl w:val="0"/>
              <w:snapToGrid w:val="0"/>
              <w:jc w:val="both"/>
              <w:rPr>
                <w:color w:val="000000"/>
              </w:rPr>
            </w:pPr>
            <w:r>
              <w:rPr>
                <w:color w:val="000000"/>
              </w:rPr>
              <w:t>12.306.2210.2052 – Alimentação da Educação Infantil</w:t>
            </w:r>
          </w:p>
        </w:tc>
      </w:tr>
      <w:tr w14:paraId="4DF75027">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178D54DE">
            <w:pPr>
              <w:pStyle w:val="167"/>
              <w:widowControl w:val="0"/>
              <w:jc w:val="both"/>
              <w:rPr>
                <w:color w:val="000000"/>
              </w:rPr>
            </w:pPr>
            <w:r>
              <w:rPr>
                <w:color w:val="000000"/>
              </w:rPr>
              <w:t>Elemento de Despesa</w:t>
            </w:r>
          </w:p>
        </w:tc>
        <w:tc>
          <w:tcPr>
            <w:tcW w:w="7050" w:type="dxa"/>
            <w:tcBorders>
              <w:left w:val="single" w:color="000000" w:sz="4" w:space="0"/>
              <w:bottom w:val="single" w:color="000000" w:sz="4" w:space="0"/>
              <w:right w:val="single" w:color="000000" w:sz="4" w:space="0"/>
            </w:tcBorders>
          </w:tcPr>
          <w:p w14:paraId="23FD7828">
            <w:pPr>
              <w:pStyle w:val="167"/>
              <w:widowControl w:val="0"/>
              <w:snapToGrid w:val="0"/>
              <w:jc w:val="both"/>
              <w:rPr>
                <w:color w:val="000000"/>
              </w:rPr>
            </w:pPr>
            <w:r>
              <w:rPr>
                <w:color w:val="000000"/>
              </w:rPr>
              <w:t>3.3.90.30 – Material de Consumo</w:t>
            </w:r>
          </w:p>
        </w:tc>
      </w:tr>
      <w:tr w14:paraId="33EAEE44">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23CAB5CC">
            <w:pPr>
              <w:pStyle w:val="167"/>
              <w:widowControl w:val="0"/>
              <w:jc w:val="both"/>
              <w:rPr>
                <w:color w:val="000000"/>
              </w:rPr>
            </w:pPr>
            <w:r>
              <w:rPr>
                <w:color w:val="000000"/>
              </w:rPr>
              <w:t>Reduzido</w:t>
            </w:r>
          </w:p>
        </w:tc>
        <w:tc>
          <w:tcPr>
            <w:tcW w:w="7050" w:type="dxa"/>
            <w:tcBorders>
              <w:left w:val="single" w:color="000000" w:sz="4" w:space="0"/>
              <w:bottom w:val="single" w:color="000000" w:sz="4" w:space="0"/>
              <w:right w:val="single" w:color="000000" w:sz="4" w:space="0"/>
            </w:tcBorders>
          </w:tcPr>
          <w:p w14:paraId="32AD0D7B">
            <w:pPr>
              <w:pStyle w:val="167"/>
              <w:widowControl w:val="0"/>
              <w:snapToGrid w:val="0"/>
              <w:jc w:val="both"/>
              <w:rPr>
                <w:color w:val="000000"/>
                <w:lang w:eastAsia="pt-BR"/>
              </w:rPr>
            </w:pPr>
            <w:r>
              <w:rPr>
                <w:color w:val="000000"/>
                <w:lang w:eastAsia="pt-BR"/>
              </w:rPr>
              <w:t>289</w:t>
            </w:r>
          </w:p>
        </w:tc>
      </w:tr>
      <w:tr w14:paraId="2CCA6F1C">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56C38496">
            <w:pPr>
              <w:widowControl w:val="0"/>
              <w:jc w:val="both"/>
            </w:pPr>
            <w:r>
              <w:rPr>
                <w:rFonts w:ascii="Calibri" w:hAnsi="Calibri" w:cs="Calibri"/>
                <w:color w:val="000000"/>
                <w:sz w:val="22"/>
                <w:szCs w:val="22"/>
              </w:rPr>
              <w:t xml:space="preserve">Previsão </w:t>
            </w:r>
            <w:r>
              <w:rPr>
                <w:rFonts w:ascii="Calibri" w:hAnsi="Calibri" w:eastAsia="Times New Romin" w:cs="Calibri"/>
                <w:color w:val="000000"/>
                <w:sz w:val="22"/>
                <w:szCs w:val="22"/>
              </w:rPr>
              <w:t>da</w:t>
            </w:r>
            <w:r>
              <w:rPr>
                <w:rFonts w:ascii="Calibri" w:hAnsi="Calibri" w:cs="Calibri"/>
                <w:color w:val="000000"/>
                <w:sz w:val="22"/>
                <w:szCs w:val="22"/>
              </w:rPr>
              <w:t xml:space="preserve"> despesa</w:t>
            </w:r>
          </w:p>
        </w:tc>
        <w:tc>
          <w:tcPr>
            <w:tcW w:w="7050" w:type="dxa"/>
            <w:tcBorders>
              <w:left w:val="single" w:color="000000" w:sz="4" w:space="0"/>
              <w:bottom w:val="single" w:color="000000" w:sz="4" w:space="0"/>
              <w:right w:val="single" w:color="000000" w:sz="4" w:space="0"/>
            </w:tcBorders>
          </w:tcPr>
          <w:p w14:paraId="25C25F30">
            <w:pPr>
              <w:widowControl w:val="0"/>
              <w:ind w:right="-57"/>
              <w:jc w:val="both"/>
              <w:rPr>
                <w:rFonts w:ascii="Calibri" w:hAnsi="Calibri"/>
                <w:color w:val="000000"/>
                <w:sz w:val="22"/>
                <w:szCs w:val="22"/>
              </w:rPr>
            </w:pPr>
            <w:r>
              <w:rPr>
                <w:rFonts w:ascii="Calibri" w:hAnsi="Calibri"/>
                <w:color w:val="000000"/>
                <w:sz w:val="22"/>
                <w:szCs w:val="22"/>
              </w:rPr>
              <w:t>R$</w:t>
            </w:r>
          </w:p>
        </w:tc>
      </w:tr>
      <w:tr w14:paraId="31CC26B6">
        <w:tblPrEx>
          <w:tblCellMar>
            <w:top w:w="0" w:type="dxa"/>
            <w:left w:w="108" w:type="dxa"/>
            <w:bottom w:w="0" w:type="dxa"/>
            <w:right w:w="108" w:type="dxa"/>
          </w:tblCellMar>
        </w:tblPrEx>
        <w:trPr>
          <w:trHeight w:val="324" w:hRule="atLeast"/>
        </w:trPr>
        <w:tc>
          <w:tcPr>
            <w:tcW w:w="2836" w:type="dxa"/>
            <w:tcBorders>
              <w:left w:val="single" w:color="000000" w:sz="4" w:space="0"/>
              <w:bottom w:val="single" w:color="000000" w:sz="4" w:space="0"/>
            </w:tcBorders>
          </w:tcPr>
          <w:p w14:paraId="6D154143">
            <w:pPr>
              <w:pStyle w:val="167"/>
              <w:widowControl w:val="0"/>
              <w:jc w:val="both"/>
              <w:rPr>
                <w:color w:val="000000"/>
              </w:rPr>
            </w:pPr>
            <w:r>
              <w:rPr>
                <w:color w:val="000000"/>
              </w:rPr>
              <w:t>Fonte de Recursos</w:t>
            </w:r>
          </w:p>
        </w:tc>
        <w:tc>
          <w:tcPr>
            <w:tcW w:w="7050" w:type="dxa"/>
            <w:tcBorders>
              <w:left w:val="single" w:color="000000" w:sz="4" w:space="0"/>
              <w:bottom w:val="single" w:color="000000" w:sz="4" w:space="0"/>
              <w:right w:val="single" w:color="000000" w:sz="4" w:space="0"/>
            </w:tcBorders>
          </w:tcPr>
          <w:p w14:paraId="63759B1A">
            <w:pPr>
              <w:widowControl w:val="0"/>
              <w:jc w:val="both"/>
              <w:rPr>
                <w:rFonts w:ascii="Calibri" w:hAnsi="Calibri"/>
                <w:color w:val="000000"/>
                <w:sz w:val="22"/>
                <w:szCs w:val="22"/>
              </w:rPr>
            </w:pPr>
            <w:r>
              <w:rPr>
                <w:rFonts w:ascii="Calibri" w:hAnsi="Calibri"/>
                <w:color w:val="000000"/>
                <w:sz w:val="22"/>
                <w:szCs w:val="22"/>
              </w:rPr>
              <w:t>1.500.0000000 – Recursos não Vinculados de Impostos</w:t>
            </w:r>
          </w:p>
        </w:tc>
      </w:tr>
    </w:tbl>
    <w:p w14:paraId="7FF5EE07"/>
    <w:tbl>
      <w:tblPr>
        <w:tblStyle w:val="12"/>
        <w:tblW w:w="9925" w:type="dxa"/>
        <w:tblInd w:w="41" w:type="dxa"/>
        <w:tblLayout w:type="fixed"/>
        <w:tblCellMar>
          <w:top w:w="0" w:type="dxa"/>
          <w:left w:w="108" w:type="dxa"/>
          <w:bottom w:w="0" w:type="dxa"/>
          <w:right w:w="108" w:type="dxa"/>
        </w:tblCellMar>
      </w:tblPr>
      <w:tblGrid>
        <w:gridCol w:w="2836"/>
        <w:gridCol w:w="7089"/>
      </w:tblGrid>
      <w:tr w14:paraId="1FABAD34">
        <w:tblPrEx>
          <w:tblCellMar>
            <w:top w:w="0" w:type="dxa"/>
            <w:left w:w="108" w:type="dxa"/>
            <w:bottom w:w="0" w:type="dxa"/>
            <w:right w:w="108" w:type="dxa"/>
          </w:tblCellMar>
        </w:tblPrEx>
        <w:trPr>
          <w:trHeight w:val="225" w:hRule="atLeast"/>
        </w:trPr>
        <w:tc>
          <w:tcPr>
            <w:tcW w:w="9924" w:type="dxa"/>
            <w:gridSpan w:val="2"/>
            <w:tcBorders>
              <w:top w:val="single" w:color="000000" w:sz="4" w:space="0"/>
              <w:left w:val="single" w:color="000000" w:sz="4" w:space="0"/>
              <w:bottom w:val="single" w:color="000000" w:sz="4" w:space="0"/>
              <w:right w:val="single" w:color="000000" w:sz="4" w:space="0"/>
            </w:tcBorders>
          </w:tcPr>
          <w:p w14:paraId="18B9818D">
            <w:pPr>
              <w:widowControl w:val="0"/>
              <w:jc w:val="center"/>
              <w:rPr>
                <w:rFonts w:ascii="Calibri" w:hAnsi="Calibri" w:cs="Calibri"/>
                <w:color w:val="000000"/>
                <w:sz w:val="22"/>
                <w:szCs w:val="22"/>
              </w:rPr>
            </w:pPr>
            <w:r>
              <w:rPr>
                <w:rFonts w:ascii="Calibri" w:hAnsi="Calibri" w:cs="Calibri"/>
                <w:color w:val="000000"/>
                <w:sz w:val="22"/>
                <w:szCs w:val="22"/>
              </w:rPr>
              <w:t>Classificação Orçamentária da Despesa</w:t>
            </w:r>
          </w:p>
        </w:tc>
      </w:tr>
      <w:tr w14:paraId="2C01BFEF">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18207976">
            <w:pPr>
              <w:widowControl w:val="0"/>
              <w:jc w:val="both"/>
              <w:rPr>
                <w:rFonts w:ascii="Calibri" w:hAnsi="Calibri"/>
                <w:color w:val="000000"/>
                <w:sz w:val="22"/>
                <w:szCs w:val="22"/>
              </w:rPr>
            </w:pPr>
            <w:r>
              <w:rPr>
                <w:rFonts w:ascii="Calibri" w:hAnsi="Calibri"/>
                <w:color w:val="000000"/>
                <w:sz w:val="22"/>
                <w:szCs w:val="22"/>
              </w:rPr>
              <w:t>Órgão</w:t>
            </w:r>
          </w:p>
        </w:tc>
        <w:tc>
          <w:tcPr>
            <w:tcW w:w="7088" w:type="dxa"/>
            <w:tcBorders>
              <w:left w:val="single" w:color="000000" w:sz="4" w:space="0"/>
              <w:bottom w:val="single" w:color="000000" w:sz="4" w:space="0"/>
              <w:right w:val="single" w:color="000000" w:sz="4" w:space="0"/>
            </w:tcBorders>
          </w:tcPr>
          <w:p w14:paraId="30E067FA">
            <w:pPr>
              <w:widowControl w:val="0"/>
              <w:jc w:val="both"/>
              <w:rPr>
                <w:rFonts w:ascii="Calibri" w:hAnsi="Calibri"/>
                <w:color w:val="000000"/>
                <w:sz w:val="22"/>
                <w:szCs w:val="22"/>
              </w:rPr>
            </w:pPr>
            <w:r>
              <w:rPr>
                <w:rFonts w:ascii="Calibri" w:hAnsi="Calibri"/>
                <w:color w:val="000000"/>
                <w:sz w:val="22"/>
                <w:szCs w:val="22"/>
              </w:rPr>
              <w:t>02 - Prefeitura Municipal de Rondonópolis</w:t>
            </w:r>
          </w:p>
        </w:tc>
      </w:tr>
      <w:tr w14:paraId="611AC975">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5A2CECB2">
            <w:pPr>
              <w:widowControl w:val="0"/>
              <w:jc w:val="both"/>
              <w:rPr>
                <w:rFonts w:ascii="Calibri" w:hAnsi="Calibri"/>
                <w:color w:val="000000"/>
                <w:sz w:val="22"/>
                <w:szCs w:val="22"/>
              </w:rPr>
            </w:pPr>
            <w:r>
              <w:rPr>
                <w:rFonts w:ascii="Calibri" w:hAnsi="Calibri"/>
                <w:color w:val="000000"/>
                <w:sz w:val="22"/>
                <w:szCs w:val="22"/>
              </w:rPr>
              <w:t>Unidade</w:t>
            </w:r>
          </w:p>
        </w:tc>
        <w:tc>
          <w:tcPr>
            <w:tcW w:w="7088" w:type="dxa"/>
            <w:tcBorders>
              <w:left w:val="single" w:color="000000" w:sz="4" w:space="0"/>
              <w:bottom w:val="single" w:color="000000" w:sz="4" w:space="0"/>
              <w:right w:val="single" w:color="000000" w:sz="4" w:space="0"/>
            </w:tcBorders>
          </w:tcPr>
          <w:p w14:paraId="08813D56">
            <w:pPr>
              <w:widowControl w:val="0"/>
              <w:jc w:val="both"/>
              <w:rPr>
                <w:rFonts w:ascii="Calibri" w:hAnsi="Calibri"/>
                <w:color w:val="000000"/>
                <w:sz w:val="22"/>
                <w:szCs w:val="22"/>
              </w:rPr>
            </w:pPr>
            <w:r>
              <w:rPr>
                <w:rFonts w:ascii="Calibri" w:hAnsi="Calibri"/>
                <w:color w:val="000000"/>
                <w:sz w:val="22"/>
                <w:szCs w:val="22"/>
              </w:rPr>
              <w:t>011 – Fundo de Manutenção e Desenvolvimento da  Educação Básica</w:t>
            </w:r>
          </w:p>
        </w:tc>
      </w:tr>
      <w:tr w14:paraId="72E3748D">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5BAF76B4">
            <w:pPr>
              <w:pStyle w:val="167"/>
              <w:widowControl w:val="0"/>
              <w:jc w:val="both"/>
              <w:rPr>
                <w:color w:val="000000"/>
              </w:rPr>
            </w:pPr>
            <w:r>
              <w:rPr>
                <w:color w:val="000000"/>
              </w:rPr>
              <w:t>Funcional Programática</w:t>
            </w:r>
          </w:p>
        </w:tc>
        <w:tc>
          <w:tcPr>
            <w:tcW w:w="7088" w:type="dxa"/>
            <w:tcBorders>
              <w:left w:val="single" w:color="000000" w:sz="4" w:space="0"/>
              <w:bottom w:val="single" w:color="000000" w:sz="4" w:space="0"/>
              <w:right w:val="single" w:color="000000" w:sz="4" w:space="0"/>
            </w:tcBorders>
          </w:tcPr>
          <w:p w14:paraId="7569B220">
            <w:pPr>
              <w:pStyle w:val="167"/>
              <w:widowControl w:val="0"/>
              <w:snapToGrid w:val="0"/>
              <w:jc w:val="both"/>
              <w:rPr>
                <w:color w:val="000000"/>
              </w:rPr>
            </w:pPr>
            <w:r>
              <w:rPr>
                <w:color w:val="000000"/>
              </w:rPr>
              <w:t>12.361.2209.2042 – Manutenção e Conservação do Ensino Fundamental</w:t>
            </w:r>
          </w:p>
        </w:tc>
      </w:tr>
      <w:tr w14:paraId="7AE688F1">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1AFB3A0A">
            <w:pPr>
              <w:pStyle w:val="167"/>
              <w:widowControl w:val="0"/>
              <w:jc w:val="both"/>
              <w:rPr>
                <w:color w:val="000000"/>
              </w:rPr>
            </w:pPr>
            <w:r>
              <w:rPr>
                <w:color w:val="000000"/>
              </w:rPr>
              <w:t>Elemento de Despesa</w:t>
            </w:r>
          </w:p>
        </w:tc>
        <w:tc>
          <w:tcPr>
            <w:tcW w:w="7088" w:type="dxa"/>
            <w:tcBorders>
              <w:left w:val="single" w:color="000000" w:sz="4" w:space="0"/>
              <w:bottom w:val="single" w:color="000000" w:sz="4" w:space="0"/>
              <w:right w:val="single" w:color="000000" w:sz="4" w:space="0"/>
            </w:tcBorders>
          </w:tcPr>
          <w:p w14:paraId="32EE4C01">
            <w:pPr>
              <w:pStyle w:val="167"/>
              <w:widowControl w:val="0"/>
              <w:snapToGrid w:val="0"/>
              <w:jc w:val="both"/>
              <w:rPr>
                <w:color w:val="000000"/>
              </w:rPr>
            </w:pPr>
            <w:r>
              <w:rPr>
                <w:color w:val="000000"/>
              </w:rPr>
              <w:t>3.3.90.39– Outros Serviços de Terceiros – Pessoa Jurídica</w:t>
            </w:r>
          </w:p>
        </w:tc>
      </w:tr>
      <w:tr w14:paraId="45F94473">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792089CC">
            <w:pPr>
              <w:pStyle w:val="167"/>
              <w:widowControl w:val="0"/>
              <w:jc w:val="both"/>
              <w:rPr>
                <w:color w:val="000000"/>
              </w:rPr>
            </w:pPr>
            <w:r>
              <w:rPr>
                <w:color w:val="000000"/>
              </w:rPr>
              <w:t>Reduzido</w:t>
            </w:r>
          </w:p>
        </w:tc>
        <w:tc>
          <w:tcPr>
            <w:tcW w:w="7088" w:type="dxa"/>
            <w:tcBorders>
              <w:left w:val="single" w:color="000000" w:sz="4" w:space="0"/>
              <w:bottom w:val="single" w:color="000000" w:sz="4" w:space="0"/>
              <w:right w:val="single" w:color="000000" w:sz="4" w:space="0"/>
            </w:tcBorders>
          </w:tcPr>
          <w:p w14:paraId="705347E0">
            <w:pPr>
              <w:pStyle w:val="167"/>
              <w:widowControl w:val="0"/>
              <w:snapToGrid w:val="0"/>
              <w:jc w:val="both"/>
              <w:rPr>
                <w:color w:val="000000"/>
                <w:lang w:eastAsia="pt-BR"/>
              </w:rPr>
            </w:pPr>
            <w:r>
              <w:rPr>
                <w:color w:val="000000"/>
                <w:lang w:eastAsia="pt-BR"/>
              </w:rPr>
              <w:t>276</w:t>
            </w:r>
          </w:p>
        </w:tc>
      </w:tr>
      <w:tr w14:paraId="0AA53318">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06C3D529">
            <w:pPr>
              <w:widowControl w:val="0"/>
              <w:jc w:val="both"/>
            </w:pPr>
            <w:r>
              <w:rPr>
                <w:rFonts w:ascii="Calibri" w:hAnsi="Calibri" w:cs="Calibri"/>
                <w:color w:val="000000"/>
                <w:sz w:val="22"/>
                <w:szCs w:val="22"/>
              </w:rPr>
              <w:t xml:space="preserve">Previsão </w:t>
            </w:r>
            <w:r>
              <w:rPr>
                <w:rFonts w:ascii="Calibri" w:hAnsi="Calibri" w:eastAsia="Times New Romin" w:cs="Calibri"/>
                <w:color w:val="000000"/>
                <w:sz w:val="22"/>
                <w:szCs w:val="22"/>
              </w:rPr>
              <w:t>da</w:t>
            </w:r>
            <w:r>
              <w:rPr>
                <w:rFonts w:ascii="Calibri" w:hAnsi="Calibri" w:cs="Calibri"/>
                <w:color w:val="000000"/>
                <w:sz w:val="22"/>
                <w:szCs w:val="22"/>
              </w:rPr>
              <w:t xml:space="preserve"> despesa</w:t>
            </w:r>
          </w:p>
        </w:tc>
        <w:tc>
          <w:tcPr>
            <w:tcW w:w="7088" w:type="dxa"/>
            <w:tcBorders>
              <w:left w:val="single" w:color="000000" w:sz="4" w:space="0"/>
              <w:bottom w:val="single" w:color="000000" w:sz="4" w:space="0"/>
              <w:right w:val="single" w:color="000000" w:sz="4" w:space="0"/>
            </w:tcBorders>
          </w:tcPr>
          <w:p w14:paraId="21D53028">
            <w:pPr>
              <w:widowControl w:val="0"/>
              <w:ind w:right="-57"/>
              <w:jc w:val="both"/>
              <w:rPr>
                <w:rFonts w:ascii="Calibri" w:hAnsi="Calibri"/>
                <w:color w:val="000000"/>
                <w:sz w:val="22"/>
                <w:szCs w:val="22"/>
              </w:rPr>
            </w:pPr>
            <w:r>
              <w:rPr>
                <w:rFonts w:ascii="Calibri" w:hAnsi="Calibri"/>
                <w:color w:val="000000"/>
                <w:sz w:val="22"/>
                <w:szCs w:val="22"/>
              </w:rPr>
              <w:t>R$</w:t>
            </w:r>
          </w:p>
        </w:tc>
      </w:tr>
      <w:tr w14:paraId="1D95E3F3">
        <w:tblPrEx>
          <w:tblCellMar>
            <w:top w:w="0" w:type="dxa"/>
            <w:left w:w="108" w:type="dxa"/>
            <w:bottom w:w="0" w:type="dxa"/>
            <w:right w:w="108" w:type="dxa"/>
          </w:tblCellMar>
        </w:tblPrEx>
        <w:trPr>
          <w:trHeight w:val="324" w:hRule="atLeast"/>
        </w:trPr>
        <w:tc>
          <w:tcPr>
            <w:tcW w:w="2836" w:type="dxa"/>
            <w:tcBorders>
              <w:left w:val="single" w:color="000000" w:sz="4" w:space="0"/>
              <w:bottom w:val="single" w:color="000000" w:sz="4" w:space="0"/>
            </w:tcBorders>
          </w:tcPr>
          <w:p w14:paraId="7EA5DAE9">
            <w:pPr>
              <w:pStyle w:val="167"/>
              <w:widowControl w:val="0"/>
              <w:jc w:val="both"/>
              <w:rPr>
                <w:color w:val="000000"/>
              </w:rPr>
            </w:pPr>
            <w:r>
              <w:rPr>
                <w:color w:val="000000"/>
              </w:rPr>
              <w:t>Fonte de Recursos</w:t>
            </w:r>
          </w:p>
        </w:tc>
        <w:tc>
          <w:tcPr>
            <w:tcW w:w="7088" w:type="dxa"/>
            <w:tcBorders>
              <w:left w:val="single" w:color="000000" w:sz="4" w:space="0"/>
              <w:bottom w:val="single" w:color="000000" w:sz="4" w:space="0"/>
              <w:right w:val="single" w:color="000000" w:sz="4" w:space="0"/>
            </w:tcBorders>
          </w:tcPr>
          <w:p w14:paraId="3BCC0984">
            <w:pPr>
              <w:widowControl w:val="0"/>
              <w:jc w:val="both"/>
              <w:rPr>
                <w:rFonts w:ascii="Calibri" w:hAnsi="Calibri"/>
                <w:color w:val="000000"/>
                <w:sz w:val="22"/>
                <w:szCs w:val="22"/>
              </w:rPr>
            </w:pPr>
            <w:r>
              <w:rPr>
                <w:rFonts w:ascii="Calibri" w:hAnsi="Calibri"/>
                <w:color w:val="000000"/>
                <w:sz w:val="22"/>
                <w:szCs w:val="22"/>
              </w:rPr>
              <w:t>1.550.0000000 – Transferência do Salário Educação</w:t>
            </w:r>
          </w:p>
        </w:tc>
      </w:tr>
    </w:tbl>
    <w:p w14:paraId="1A569056"/>
    <w:tbl>
      <w:tblPr>
        <w:tblStyle w:val="12"/>
        <w:tblW w:w="9925" w:type="dxa"/>
        <w:tblInd w:w="27" w:type="dxa"/>
        <w:tblLayout w:type="fixed"/>
        <w:tblCellMar>
          <w:top w:w="0" w:type="dxa"/>
          <w:left w:w="108" w:type="dxa"/>
          <w:bottom w:w="0" w:type="dxa"/>
          <w:right w:w="108" w:type="dxa"/>
        </w:tblCellMar>
      </w:tblPr>
      <w:tblGrid>
        <w:gridCol w:w="2836"/>
        <w:gridCol w:w="7089"/>
      </w:tblGrid>
      <w:tr w14:paraId="46666DDC">
        <w:tblPrEx>
          <w:tblCellMar>
            <w:top w:w="0" w:type="dxa"/>
            <w:left w:w="108" w:type="dxa"/>
            <w:bottom w:w="0" w:type="dxa"/>
            <w:right w:w="108" w:type="dxa"/>
          </w:tblCellMar>
        </w:tblPrEx>
        <w:trPr>
          <w:trHeight w:val="225" w:hRule="atLeast"/>
        </w:trPr>
        <w:tc>
          <w:tcPr>
            <w:tcW w:w="9924" w:type="dxa"/>
            <w:gridSpan w:val="2"/>
            <w:tcBorders>
              <w:top w:val="single" w:color="000000" w:sz="4" w:space="0"/>
              <w:left w:val="single" w:color="000000" w:sz="4" w:space="0"/>
              <w:bottom w:val="single" w:color="000000" w:sz="4" w:space="0"/>
              <w:right w:val="single" w:color="000000" w:sz="4" w:space="0"/>
            </w:tcBorders>
          </w:tcPr>
          <w:p w14:paraId="05EBE96B">
            <w:pPr>
              <w:widowControl w:val="0"/>
              <w:jc w:val="center"/>
              <w:rPr>
                <w:rFonts w:ascii="Calibri" w:hAnsi="Calibri" w:cs="Calibri"/>
                <w:color w:val="000000"/>
                <w:sz w:val="22"/>
                <w:szCs w:val="22"/>
              </w:rPr>
            </w:pPr>
            <w:r>
              <w:rPr>
                <w:rFonts w:ascii="Calibri" w:hAnsi="Calibri" w:cs="Calibri"/>
                <w:color w:val="000000"/>
                <w:sz w:val="22"/>
                <w:szCs w:val="22"/>
              </w:rPr>
              <w:t>Classificação Orçamentária da Despesa</w:t>
            </w:r>
          </w:p>
        </w:tc>
      </w:tr>
      <w:tr w14:paraId="415DFC33">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62916F68">
            <w:pPr>
              <w:widowControl w:val="0"/>
              <w:jc w:val="both"/>
              <w:rPr>
                <w:rFonts w:ascii="Calibri" w:hAnsi="Calibri"/>
                <w:color w:val="000000"/>
                <w:sz w:val="22"/>
                <w:szCs w:val="22"/>
              </w:rPr>
            </w:pPr>
            <w:r>
              <w:rPr>
                <w:rFonts w:ascii="Calibri" w:hAnsi="Calibri"/>
                <w:color w:val="000000"/>
                <w:sz w:val="22"/>
                <w:szCs w:val="22"/>
              </w:rPr>
              <w:t>Órgão</w:t>
            </w:r>
          </w:p>
        </w:tc>
        <w:tc>
          <w:tcPr>
            <w:tcW w:w="7088" w:type="dxa"/>
            <w:tcBorders>
              <w:left w:val="single" w:color="000000" w:sz="4" w:space="0"/>
              <w:bottom w:val="single" w:color="000000" w:sz="4" w:space="0"/>
              <w:right w:val="single" w:color="000000" w:sz="4" w:space="0"/>
            </w:tcBorders>
          </w:tcPr>
          <w:p w14:paraId="006BC47F">
            <w:pPr>
              <w:widowControl w:val="0"/>
              <w:jc w:val="both"/>
              <w:rPr>
                <w:rFonts w:ascii="Calibri" w:hAnsi="Calibri"/>
                <w:color w:val="000000"/>
                <w:sz w:val="22"/>
                <w:szCs w:val="22"/>
              </w:rPr>
            </w:pPr>
            <w:r>
              <w:rPr>
                <w:rFonts w:ascii="Calibri" w:hAnsi="Calibri"/>
                <w:color w:val="000000"/>
                <w:sz w:val="22"/>
                <w:szCs w:val="22"/>
              </w:rPr>
              <w:t>02 - Prefeitura Municipal de Rondonópolis</w:t>
            </w:r>
          </w:p>
        </w:tc>
      </w:tr>
      <w:tr w14:paraId="0668FFF3">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4DA115FB">
            <w:pPr>
              <w:widowControl w:val="0"/>
              <w:jc w:val="both"/>
              <w:rPr>
                <w:rFonts w:ascii="Calibri" w:hAnsi="Calibri"/>
                <w:color w:val="000000"/>
                <w:sz w:val="22"/>
                <w:szCs w:val="22"/>
              </w:rPr>
            </w:pPr>
            <w:r>
              <w:rPr>
                <w:rFonts w:ascii="Calibri" w:hAnsi="Calibri"/>
                <w:color w:val="000000"/>
                <w:sz w:val="22"/>
                <w:szCs w:val="22"/>
              </w:rPr>
              <w:t>Unidade</w:t>
            </w:r>
          </w:p>
        </w:tc>
        <w:tc>
          <w:tcPr>
            <w:tcW w:w="7088" w:type="dxa"/>
            <w:tcBorders>
              <w:left w:val="single" w:color="000000" w:sz="4" w:space="0"/>
              <w:bottom w:val="single" w:color="000000" w:sz="4" w:space="0"/>
              <w:right w:val="single" w:color="000000" w:sz="4" w:space="0"/>
            </w:tcBorders>
          </w:tcPr>
          <w:p w14:paraId="37D5213D">
            <w:pPr>
              <w:widowControl w:val="0"/>
              <w:jc w:val="both"/>
              <w:rPr>
                <w:rFonts w:ascii="Calibri" w:hAnsi="Calibri"/>
                <w:color w:val="000000"/>
                <w:sz w:val="22"/>
                <w:szCs w:val="22"/>
              </w:rPr>
            </w:pPr>
            <w:r>
              <w:rPr>
                <w:rFonts w:ascii="Calibri" w:hAnsi="Calibri"/>
                <w:color w:val="000000"/>
                <w:sz w:val="22"/>
                <w:szCs w:val="22"/>
              </w:rPr>
              <w:t>011 – Fundo de Manutenção e Desenvolvimento da  Educação Básica</w:t>
            </w:r>
          </w:p>
        </w:tc>
      </w:tr>
      <w:tr w14:paraId="34FECFFC">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052FB824">
            <w:pPr>
              <w:pStyle w:val="167"/>
              <w:widowControl w:val="0"/>
              <w:jc w:val="both"/>
              <w:rPr>
                <w:color w:val="000000"/>
              </w:rPr>
            </w:pPr>
            <w:r>
              <w:rPr>
                <w:color w:val="000000"/>
              </w:rPr>
              <w:t>Funcional Programática</w:t>
            </w:r>
          </w:p>
        </w:tc>
        <w:tc>
          <w:tcPr>
            <w:tcW w:w="7088" w:type="dxa"/>
            <w:tcBorders>
              <w:left w:val="single" w:color="000000" w:sz="4" w:space="0"/>
              <w:bottom w:val="single" w:color="000000" w:sz="4" w:space="0"/>
              <w:right w:val="single" w:color="000000" w:sz="4" w:space="0"/>
            </w:tcBorders>
          </w:tcPr>
          <w:p w14:paraId="12B7ECA9">
            <w:pPr>
              <w:pStyle w:val="167"/>
              <w:widowControl w:val="0"/>
              <w:snapToGrid w:val="0"/>
              <w:jc w:val="both"/>
              <w:rPr>
                <w:color w:val="000000"/>
              </w:rPr>
            </w:pPr>
            <w:r>
              <w:rPr>
                <w:color w:val="000000"/>
              </w:rPr>
              <w:t>12.365.2210.2049 – Manutenção e Conservação da Educação Infantil</w:t>
            </w:r>
          </w:p>
        </w:tc>
      </w:tr>
      <w:tr w14:paraId="3A5D1571">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2E7DC00E">
            <w:pPr>
              <w:pStyle w:val="167"/>
              <w:widowControl w:val="0"/>
              <w:jc w:val="both"/>
              <w:rPr>
                <w:color w:val="000000"/>
              </w:rPr>
            </w:pPr>
            <w:r>
              <w:rPr>
                <w:color w:val="000000"/>
              </w:rPr>
              <w:t>Elemento de Despesa</w:t>
            </w:r>
          </w:p>
        </w:tc>
        <w:tc>
          <w:tcPr>
            <w:tcW w:w="7088" w:type="dxa"/>
            <w:tcBorders>
              <w:left w:val="single" w:color="000000" w:sz="4" w:space="0"/>
              <w:bottom w:val="single" w:color="000000" w:sz="4" w:space="0"/>
              <w:right w:val="single" w:color="000000" w:sz="4" w:space="0"/>
            </w:tcBorders>
          </w:tcPr>
          <w:p w14:paraId="293D93D5">
            <w:pPr>
              <w:pStyle w:val="167"/>
              <w:widowControl w:val="0"/>
              <w:snapToGrid w:val="0"/>
              <w:jc w:val="both"/>
              <w:rPr>
                <w:color w:val="000000"/>
              </w:rPr>
            </w:pPr>
            <w:r>
              <w:rPr>
                <w:color w:val="000000"/>
              </w:rPr>
              <w:t>3.3.90.39 – Outros Serviços de Terceiros – Pessoa Jurídica</w:t>
            </w:r>
          </w:p>
        </w:tc>
      </w:tr>
      <w:tr w14:paraId="6C139B0D">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200C5955">
            <w:pPr>
              <w:pStyle w:val="167"/>
              <w:widowControl w:val="0"/>
              <w:jc w:val="both"/>
              <w:rPr>
                <w:color w:val="000000"/>
              </w:rPr>
            </w:pPr>
            <w:r>
              <w:rPr>
                <w:color w:val="000000"/>
              </w:rPr>
              <w:t>Reduzido</w:t>
            </w:r>
          </w:p>
        </w:tc>
        <w:tc>
          <w:tcPr>
            <w:tcW w:w="7088" w:type="dxa"/>
            <w:tcBorders>
              <w:left w:val="single" w:color="000000" w:sz="4" w:space="0"/>
              <w:bottom w:val="single" w:color="000000" w:sz="4" w:space="0"/>
              <w:right w:val="single" w:color="000000" w:sz="4" w:space="0"/>
            </w:tcBorders>
          </w:tcPr>
          <w:p w14:paraId="14CBDE15">
            <w:pPr>
              <w:pStyle w:val="167"/>
              <w:widowControl w:val="0"/>
              <w:snapToGrid w:val="0"/>
              <w:jc w:val="both"/>
              <w:rPr>
                <w:color w:val="000000"/>
                <w:lang w:eastAsia="pt-BR"/>
              </w:rPr>
            </w:pPr>
            <w:r>
              <w:rPr>
                <w:color w:val="000000"/>
                <w:lang w:eastAsia="pt-BR"/>
              </w:rPr>
              <w:t>225</w:t>
            </w:r>
          </w:p>
        </w:tc>
      </w:tr>
      <w:tr w14:paraId="03508AA2">
        <w:tblPrEx>
          <w:tblCellMar>
            <w:top w:w="0" w:type="dxa"/>
            <w:left w:w="108" w:type="dxa"/>
            <w:bottom w:w="0" w:type="dxa"/>
            <w:right w:w="108" w:type="dxa"/>
          </w:tblCellMar>
        </w:tblPrEx>
        <w:tc>
          <w:tcPr>
            <w:tcW w:w="2836" w:type="dxa"/>
            <w:tcBorders>
              <w:left w:val="single" w:color="000000" w:sz="4" w:space="0"/>
              <w:bottom w:val="single" w:color="000000" w:sz="4" w:space="0"/>
            </w:tcBorders>
          </w:tcPr>
          <w:p w14:paraId="4730303E">
            <w:pPr>
              <w:widowControl w:val="0"/>
              <w:jc w:val="both"/>
            </w:pPr>
            <w:r>
              <w:rPr>
                <w:rFonts w:ascii="Calibri" w:hAnsi="Calibri" w:cs="Calibri"/>
                <w:color w:val="000000"/>
                <w:sz w:val="22"/>
                <w:szCs w:val="22"/>
              </w:rPr>
              <w:t xml:space="preserve">Previsão </w:t>
            </w:r>
            <w:r>
              <w:rPr>
                <w:rFonts w:ascii="Calibri" w:hAnsi="Calibri" w:eastAsia="Times New Romin" w:cs="Calibri"/>
                <w:color w:val="000000"/>
                <w:sz w:val="22"/>
                <w:szCs w:val="22"/>
              </w:rPr>
              <w:t>da</w:t>
            </w:r>
            <w:r>
              <w:rPr>
                <w:rFonts w:ascii="Calibri" w:hAnsi="Calibri" w:cs="Calibri"/>
                <w:color w:val="000000"/>
                <w:sz w:val="22"/>
                <w:szCs w:val="22"/>
              </w:rPr>
              <w:t xml:space="preserve"> despesa</w:t>
            </w:r>
          </w:p>
        </w:tc>
        <w:tc>
          <w:tcPr>
            <w:tcW w:w="7088" w:type="dxa"/>
            <w:tcBorders>
              <w:left w:val="single" w:color="000000" w:sz="4" w:space="0"/>
              <w:bottom w:val="single" w:color="000000" w:sz="4" w:space="0"/>
              <w:right w:val="single" w:color="000000" w:sz="4" w:space="0"/>
            </w:tcBorders>
          </w:tcPr>
          <w:p w14:paraId="1EB7915E">
            <w:pPr>
              <w:widowControl w:val="0"/>
              <w:ind w:right="-57"/>
              <w:jc w:val="both"/>
              <w:rPr>
                <w:rFonts w:ascii="Calibri" w:hAnsi="Calibri"/>
                <w:color w:val="000000"/>
                <w:sz w:val="22"/>
                <w:szCs w:val="22"/>
              </w:rPr>
            </w:pPr>
            <w:r>
              <w:rPr>
                <w:rFonts w:ascii="Calibri" w:hAnsi="Calibri"/>
                <w:color w:val="000000"/>
                <w:sz w:val="22"/>
                <w:szCs w:val="22"/>
              </w:rPr>
              <w:t>R$</w:t>
            </w:r>
          </w:p>
        </w:tc>
      </w:tr>
      <w:tr w14:paraId="79E449DD">
        <w:tblPrEx>
          <w:tblCellMar>
            <w:top w:w="0" w:type="dxa"/>
            <w:left w:w="108" w:type="dxa"/>
            <w:bottom w:w="0" w:type="dxa"/>
            <w:right w:w="108" w:type="dxa"/>
          </w:tblCellMar>
        </w:tblPrEx>
        <w:trPr>
          <w:trHeight w:val="324" w:hRule="atLeast"/>
        </w:trPr>
        <w:tc>
          <w:tcPr>
            <w:tcW w:w="2836" w:type="dxa"/>
            <w:tcBorders>
              <w:left w:val="single" w:color="000000" w:sz="4" w:space="0"/>
              <w:bottom w:val="single" w:color="000000" w:sz="4" w:space="0"/>
            </w:tcBorders>
          </w:tcPr>
          <w:p w14:paraId="43E32744">
            <w:pPr>
              <w:pStyle w:val="167"/>
              <w:widowControl w:val="0"/>
              <w:jc w:val="both"/>
              <w:rPr>
                <w:color w:val="000000"/>
              </w:rPr>
            </w:pPr>
            <w:r>
              <w:rPr>
                <w:color w:val="000000"/>
              </w:rPr>
              <w:t>Fonte de Recursos</w:t>
            </w:r>
          </w:p>
        </w:tc>
        <w:tc>
          <w:tcPr>
            <w:tcW w:w="7088" w:type="dxa"/>
            <w:tcBorders>
              <w:left w:val="single" w:color="000000" w:sz="4" w:space="0"/>
              <w:bottom w:val="single" w:color="000000" w:sz="4" w:space="0"/>
              <w:right w:val="single" w:color="000000" w:sz="4" w:space="0"/>
            </w:tcBorders>
          </w:tcPr>
          <w:p w14:paraId="7C66414E">
            <w:pPr>
              <w:widowControl w:val="0"/>
              <w:jc w:val="both"/>
              <w:rPr>
                <w:rFonts w:ascii="Calibri" w:hAnsi="Calibri"/>
                <w:color w:val="000000"/>
                <w:sz w:val="22"/>
                <w:szCs w:val="22"/>
              </w:rPr>
            </w:pPr>
            <w:r>
              <w:rPr>
                <w:rFonts w:ascii="Calibri" w:hAnsi="Calibri"/>
                <w:color w:val="000000"/>
                <w:sz w:val="22"/>
                <w:szCs w:val="22"/>
              </w:rPr>
              <w:t>1.550.0000000 – Transferência  do Salário Educação</w:t>
            </w:r>
          </w:p>
        </w:tc>
      </w:tr>
    </w:tbl>
    <w:p w14:paraId="45F29F4B">
      <w:pPr>
        <w:ind w:left="-567" w:right="454"/>
        <w:jc w:val="both"/>
        <w:rPr>
          <w:rStyle w:val="128"/>
          <w:rFonts w:ascii="Century Gothic" w:hAnsi="Century Gothic" w:eastAsia="Arial" w:cs="Calibri"/>
          <w:b/>
          <w:bCs/>
          <w:color w:val="000000"/>
          <w:sz w:val="10"/>
          <w:szCs w:val="10"/>
        </w:rPr>
      </w:pPr>
    </w:p>
    <w:p w14:paraId="07D5CB67">
      <w:pPr>
        <w:spacing w:line="276" w:lineRule="auto"/>
        <w:ind w:left="-57" w:right="227"/>
        <w:jc w:val="both"/>
        <w:rPr>
          <w:rStyle w:val="128"/>
          <w:rFonts w:ascii="Century Gothic" w:hAnsi="Century Gothic" w:eastAsia="Arial"/>
          <w:color w:val="000000"/>
        </w:rPr>
      </w:pPr>
      <w:r>
        <w:rPr>
          <w:rStyle w:val="128"/>
          <w:rFonts w:ascii="Century Gothic" w:hAnsi="Century Gothic" w:eastAsia="Arial"/>
          <w:b/>
          <w:bCs/>
          <w:color w:val="000000"/>
        </w:rPr>
        <w:t xml:space="preserve">13.3. </w:t>
      </w:r>
      <w:r>
        <w:rPr>
          <w:rStyle w:val="128"/>
          <w:rFonts w:ascii="Century Gothic" w:hAnsi="Century Gothic" w:eastAsia="Arial"/>
          <w:color w:val="000000"/>
        </w:rPr>
        <w:t>Os recursos para custeio da aquisição do objeto contratado estão previstos na Lei de Diretrizes Orçamentárias e Plano Plurianual.</w:t>
      </w:r>
    </w:p>
    <w:p w14:paraId="2FE8E903">
      <w:pPr>
        <w:spacing w:line="276" w:lineRule="auto"/>
        <w:ind w:left="-57" w:right="283"/>
        <w:jc w:val="both"/>
      </w:pPr>
      <w:r>
        <w:rPr>
          <w:rStyle w:val="128"/>
          <w:rFonts w:ascii="Century Gothic" w:hAnsi="Century Gothic" w:eastAsia="Arial"/>
          <w:b/>
          <w:bCs/>
          <w:color w:val="000000"/>
        </w:rPr>
        <w:t>13.4.</w:t>
      </w:r>
      <w:r>
        <w:rPr>
          <w:rStyle w:val="128"/>
          <w:rFonts w:ascii="Century Gothic" w:hAnsi="Century Gothic" w:eastAsia="Arial"/>
          <w:color w:val="000000"/>
        </w:rPr>
        <w:t xml:space="preserve"> A dotação relativa aos exercícios financeiros subsequentes será indicada após aprovação da Lei Orçamentária respectiva e liberação dos créditos correspondentes, mediante apostilamento.</w:t>
      </w:r>
    </w:p>
    <w:p w14:paraId="153FF395">
      <w:pPr>
        <w:spacing w:line="252" w:lineRule="auto"/>
        <w:ind w:left="-567" w:right="454"/>
        <w:jc w:val="both"/>
        <w:rPr>
          <w:rFonts w:ascii="Century Gothic" w:hAnsi="Century Gothic"/>
          <w:color w:val="000000"/>
          <w:sz w:val="4"/>
          <w:szCs w:val="4"/>
        </w:rPr>
      </w:pPr>
    </w:p>
    <w:tbl>
      <w:tblPr>
        <w:tblStyle w:val="12"/>
        <w:tblW w:w="9868" w:type="dxa"/>
        <w:tblInd w:w="79" w:type="dxa"/>
        <w:tblLayout w:type="fixed"/>
        <w:tblCellMar>
          <w:top w:w="0" w:type="dxa"/>
          <w:left w:w="108" w:type="dxa"/>
          <w:bottom w:w="0" w:type="dxa"/>
          <w:right w:w="108" w:type="dxa"/>
        </w:tblCellMar>
      </w:tblPr>
      <w:tblGrid>
        <w:gridCol w:w="9868"/>
      </w:tblGrid>
      <w:tr w14:paraId="5B455056">
        <w:tblPrEx>
          <w:tblCellMar>
            <w:top w:w="0" w:type="dxa"/>
            <w:left w:w="108" w:type="dxa"/>
            <w:bottom w:w="0" w:type="dxa"/>
            <w:right w:w="108" w:type="dxa"/>
          </w:tblCellMar>
        </w:tblPrEx>
        <w:trPr>
          <w:trHeight w:val="290" w:hRule="atLeast"/>
        </w:trPr>
        <w:tc>
          <w:tcPr>
            <w:tcW w:w="9868" w:type="dxa"/>
            <w:tcBorders>
              <w:top w:val="single" w:color="000000" w:sz="4" w:space="0"/>
              <w:left w:val="single" w:color="000000" w:sz="4" w:space="0"/>
              <w:bottom w:val="single" w:color="000000" w:sz="4" w:space="0"/>
              <w:right w:val="single" w:color="000000" w:sz="4" w:space="0"/>
            </w:tcBorders>
            <w:shd w:val="clear" w:color="auto" w:fill="DDDDDD"/>
          </w:tcPr>
          <w:p w14:paraId="51704649">
            <w:pPr>
              <w:widowControl w:val="0"/>
              <w:spacing w:before="57" w:after="57"/>
              <w:jc w:val="center"/>
              <w:rPr>
                <w:sz w:val="22"/>
                <w:szCs w:val="22"/>
              </w:rPr>
            </w:pPr>
            <w:r>
              <w:rPr>
                <w:rFonts w:ascii="Century Gothic" w:hAnsi="Century Gothic"/>
                <w:b/>
                <w:bCs/>
                <w:sz w:val="22"/>
                <w:szCs w:val="22"/>
              </w:rPr>
              <w:t>14. ESPECIFICAÇÃO DO PRODUTO, PREFERENCIALMENTE CONFORME CATÁLOGO ELETRÔNICO DE PADRONIZAÇÃO, OBSERVADOS OS REQUISITOS DE QUALIDADE, RENDIMENTO, COMPATIBILIDADE, DURABILIDADE E SEGURANÇA – Art. 23, XI do Decreto Municipal 11.685/2023</w:t>
            </w:r>
          </w:p>
        </w:tc>
      </w:tr>
    </w:tbl>
    <w:p w14:paraId="0D27C9B6">
      <w:pPr>
        <w:ind w:left="-567" w:right="454"/>
        <w:jc w:val="both"/>
        <w:rPr>
          <w:rFonts w:ascii="Century Gothic" w:hAnsi="Century Gothic"/>
          <w:sz w:val="10"/>
          <w:szCs w:val="10"/>
        </w:rPr>
      </w:pPr>
    </w:p>
    <w:p w14:paraId="4A72161F">
      <w:pPr>
        <w:overflowPunct w:val="0"/>
        <w:spacing w:line="276" w:lineRule="auto"/>
        <w:ind w:left="-57" w:right="283"/>
        <w:jc w:val="both"/>
      </w:pPr>
      <w:r>
        <w:rPr>
          <w:rStyle w:val="128"/>
          <w:rFonts w:ascii="Century Gothic" w:hAnsi="Century Gothic" w:eastAsia="Arial"/>
          <w:b/>
          <w:bCs/>
          <w:color w:val="000000"/>
        </w:rPr>
        <w:t>14.1.</w:t>
      </w:r>
      <w:r>
        <w:rPr>
          <w:rStyle w:val="128"/>
          <w:rFonts w:ascii="Century Gothic" w:hAnsi="Century Gothic" w:eastAsia="Arial"/>
          <w:color w:val="000000"/>
        </w:rPr>
        <w:t xml:space="preserve"> A especificação completa e detalhada dos itens, bem como as suas quantidades estão previstas neste termo de referência.</w:t>
      </w:r>
    </w:p>
    <w:p w14:paraId="15C77649">
      <w:pPr>
        <w:overflowPunct w:val="0"/>
        <w:spacing w:line="276" w:lineRule="auto"/>
        <w:ind w:left="-57" w:right="283"/>
        <w:jc w:val="both"/>
        <w:rPr>
          <w:rStyle w:val="128"/>
          <w:rFonts w:ascii="Century Gothic" w:hAnsi="Century Gothic" w:eastAsia="Arial"/>
          <w:color w:val="000000"/>
          <w:sz w:val="4"/>
          <w:szCs w:val="4"/>
        </w:rPr>
      </w:pPr>
    </w:p>
    <w:tbl>
      <w:tblPr>
        <w:tblStyle w:val="12"/>
        <w:tblW w:w="9868" w:type="dxa"/>
        <w:tblInd w:w="79" w:type="dxa"/>
        <w:tblLayout w:type="fixed"/>
        <w:tblCellMar>
          <w:top w:w="0" w:type="dxa"/>
          <w:left w:w="108" w:type="dxa"/>
          <w:bottom w:w="0" w:type="dxa"/>
          <w:right w:w="108" w:type="dxa"/>
        </w:tblCellMar>
      </w:tblPr>
      <w:tblGrid>
        <w:gridCol w:w="9868"/>
      </w:tblGrid>
      <w:tr w14:paraId="5C30543C">
        <w:tblPrEx>
          <w:tblCellMar>
            <w:top w:w="0" w:type="dxa"/>
            <w:left w:w="108" w:type="dxa"/>
            <w:bottom w:w="0" w:type="dxa"/>
            <w:right w:w="108" w:type="dxa"/>
          </w:tblCellMar>
        </w:tblPrEx>
        <w:trPr>
          <w:trHeight w:val="290" w:hRule="atLeast"/>
        </w:trPr>
        <w:tc>
          <w:tcPr>
            <w:tcW w:w="9868" w:type="dxa"/>
            <w:tcBorders>
              <w:top w:val="single" w:color="000000" w:sz="4" w:space="0"/>
              <w:left w:val="single" w:color="000000" w:sz="4" w:space="0"/>
              <w:bottom w:val="single" w:color="000000" w:sz="4" w:space="0"/>
              <w:right w:val="single" w:color="000000" w:sz="4" w:space="0"/>
            </w:tcBorders>
            <w:shd w:val="clear" w:color="auto" w:fill="DDDDDD"/>
          </w:tcPr>
          <w:p w14:paraId="20118BE3">
            <w:pPr>
              <w:widowControl w:val="0"/>
              <w:jc w:val="center"/>
              <w:rPr>
                <w:sz w:val="22"/>
                <w:szCs w:val="22"/>
              </w:rPr>
            </w:pPr>
            <w:r>
              <w:rPr>
                <w:rFonts w:ascii="Century Gothic" w:hAnsi="Century Gothic"/>
                <w:b/>
                <w:bCs/>
                <w:sz w:val="22"/>
                <w:szCs w:val="22"/>
              </w:rPr>
              <w:t>15. INDICAÇÃO DOS LOCAIS DE ENTREGA DOS PRODUTOS E DAS REGRAS PARA RECEBIMENTOS PROVISÓRIO E DEFINITIVO, QUANDO FOR O CASO – Art. 23, XII do Decreto Municipal 11.685/2023 e Art. 140, II, “a” e “b” da Lei 14.133/2021</w:t>
            </w:r>
          </w:p>
        </w:tc>
      </w:tr>
    </w:tbl>
    <w:p w14:paraId="451C7AA8">
      <w:pPr>
        <w:overflowPunct w:val="0"/>
        <w:spacing w:line="276" w:lineRule="auto"/>
        <w:ind w:left="-57" w:right="227"/>
        <w:jc w:val="both"/>
        <w:rPr>
          <w:rStyle w:val="128"/>
          <w:rFonts w:ascii="Century Gothic" w:hAnsi="Century Gothic" w:eastAsia="Times New Romin;Times New Roman"/>
          <w:b/>
          <w:bCs/>
          <w:color w:val="000000"/>
          <w:sz w:val="10"/>
          <w:szCs w:val="10"/>
          <w:lang w:eastAsia="zh-CN"/>
        </w:rPr>
      </w:pPr>
    </w:p>
    <w:p w14:paraId="709A5858">
      <w:pPr>
        <w:spacing w:before="57" w:after="57" w:line="276" w:lineRule="auto"/>
        <w:ind w:right="170"/>
        <w:jc w:val="both"/>
        <w:rPr>
          <w:rFonts w:ascii="Century Gothic" w:hAnsi="Century Gothic"/>
        </w:rPr>
      </w:pPr>
      <w:r>
        <w:rPr>
          <w:rFonts w:ascii="Century Gothic" w:hAnsi="Century Gothic"/>
          <w:b/>
          <w:bCs/>
        </w:rPr>
        <w:t xml:space="preserve">15.1. </w:t>
      </w:r>
      <w:r>
        <w:rPr>
          <w:rFonts w:ascii="Century Gothic" w:hAnsi="Century Gothic"/>
        </w:rPr>
        <w:t>Os serviços de alimentação escolar deverão ser prestados em todas as unidades educacionais da rede pública municipal de ensino de Rondonópolis/MT, conforme relação atualizada fornecida pela Secretaria Municipal de Educação e constante em anexo a este Termo de Referência.</w:t>
      </w:r>
    </w:p>
    <w:p w14:paraId="6C3C1596">
      <w:pPr>
        <w:spacing w:before="57" w:after="57" w:line="276" w:lineRule="auto"/>
        <w:ind w:right="170"/>
        <w:jc w:val="both"/>
        <w:rPr>
          <w:rFonts w:ascii="Century Gothic" w:hAnsi="Century Gothic"/>
        </w:rPr>
      </w:pPr>
      <w:r>
        <w:rPr>
          <w:rFonts w:ascii="Century Gothic" w:hAnsi="Century Gothic"/>
          <w:b/>
          <w:bCs/>
        </w:rPr>
        <w:t>15.2.</w:t>
      </w:r>
      <w:r>
        <w:rPr>
          <w:rFonts w:ascii="Century Gothic" w:hAnsi="Century Gothic"/>
        </w:rPr>
        <w:t xml:space="preserve"> As unidades escolares atendidas abrangem escolas situadas tanto na zona urbana quanto na zona rural do município, devendo a contratada observar as condições logísticas e operacionais específicas de cada localidade, assegurando a entrega pontual, o correto armazenamento, a manipulação adequada dos alimentos e a distribuição das refeições em conformidade com os horários estabelecidos para cada turno escolar.</w:t>
      </w:r>
    </w:p>
    <w:p w14:paraId="581511CE">
      <w:pPr>
        <w:spacing w:before="57" w:after="57" w:line="276" w:lineRule="auto"/>
        <w:ind w:right="170"/>
        <w:jc w:val="both"/>
        <w:rPr>
          <w:rFonts w:ascii="Century Gothic" w:hAnsi="Century Gothic"/>
        </w:rPr>
      </w:pPr>
      <w:r>
        <w:rPr>
          <w:rFonts w:ascii="Century Gothic" w:hAnsi="Century Gothic"/>
          <w:b/>
          <w:bCs/>
        </w:rPr>
        <w:t xml:space="preserve">15.3. </w:t>
      </w:r>
      <w:r>
        <w:rPr>
          <w:rFonts w:ascii="Century Gothic" w:hAnsi="Century Gothic"/>
        </w:rPr>
        <w:t>Cabe à empresa contratada adaptar sua logística de transporte, entrega e preparo às características físicas, estruturais e operacionais de cada unidade escolar, inclusive aquelas de difícil acesso, devendo prever infraestrutura e rotas adequadas para assegurar a qualidade, integridade e regularidade do serviço prestado.</w:t>
      </w:r>
    </w:p>
    <w:p w14:paraId="3B58DE7C">
      <w:pPr>
        <w:spacing w:line="276" w:lineRule="auto"/>
        <w:ind w:right="170"/>
        <w:jc w:val="both"/>
        <w:rPr>
          <w:rFonts w:ascii="Century Gothic" w:hAnsi="Century Gothic"/>
        </w:rPr>
      </w:pPr>
      <w:r>
        <w:rPr>
          <w:rFonts w:ascii="Century Gothic" w:hAnsi="Century Gothic"/>
        </w:rPr>
        <w:t>A contratada deverá garantir cobertura total de atendimento nas seguintes modalidades:</w:t>
      </w:r>
    </w:p>
    <w:p w14:paraId="5B5BFBEF">
      <w:pPr>
        <w:numPr>
          <w:ilvl w:val="0"/>
          <w:numId w:val="9"/>
        </w:numPr>
        <w:spacing w:line="276" w:lineRule="auto"/>
        <w:jc w:val="both"/>
        <w:rPr>
          <w:rFonts w:ascii="Century Gothic" w:hAnsi="Century Gothic"/>
          <w:b/>
          <w:bCs/>
        </w:rPr>
      </w:pPr>
      <w:r>
        <w:rPr>
          <w:rFonts w:ascii="Century Gothic" w:hAnsi="Century Gothic"/>
          <w:b/>
          <w:bCs/>
        </w:rPr>
        <w:t>Creches (parciais e integrais);</w:t>
      </w:r>
    </w:p>
    <w:p w14:paraId="72DCE533">
      <w:pPr>
        <w:numPr>
          <w:ilvl w:val="0"/>
          <w:numId w:val="9"/>
        </w:numPr>
        <w:spacing w:line="276" w:lineRule="auto"/>
        <w:jc w:val="both"/>
        <w:rPr>
          <w:rFonts w:ascii="Century Gothic" w:hAnsi="Century Gothic"/>
          <w:b/>
          <w:bCs/>
        </w:rPr>
      </w:pPr>
      <w:r>
        <w:rPr>
          <w:rFonts w:ascii="Century Gothic" w:hAnsi="Century Gothic"/>
          <w:b/>
          <w:bCs/>
        </w:rPr>
        <w:t>Pré-escolas (parciais e integrais);</w:t>
      </w:r>
    </w:p>
    <w:p w14:paraId="1F51CC84">
      <w:pPr>
        <w:numPr>
          <w:ilvl w:val="0"/>
          <w:numId w:val="9"/>
        </w:numPr>
        <w:spacing w:line="276" w:lineRule="auto"/>
        <w:jc w:val="both"/>
        <w:rPr>
          <w:rFonts w:ascii="Century Gothic" w:hAnsi="Century Gothic"/>
          <w:b/>
          <w:bCs/>
        </w:rPr>
      </w:pPr>
      <w:r>
        <w:rPr>
          <w:rFonts w:ascii="Century Gothic" w:hAnsi="Century Gothic"/>
          <w:b/>
          <w:bCs/>
        </w:rPr>
        <w:t>Escolas de Ensino Fundamental I e II (parciais e integrais);</w:t>
      </w:r>
    </w:p>
    <w:p w14:paraId="201FA884">
      <w:pPr>
        <w:numPr>
          <w:ilvl w:val="0"/>
          <w:numId w:val="9"/>
        </w:numPr>
        <w:spacing w:line="276" w:lineRule="auto"/>
        <w:jc w:val="both"/>
        <w:rPr>
          <w:rFonts w:ascii="Century Gothic" w:hAnsi="Century Gothic"/>
          <w:b/>
          <w:bCs/>
        </w:rPr>
      </w:pPr>
      <w:r>
        <w:rPr>
          <w:rFonts w:ascii="Century Gothic" w:hAnsi="Century Gothic"/>
          <w:b/>
          <w:bCs/>
        </w:rPr>
        <w:t>Escolas com Atendimento Educacional Especializado (AEE);</w:t>
      </w:r>
    </w:p>
    <w:p w14:paraId="79908B25">
      <w:pPr>
        <w:numPr>
          <w:ilvl w:val="0"/>
          <w:numId w:val="9"/>
        </w:numPr>
        <w:spacing w:line="276" w:lineRule="auto"/>
        <w:jc w:val="both"/>
        <w:rPr>
          <w:rFonts w:ascii="Century Gothic" w:hAnsi="Century Gothic"/>
          <w:b/>
          <w:bCs/>
        </w:rPr>
      </w:pPr>
      <w:r>
        <w:rPr>
          <w:rFonts w:ascii="Century Gothic" w:hAnsi="Century Gothic"/>
          <w:b/>
          <w:bCs/>
        </w:rPr>
        <w:t>Unidades que atendem à Educação de Jovens e Adultos (EJA), no período noturno.</w:t>
      </w:r>
    </w:p>
    <w:p w14:paraId="3936F750">
      <w:pPr>
        <w:spacing w:line="276" w:lineRule="auto"/>
        <w:ind w:right="170"/>
        <w:jc w:val="both"/>
      </w:pPr>
      <w:r>
        <w:rPr>
          <w:rStyle w:val="128"/>
          <w:rFonts w:ascii="Century Gothic" w:hAnsi="Century Gothic" w:eastAsia="Arial"/>
          <w:b/>
          <w:bCs/>
        </w:rPr>
        <w:t xml:space="preserve">15.4. </w:t>
      </w:r>
      <w:r>
        <w:rPr>
          <w:rStyle w:val="128"/>
          <w:rFonts w:ascii="Century Gothic" w:hAnsi="Century Gothic" w:eastAsia="Arial"/>
        </w:rPr>
        <w:t>A relação nominal e quantitativa das unidades educacionais será fornecida no Anexo do ETP Lista de Escolas Atendidas deste Termo de Referência, devendo ser atualizada sempre que houver inclusão, exclusão ou alteração de local de atendimento, mediante comunicação oficial da Secretaria Municipal de Educação.</w:t>
      </w:r>
    </w:p>
    <w:tbl>
      <w:tblPr>
        <w:tblStyle w:val="12"/>
        <w:tblW w:w="9818" w:type="dxa"/>
        <w:tblInd w:w="128" w:type="dxa"/>
        <w:tblLayout w:type="fixed"/>
        <w:tblCellMar>
          <w:top w:w="0" w:type="dxa"/>
          <w:left w:w="108" w:type="dxa"/>
          <w:bottom w:w="0" w:type="dxa"/>
          <w:right w:w="108" w:type="dxa"/>
        </w:tblCellMar>
      </w:tblPr>
      <w:tblGrid>
        <w:gridCol w:w="9818"/>
      </w:tblGrid>
      <w:tr w14:paraId="11EDEE67">
        <w:tblPrEx>
          <w:tblCellMar>
            <w:top w:w="0" w:type="dxa"/>
            <w:left w:w="108" w:type="dxa"/>
            <w:bottom w:w="0" w:type="dxa"/>
            <w:right w:w="108" w:type="dxa"/>
          </w:tblCellMar>
        </w:tblPrEx>
        <w:trPr>
          <w:trHeight w:val="290" w:hRule="atLeast"/>
        </w:trPr>
        <w:tc>
          <w:tcPr>
            <w:tcW w:w="9818" w:type="dxa"/>
            <w:tcBorders>
              <w:top w:val="single" w:color="000000" w:sz="4" w:space="0"/>
              <w:left w:val="single" w:color="000000" w:sz="4" w:space="0"/>
              <w:bottom w:val="single" w:color="000000" w:sz="4" w:space="0"/>
              <w:right w:val="single" w:color="000000" w:sz="4" w:space="0"/>
            </w:tcBorders>
            <w:shd w:val="clear" w:color="auto" w:fill="DDDDDD"/>
          </w:tcPr>
          <w:p w14:paraId="0CBA8F0F">
            <w:pPr>
              <w:widowControl w:val="0"/>
              <w:spacing w:before="57" w:after="57"/>
              <w:jc w:val="center"/>
              <w:rPr>
                <w:rFonts w:ascii="Century Gothic" w:hAnsi="Century Gothic"/>
                <w:b/>
                <w:bCs/>
                <w:sz w:val="22"/>
                <w:szCs w:val="22"/>
              </w:rPr>
            </w:pPr>
            <w:r>
              <w:rPr>
                <w:rFonts w:ascii="Century Gothic" w:hAnsi="Century Gothic"/>
                <w:b/>
                <w:bCs/>
                <w:sz w:val="22"/>
                <w:szCs w:val="22"/>
              </w:rPr>
              <w:t>16. DA GARANTIA</w:t>
            </w:r>
          </w:p>
          <w:p w14:paraId="6C0EE180">
            <w:pPr>
              <w:widowControl w:val="0"/>
              <w:spacing w:before="57" w:after="57"/>
              <w:jc w:val="center"/>
            </w:pPr>
            <w:r>
              <w:rPr>
                <w:rFonts w:ascii="Century Gothic" w:hAnsi="Century Gothic"/>
                <w:b/>
                <w:bCs/>
                <w:sz w:val="22"/>
                <w:szCs w:val="22"/>
              </w:rPr>
              <w:t>– Art. 23, XIII do Decreto Municipal 11.685/2023 e Art. 140, § 1º, III,</w:t>
            </w:r>
            <w:r>
              <w:t xml:space="preserve"> </w:t>
            </w:r>
            <w:r>
              <w:rPr>
                <w:rFonts w:ascii="Century Gothic" w:hAnsi="Century Gothic"/>
                <w:b/>
                <w:bCs/>
                <w:sz w:val="22"/>
                <w:szCs w:val="22"/>
              </w:rPr>
              <w:t>da Lei 14.133/2021</w:t>
            </w:r>
          </w:p>
        </w:tc>
      </w:tr>
    </w:tbl>
    <w:p w14:paraId="6FDFA57B">
      <w:pPr>
        <w:ind w:left="-567" w:right="454"/>
        <w:jc w:val="both"/>
        <w:rPr>
          <w:rFonts w:ascii="Century Gothic" w:hAnsi="Century Gothic"/>
          <w:b/>
          <w:bCs/>
          <w:color w:val="000000"/>
          <w:sz w:val="10"/>
          <w:szCs w:val="10"/>
        </w:rPr>
      </w:pPr>
    </w:p>
    <w:p w14:paraId="71DC4522">
      <w:pPr>
        <w:spacing w:before="57" w:after="57" w:line="276" w:lineRule="auto"/>
        <w:ind w:right="227"/>
        <w:jc w:val="both"/>
      </w:pPr>
      <w:r>
        <w:rPr>
          <w:rStyle w:val="128"/>
          <w:rFonts w:ascii="Century Gothic" w:hAnsi="Century Gothic" w:eastAsia="Arial"/>
          <w:b/>
          <w:bCs/>
          <w:color w:val="000000"/>
        </w:rPr>
        <w:t>16.1.</w:t>
      </w:r>
      <w:r>
        <w:rPr>
          <w:rStyle w:val="128"/>
          <w:rFonts w:ascii="Century Gothic" w:hAnsi="Century Gothic" w:eastAsia="Arial"/>
          <w:color w:val="000000"/>
        </w:rPr>
        <w:t xml:space="preserve"> Será exigida a garantia da contratação no percentual de 5% do valor inicial do contrato, e no prazo de 60 meses, conforme regras previstas no futuro contrato.</w:t>
      </w:r>
    </w:p>
    <w:p w14:paraId="2A552775">
      <w:pPr>
        <w:spacing w:before="57" w:after="57" w:line="276" w:lineRule="auto"/>
        <w:ind w:right="227"/>
        <w:jc w:val="both"/>
      </w:pPr>
      <w:r>
        <w:rPr>
          <w:rStyle w:val="128"/>
          <w:rFonts w:ascii="Century Gothic" w:hAnsi="Century Gothic" w:eastAsia="Arial"/>
          <w:b/>
          <w:bCs/>
          <w:color w:val="000000"/>
        </w:rPr>
        <w:t xml:space="preserve">16.2. </w:t>
      </w:r>
      <w:r>
        <w:rPr>
          <w:rStyle w:val="128"/>
          <w:rFonts w:ascii="Century Gothic" w:hAnsi="Century Gothic" w:eastAsia="Arial"/>
          <w:color w:val="000000"/>
        </w:rPr>
        <w:t>A garantia deverá ser apresentada no seguinte prazo:</w:t>
      </w:r>
    </w:p>
    <w:p w14:paraId="1FD781F5">
      <w:pPr>
        <w:spacing w:before="57" w:after="57" w:line="276" w:lineRule="auto"/>
        <w:ind w:right="227"/>
        <w:jc w:val="both"/>
      </w:pPr>
      <w:r>
        <w:rPr>
          <w:rStyle w:val="128"/>
          <w:rFonts w:ascii="Century Gothic" w:hAnsi="Century Gothic" w:eastAsia="Arial"/>
          <w:b/>
          <w:bCs/>
          <w:color w:val="000000"/>
        </w:rPr>
        <w:t xml:space="preserve">16.3.1. </w:t>
      </w:r>
      <w:r>
        <w:rPr>
          <w:rStyle w:val="128"/>
          <w:rFonts w:ascii="Century Gothic" w:hAnsi="Century Gothic" w:eastAsia="Arial"/>
          <w:color w:val="000000"/>
        </w:rPr>
        <w:t>A garantia nas modalidades caução e fiança bancária deverá ser prestada em até 5 dias após o recebimento da notificação.</w:t>
      </w:r>
    </w:p>
    <w:p w14:paraId="29A14E4D">
      <w:pPr>
        <w:spacing w:before="57" w:after="57" w:line="276" w:lineRule="auto"/>
        <w:ind w:right="227"/>
        <w:jc w:val="both"/>
      </w:pPr>
      <w:r>
        <w:rPr>
          <w:rStyle w:val="128"/>
          <w:rFonts w:ascii="Century Gothic" w:hAnsi="Century Gothic" w:eastAsia="Arial"/>
          <w:b/>
          <w:bCs/>
          <w:color w:val="000000"/>
        </w:rPr>
        <w:t>16.3.2.</w:t>
      </w:r>
      <w:r>
        <w:rPr>
          <w:rStyle w:val="128"/>
          <w:rFonts w:ascii="Century Gothic" w:hAnsi="Century Gothic" w:eastAsia="Arial"/>
          <w:color w:val="000000"/>
        </w:rPr>
        <w:t xml:space="preserve"> No caso de seguro-garantia sua apresentação deverá ocorrer, no máximo, até 10 dias a contar da publicação da decisão homologatória do certame licitatório, respeitado o previsto no §3º do art. 96, da lei 14.133/2021.</w:t>
      </w:r>
    </w:p>
    <w:p w14:paraId="2C459F97">
      <w:pPr>
        <w:spacing w:before="57" w:after="57" w:line="276" w:lineRule="auto"/>
        <w:ind w:right="227"/>
        <w:jc w:val="both"/>
      </w:pPr>
      <w:r>
        <w:rPr>
          <w:rStyle w:val="128"/>
          <w:rFonts w:ascii="Century Gothic" w:hAnsi="Century Gothic" w:eastAsia="Arial"/>
          <w:b/>
          <w:bCs/>
          <w:color w:val="000000"/>
        </w:rPr>
        <w:t xml:space="preserve">16.4. </w:t>
      </w:r>
      <w:r>
        <w:rPr>
          <w:rStyle w:val="128"/>
          <w:rFonts w:ascii="Century Gothic" w:hAnsi="Century Gothic" w:eastAsia="Arial"/>
          <w:color w:val="000000"/>
        </w:rPr>
        <w:t>A garantia em dinheiro deverá ser efetuada em favor do contratante por meio do pagamento de boleto bancário.</w:t>
      </w:r>
    </w:p>
    <w:p w14:paraId="06081F81">
      <w:pPr>
        <w:spacing w:before="57" w:after="57" w:line="276" w:lineRule="auto"/>
        <w:ind w:right="227"/>
        <w:jc w:val="both"/>
      </w:pPr>
      <w:r>
        <w:rPr>
          <w:rStyle w:val="128"/>
          <w:rFonts w:ascii="Century Gothic" w:hAnsi="Century Gothic" w:eastAsia="Arial"/>
          <w:b/>
          <w:bCs/>
          <w:color w:val="000000"/>
        </w:rPr>
        <w:t>16.5.</w:t>
      </w:r>
      <w:r>
        <w:rPr>
          <w:rStyle w:val="128"/>
          <w:rFonts w:ascii="Century Gothic" w:hAnsi="Century Gothic" w:eastAsia="Arial"/>
          <w:color w:val="000000"/>
        </w:rPr>
        <w:t xml:space="preserve"> No caso de garantia na modalidade de fiança bancária, deverá constar expressa renúncia do fiador aos benefícios do artigo 827 do Código Civil.</w:t>
      </w:r>
    </w:p>
    <w:p w14:paraId="00AD3B75">
      <w:pPr>
        <w:spacing w:before="57" w:after="57" w:line="276" w:lineRule="auto"/>
        <w:ind w:right="227"/>
        <w:jc w:val="both"/>
      </w:pPr>
      <w:r>
        <w:rPr>
          <w:rStyle w:val="128"/>
          <w:rFonts w:ascii="Century Gothic" w:hAnsi="Century Gothic" w:eastAsia="Arial"/>
          <w:b/>
          <w:bCs/>
          <w:color w:val="000000"/>
        </w:rPr>
        <w:t>16.6.</w:t>
      </w:r>
      <w:r>
        <w:rPr>
          <w:rStyle w:val="128"/>
          <w:rFonts w:ascii="Century Gothic" w:hAnsi="Century Gothic" w:eastAsia="Arial"/>
          <w:color w:val="000000"/>
        </w:rPr>
        <w:t xml:space="preserve"> Caso utilizada a modalidade de seguro-garantia, a apólice deverá ter validade durante a vigência do contrato, nos termos do inciso I, do art. 97, da lei 14.133/2021.</w:t>
      </w:r>
    </w:p>
    <w:p w14:paraId="10CEB5B3">
      <w:pPr>
        <w:spacing w:before="57" w:after="57" w:line="276" w:lineRule="auto"/>
        <w:ind w:right="227"/>
        <w:jc w:val="both"/>
      </w:pPr>
      <w:r>
        <w:rPr>
          <w:rStyle w:val="128"/>
          <w:rFonts w:ascii="Century Gothic" w:hAnsi="Century Gothic" w:eastAsia="Arial"/>
          <w:b/>
          <w:bCs/>
          <w:color w:val="000000"/>
        </w:rPr>
        <w:t>16.7.</w:t>
      </w:r>
      <w:r>
        <w:rPr>
          <w:rStyle w:val="128"/>
          <w:rFonts w:ascii="Century Gothic" w:hAnsi="Century Gothic" w:eastAsia="Arial"/>
          <w:color w:val="000000"/>
        </w:rPr>
        <w:t xml:space="preserve"> A garantia assegurará, qualquer que seja a modalidade escolhida, o pagamento das despesas enumeradas no art. 139, inciso III, alíneas “a” a “c”, da Lei nº 14.133/2021.</w:t>
      </w:r>
    </w:p>
    <w:p w14:paraId="651D3E5C">
      <w:pPr>
        <w:spacing w:before="57" w:after="57" w:line="276" w:lineRule="auto"/>
        <w:ind w:right="227"/>
        <w:jc w:val="both"/>
      </w:pPr>
      <w:r>
        <w:rPr>
          <w:rStyle w:val="128"/>
          <w:rFonts w:ascii="Century Gothic" w:hAnsi="Century Gothic" w:eastAsia="Arial"/>
          <w:b/>
          <w:bCs/>
          <w:color w:val="000000"/>
        </w:rPr>
        <w:t xml:space="preserve">16.8. </w:t>
      </w:r>
      <w:r>
        <w:rPr>
          <w:rStyle w:val="128"/>
          <w:rFonts w:ascii="Century Gothic" w:hAnsi="Century Gothic" w:eastAsia="Arial"/>
          <w:color w:val="000000"/>
        </w:rPr>
        <w:t>Fica assegurado o direito de retenção da garantia, por parte da Administração Pública, para pagamento das despesas enumeradas no item anterior deste Termo de Referência.</w:t>
      </w:r>
    </w:p>
    <w:p w14:paraId="2DEE4CD1">
      <w:pPr>
        <w:spacing w:before="57" w:after="57" w:line="276" w:lineRule="auto"/>
        <w:ind w:right="227"/>
        <w:jc w:val="both"/>
      </w:pPr>
      <w:r>
        <w:rPr>
          <w:rStyle w:val="128"/>
          <w:rFonts w:ascii="Century Gothic" w:hAnsi="Century Gothic" w:eastAsia="Arial"/>
          <w:b/>
          <w:bCs/>
          <w:color w:val="000000"/>
        </w:rPr>
        <w:t>16.9.</w:t>
      </w:r>
      <w:r>
        <w:rPr>
          <w:rStyle w:val="128"/>
          <w:rFonts w:ascii="Century Gothic" w:hAnsi="Century Gothic" w:eastAsia="Arial"/>
          <w:color w:val="000000"/>
        </w:rPr>
        <w:t xml:space="preserve"> Se o valor da garantia for utilizado total ou parcialmente em pagamento de qualquer obrigação, a Contratada obriga-se a fazer a respectiva reposição no prazo máximo de 5 (cinco) dias úteis, contados da data em que for notificado, no caso das modalidades caução e fiança bancária, e no prazo de 10 (dez) dias</w:t>
      </w:r>
    </w:p>
    <w:p w14:paraId="2A05B39C">
      <w:pPr>
        <w:spacing w:before="57" w:after="57" w:line="276" w:lineRule="auto"/>
        <w:ind w:right="227"/>
        <w:jc w:val="both"/>
      </w:pPr>
      <w:r>
        <w:rPr>
          <w:rStyle w:val="128"/>
          <w:rFonts w:ascii="Century Gothic" w:hAnsi="Century Gothic" w:eastAsia="Arial"/>
          <w:b/>
          <w:bCs/>
          <w:color w:val="000000"/>
        </w:rPr>
        <w:t>16.10.</w:t>
      </w:r>
      <w:r>
        <w:rPr>
          <w:rStyle w:val="128"/>
          <w:rFonts w:ascii="Century Gothic" w:hAnsi="Century Gothic" w:eastAsia="Arial"/>
          <w:color w:val="000000"/>
        </w:rPr>
        <w:t xml:space="preserve"> No caso de alteração do valor do contrato, ou prorrogação de sua vigência, a garantia deverá ser ajustada ou renovada, seguindo os mesmos parâmetros utilizados quando da contratação.</w:t>
      </w:r>
    </w:p>
    <w:p w14:paraId="37C83EAA">
      <w:pPr>
        <w:spacing w:before="57" w:after="57" w:line="276" w:lineRule="auto"/>
        <w:ind w:right="227"/>
        <w:jc w:val="both"/>
      </w:pPr>
      <w:r>
        <w:rPr>
          <w:rStyle w:val="128"/>
          <w:rFonts w:ascii="Century Gothic" w:hAnsi="Century Gothic" w:eastAsia="Arial"/>
          <w:b/>
          <w:bCs/>
          <w:color w:val="000000"/>
        </w:rPr>
        <w:t xml:space="preserve">16.11. </w:t>
      </w:r>
      <w:r>
        <w:rPr>
          <w:rStyle w:val="128"/>
          <w:rFonts w:ascii="Century Gothic" w:hAnsi="Century Gothic" w:eastAsia="Arial"/>
          <w:color w:val="000000"/>
        </w:rPr>
        <w:t>Extinguir-se-á a garantia com a restituição da apólice, carta fiança ou autorização para a liberação de importâncias depositadas em dinheiro a título de garantia, acompanhada de declaração do contratante, mediante termo circunstanciado, de que a contratada cumpriu todas as cláusulas do contrato.</w:t>
      </w:r>
    </w:p>
    <w:p w14:paraId="1818D52E">
      <w:pPr>
        <w:spacing w:before="57" w:after="57" w:line="276" w:lineRule="auto"/>
        <w:ind w:right="227"/>
        <w:jc w:val="both"/>
      </w:pPr>
      <w:r>
        <w:rPr>
          <w:rStyle w:val="128"/>
          <w:rFonts w:ascii="Century Gothic" w:hAnsi="Century Gothic" w:eastAsia="Arial"/>
          <w:b/>
          <w:bCs/>
          <w:color w:val="000000"/>
        </w:rPr>
        <w:t>16.12.</w:t>
      </w:r>
      <w:r>
        <w:rPr>
          <w:rStyle w:val="128"/>
          <w:rFonts w:ascii="Century Gothic" w:hAnsi="Century Gothic" w:eastAsia="Arial"/>
          <w:color w:val="000000"/>
        </w:rPr>
        <w:t xml:space="preserve"> O garantidor não é parte para figurar em processo administrativo instaurado pelo contratante, com o objetivo de apurar prejuízos e/ou aplicar sanções à contratada.</w:t>
      </w:r>
    </w:p>
    <w:p w14:paraId="0BB6FBE3">
      <w:pPr>
        <w:spacing w:before="57" w:after="57" w:line="276" w:lineRule="auto"/>
        <w:ind w:right="227"/>
        <w:jc w:val="both"/>
      </w:pPr>
      <w:r>
        <w:rPr>
          <w:rStyle w:val="128"/>
          <w:rFonts w:ascii="Century Gothic" w:hAnsi="Century Gothic" w:eastAsia="Arial"/>
          <w:b/>
          <w:bCs/>
          <w:color w:val="000000"/>
        </w:rPr>
        <w:t xml:space="preserve">16.13. </w:t>
      </w:r>
      <w:r>
        <w:rPr>
          <w:rStyle w:val="128"/>
          <w:rFonts w:ascii="Century Gothic" w:hAnsi="Century Gothic" w:eastAsia="Arial"/>
          <w:color w:val="000000"/>
        </w:rPr>
        <w:t>A garantia de execução é independente de eventual garantia do produto prevista especificamente no Termo de Referência.</w:t>
      </w:r>
    </w:p>
    <w:p w14:paraId="05E9F375">
      <w:pPr>
        <w:ind w:left="-567" w:right="454"/>
        <w:jc w:val="both"/>
        <w:rPr>
          <w:rFonts w:ascii="Century Gothic" w:hAnsi="Century Gothic"/>
          <w:color w:val="000000"/>
          <w:sz w:val="4"/>
          <w:szCs w:val="4"/>
        </w:rPr>
      </w:pPr>
    </w:p>
    <w:tbl>
      <w:tblPr>
        <w:tblStyle w:val="12"/>
        <w:tblW w:w="9831" w:type="dxa"/>
        <w:tblInd w:w="115" w:type="dxa"/>
        <w:tblLayout w:type="fixed"/>
        <w:tblCellMar>
          <w:top w:w="0" w:type="dxa"/>
          <w:left w:w="108" w:type="dxa"/>
          <w:bottom w:w="0" w:type="dxa"/>
          <w:right w:w="108" w:type="dxa"/>
        </w:tblCellMar>
      </w:tblPr>
      <w:tblGrid>
        <w:gridCol w:w="9831"/>
      </w:tblGrid>
      <w:tr w14:paraId="1CB8E0D7">
        <w:tblPrEx>
          <w:tblCellMar>
            <w:top w:w="0" w:type="dxa"/>
            <w:left w:w="108" w:type="dxa"/>
            <w:bottom w:w="0" w:type="dxa"/>
            <w:right w:w="108" w:type="dxa"/>
          </w:tblCellMar>
        </w:tblPrEx>
        <w:trPr>
          <w:trHeight w:val="290" w:hRule="atLeast"/>
        </w:trPr>
        <w:tc>
          <w:tcPr>
            <w:tcW w:w="9831" w:type="dxa"/>
            <w:tcBorders>
              <w:top w:val="single" w:color="000000" w:sz="4" w:space="0"/>
              <w:left w:val="single" w:color="000000" w:sz="4" w:space="0"/>
              <w:bottom w:val="single" w:color="000000" w:sz="4" w:space="0"/>
              <w:right w:val="single" w:color="000000" w:sz="4" w:space="0"/>
            </w:tcBorders>
            <w:shd w:val="clear" w:color="auto" w:fill="DDDDDD"/>
          </w:tcPr>
          <w:p w14:paraId="7B2D879F">
            <w:pPr>
              <w:widowControl w:val="0"/>
              <w:spacing w:before="114" w:after="114"/>
              <w:jc w:val="center"/>
            </w:pPr>
            <w:r>
              <w:rPr>
                <w:rFonts w:ascii="Century Gothic" w:hAnsi="Century Gothic"/>
                <w:b/>
                <w:bCs/>
                <w:sz w:val="22"/>
                <w:szCs w:val="22"/>
              </w:rPr>
              <w:t>17. AVALIAÇÃO DA NECESSIDADE DE INSERIR COMO OBRIGAÇÃO DO CONTRATO A EXECUÇÃO DE LOGÍSTICA REVERSA – Art. 23, XIV do Decreto Municipal 11.685/2023</w:t>
            </w:r>
          </w:p>
        </w:tc>
      </w:tr>
    </w:tbl>
    <w:p w14:paraId="7B96582A">
      <w:pPr>
        <w:ind w:left="-567" w:right="397"/>
        <w:jc w:val="both"/>
        <w:rPr>
          <w:rFonts w:ascii="Century Gothic" w:hAnsi="Century Gothic"/>
          <w:b/>
          <w:bCs/>
          <w:sz w:val="10"/>
          <w:szCs w:val="10"/>
          <w:shd w:val="clear" w:color="auto" w:fill="FFFF00"/>
        </w:rPr>
      </w:pPr>
    </w:p>
    <w:p w14:paraId="51C14F13">
      <w:pPr>
        <w:overflowPunct w:val="0"/>
        <w:spacing w:before="57" w:after="57" w:line="276" w:lineRule="auto"/>
        <w:ind w:right="227"/>
        <w:jc w:val="both"/>
      </w:pPr>
      <w:r>
        <w:rPr>
          <w:rFonts w:ascii="Century Gothic" w:hAnsi="Century Gothic"/>
          <w:b/>
          <w:bCs/>
          <w:color w:val="000000"/>
        </w:rPr>
        <w:t xml:space="preserve">17.1. </w:t>
      </w:r>
      <w:r>
        <w:rPr>
          <w:rFonts w:ascii="Century Gothic" w:hAnsi="Century Gothic" w:cs="Arial"/>
          <w:color w:val="000000"/>
        </w:rPr>
        <w:t>Deve ser observados os critérios de sustentabilidade e as normativas vigentes quanto a produção, transporte e descarte de resíduos, quando for o caso.</w:t>
      </w:r>
    </w:p>
    <w:p w14:paraId="000363A6">
      <w:pPr>
        <w:overflowPunct w:val="0"/>
        <w:spacing w:before="57" w:after="57" w:line="276" w:lineRule="auto"/>
        <w:ind w:right="227"/>
        <w:jc w:val="both"/>
      </w:pPr>
      <w:r>
        <w:rPr>
          <w:rFonts w:ascii="Century Gothic" w:hAnsi="Century Gothic"/>
          <w:b/>
          <w:bCs/>
          <w:color w:val="000000"/>
        </w:rPr>
        <w:t xml:space="preserve">17.2. </w:t>
      </w:r>
      <w:r>
        <w:rPr>
          <w:rFonts w:ascii="Century Gothic" w:hAnsi="Century Gothic" w:cs="Arial"/>
          <w:color w:val="000000"/>
        </w:rPr>
        <w:t>Deverá ser apresentada declaração de que a empresa busca aplicar, quando possível e a seu alcance, os critérios mínimos exigidos pela logística em questão.</w:t>
      </w:r>
    </w:p>
    <w:p w14:paraId="1D127F52">
      <w:pPr>
        <w:ind w:left="-567" w:right="454"/>
        <w:jc w:val="both"/>
        <w:rPr>
          <w:rStyle w:val="128"/>
          <w:rFonts w:ascii="Century Gothic" w:hAnsi="Century Gothic" w:eastAsia="Arial"/>
          <w:color w:val="000000"/>
          <w:sz w:val="4"/>
          <w:szCs w:val="4"/>
        </w:rPr>
      </w:pPr>
    </w:p>
    <w:tbl>
      <w:tblPr>
        <w:tblStyle w:val="12"/>
        <w:tblW w:w="9856" w:type="dxa"/>
        <w:tblInd w:w="90" w:type="dxa"/>
        <w:tblLayout w:type="fixed"/>
        <w:tblCellMar>
          <w:top w:w="0" w:type="dxa"/>
          <w:left w:w="108" w:type="dxa"/>
          <w:bottom w:w="0" w:type="dxa"/>
          <w:right w:w="108" w:type="dxa"/>
        </w:tblCellMar>
      </w:tblPr>
      <w:tblGrid>
        <w:gridCol w:w="9856"/>
      </w:tblGrid>
      <w:tr w14:paraId="64FBF075">
        <w:tblPrEx>
          <w:tblCellMar>
            <w:top w:w="0" w:type="dxa"/>
            <w:left w:w="108" w:type="dxa"/>
            <w:bottom w:w="0" w:type="dxa"/>
            <w:right w:w="108" w:type="dxa"/>
          </w:tblCellMar>
        </w:tblPrEx>
        <w:trPr>
          <w:trHeight w:val="290" w:hRule="atLeast"/>
        </w:trPr>
        <w:tc>
          <w:tcPr>
            <w:tcW w:w="9856" w:type="dxa"/>
            <w:tcBorders>
              <w:top w:val="single" w:color="000000" w:sz="4" w:space="0"/>
              <w:left w:val="single" w:color="000000" w:sz="4" w:space="0"/>
              <w:bottom w:val="single" w:color="000000" w:sz="4" w:space="0"/>
              <w:right w:val="single" w:color="000000" w:sz="4" w:space="0"/>
            </w:tcBorders>
            <w:shd w:val="clear" w:color="auto" w:fill="DDDDDD"/>
          </w:tcPr>
          <w:p w14:paraId="69AB201D">
            <w:pPr>
              <w:widowControl w:val="0"/>
              <w:spacing w:before="57" w:after="57"/>
              <w:jc w:val="center"/>
            </w:pPr>
            <w:r>
              <w:rPr>
                <w:rFonts w:ascii="Century Gothic" w:hAnsi="Century Gothic"/>
                <w:b/>
                <w:bCs/>
                <w:sz w:val="22"/>
                <w:szCs w:val="22"/>
              </w:rPr>
              <w:t>18. DAS AMOSTRAS – Art. 42, § 2º e 3º, da Lei nº 14.133/2021</w:t>
            </w:r>
          </w:p>
        </w:tc>
      </w:tr>
    </w:tbl>
    <w:p w14:paraId="30449AA9">
      <w:pPr>
        <w:spacing w:line="276" w:lineRule="auto"/>
        <w:ind w:left="-567" w:right="454"/>
        <w:jc w:val="both"/>
        <w:rPr>
          <w:rStyle w:val="128"/>
          <w:rFonts w:ascii="Century Gothic" w:hAnsi="Century Gothic" w:eastAsia="Arial"/>
          <w:b/>
          <w:bCs/>
          <w:color w:val="000000"/>
          <w:sz w:val="10"/>
          <w:szCs w:val="10"/>
        </w:rPr>
      </w:pPr>
    </w:p>
    <w:p w14:paraId="52EE1D49">
      <w:pPr>
        <w:overflowPunct w:val="0"/>
        <w:spacing w:line="276" w:lineRule="auto"/>
        <w:ind w:right="227"/>
        <w:jc w:val="both"/>
      </w:pPr>
      <w:r>
        <w:rPr>
          <w:rStyle w:val="128"/>
          <w:rFonts w:ascii="Century Gothic" w:hAnsi="Century Gothic" w:eastAsia="Arial"/>
          <w:b/>
          <w:bCs/>
          <w:color w:val="000000"/>
        </w:rPr>
        <w:t xml:space="preserve">18.1. </w:t>
      </w:r>
      <w:r>
        <w:rPr>
          <w:rStyle w:val="128"/>
          <w:rFonts w:ascii="Century Gothic" w:hAnsi="Century Gothic" w:eastAsia="Arial"/>
          <w:color w:val="000000"/>
        </w:rPr>
        <w:t>Não haverá amostras.</w:t>
      </w:r>
    </w:p>
    <w:p w14:paraId="13E655D6">
      <w:pPr>
        <w:ind w:left="-567" w:right="454"/>
        <w:jc w:val="both"/>
        <w:rPr>
          <w:rFonts w:ascii="Century Gothic" w:hAnsi="Century Gothic"/>
          <w:b/>
          <w:bCs/>
          <w:color w:val="000000"/>
          <w:sz w:val="4"/>
          <w:szCs w:val="4"/>
        </w:rPr>
      </w:pPr>
    </w:p>
    <w:tbl>
      <w:tblPr>
        <w:tblStyle w:val="12"/>
        <w:tblW w:w="9818" w:type="dxa"/>
        <w:tblInd w:w="128" w:type="dxa"/>
        <w:tblLayout w:type="fixed"/>
        <w:tblCellMar>
          <w:top w:w="0" w:type="dxa"/>
          <w:left w:w="108" w:type="dxa"/>
          <w:bottom w:w="0" w:type="dxa"/>
          <w:right w:w="108" w:type="dxa"/>
        </w:tblCellMar>
      </w:tblPr>
      <w:tblGrid>
        <w:gridCol w:w="9818"/>
      </w:tblGrid>
      <w:tr w14:paraId="35EE9280">
        <w:tblPrEx>
          <w:tblCellMar>
            <w:top w:w="0" w:type="dxa"/>
            <w:left w:w="108" w:type="dxa"/>
            <w:bottom w:w="0" w:type="dxa"/>
            <w:right w:w="108" w:type="dxa"/>
          </w:tblCellMar>
        </w:tblPrEx>
        <w:trPr>
          <w:trHeight w:val="290" w:hRule="atLeast"/>
        </w:trPr>
        <w:tc>
          <w:tcPr>
            <w:tcW w:w="9818" w:type="dxa"/>
            <w:tcBorders>
              <w:top w:val="single" w:color="000000" w:sz="4" w:space="0"/>
              <w:left w:val="single" w:color="000000" w:sz="4" w:space="0"/>
              <w:bottom w:val="single" w:color="000000" w:sz="4" w:space="0"/>
              <w:right w:val="single" w:color="000000" w:sz="4" w:space="0"/>
            </w:tcBorders>
            <w:shd w:val="clear" w:color="auto" w:fill="DDDDDD"/>
          </w:tcPr>
          <w:p w14:paraId="06779DD4">
            <w:pPr>
              <w:widowControl w:val="0"/>
              <w:spacing w:before="57" w:after="57"/>
              <w:jc w:val="center"/>
            </w:pPr>
            <w:r>
              <w:rPr>
                <w:rFonts w:ascii="Century Gothic" w:hAnsi="Century Gothic"/>
                <w:b/>
                <w:bCs/>
                <w:sz w:val="22"/>
                <w:szCs w:val="22"/>
              </w:rPr>
              <w:t>19. DAS OBRIGAÇÕES DA CONTRATADA</w:t>
            </w:r>
          </w:p>
        </w:tc>
      </w:tr>
    </w:tbl>
    <w:p w14:paraId="1C771317">
      <w:pPr>
        <w:spacing w:line="276" w:lineRule="auto"/>
        <w:ind w:left="-567" w:right="454"/>
        <w:jc w:val="both"/>
        <w:rPr>
          <w:rFonts w:ascii="Century Gothic" w:hAnsi="Century Gothic"/>
          <w:sz w:val="10"/>
          <w:szCs w:val="10"/>
        </w:rPr>
      </w:pPr>
    </w:p>
    <w:p w14:paraId="1F2423FD">
      <w:pPr>
        <w:spacing w:line="276" w:lineRule="auto"/>
        <w:ind w:right="227"/>
        <w:jc w:val="both"/>
        <w:rPr>
          <w:b/>
          <w:bCs/>
        </w:rPr>
      </w:pPr>
      <w:r>
        <w:rPr>
          <w:rFonts w:ascii="Century Gothic" w:hAnsi="Century Gothic"/>
          <w:b/>
          <w:bCs/>
        </w:rPr>
        <w:t>Constituem obrigações indeclináveis da contratada:</w:t>
      </w:r>
    </w:p>
    <w:p w14:paraId="48855117">
      <w:pPr>
        <w:spacing w:before="57" w:after="57" w:line="276" w:lineRule="auto"/>
        <w:ind w:right="227"/>
        <w:jc w:val="both"/>
      </w:pPr>
      <w:r>
        <w:rPr>
          <w:rFonts w:ascii="Century Gothic" w:hAnsi="Century Gothic"/>
          <w:b/>
          <w:bCs/>
        </w:rPr>
        <w:t xml:space="preserve">19.1. </w:t>
      </w:r>
      <w:r>
        <w:rPr>
          <w:rFonts w:ascii="Century Gothic" w:hAnsi="Century Gothic"/>
        </w:rPr>
        <w:t>Executar o serviço com estrita observância aos princípios da legalidade, eficiência, economicidade, regularidade, continuidade e interesse público;</w:t>
      </w:r>
    </w:p>
    <w:p w14:paraId="3D84B154">
      <w:pPr>
        <w:spacing w:before="57" w:after="57" w:line="276" w:lineRule="auto"/>
        <w:ind w:right="227"/>
        <w:jc w:val="both"/>
      </w:pPr>
      <w:r>
        <w:rPr>
          <w:rFonts w:ascii="Century Gothic" w:hAnsi="Century Gothic"/>
          <w:b/>
          <w:bCs/>
        </w:rPr>
        <w:t xml:space="preserve">19.2. </w:t>
      </w:r>
      <w:r>
        <w:rPr>
          <w:rFonts w:ascii="Century Gothic" w:hAnsi="Century Gothic"/>
        </w:rPr>
        <w:t>Fornecer todos os gêneros alimentícios, insumos e materiais necessários à execução do contrato, em quantidade, qualidade e prazo compatíveis com a demanda, conforme padrões técnicos e sanitários exigidos pela legislação vigente;</w:t>
      </w:r>
    </w:p>
    <w:p w14:paraId="2693B26B">
      <w:pPr>
        <w:spacing w:before="57" w:after="57" w:line="276" w:lineRule="auto"/>
        <w:ind w:right="227"/>
        <w:jc w:val="both"/>
      </w:pPr>
      <w:r>
        <w:rPr>
          <w:rFonts w:ascii="Century Gothic" w:hAnsi="Century Gothic"/>
          <w:b/>
          <w:bCs/>
        </w:rPr>
        <w:t xml:space="preserve">19.3. </w:t>
      </w:r>
      <w:r>
        <w:rPr>
          <w:rFonts w:ascii="Century Gothic" w:hAnsi="Century Gothic"/>
        </w:rPr>
        <w:t>Realizar o preparo das refeições nos locais previamente definidos, observando as boas práticas de fabricação e manipulação de alimentos, os cardápios padronizados e as normas do Programa Nacional de Alimentação Escolar (PNAE), com supervisão de nutricionista habilitado;</w:t>
      </w:r>
    </w:p>
    <w:p w14:paraId="0B30709E">
      <w:pPr>
        <w:spacing w:line="276" w:lineRule="auto"/>
        <w:ind w:right="227"/>
        <w:jc w:val="both"/>
      </w:pPr>
      <w:r>
        <w:rPr>
          <w:rFonts w:ascii="Century Gothic" w:hAnsi="Century Gothic"/>
          <w:b/>
          <w:bCs/>
        </w:rPr>
        <w:t xml:space="preserve">19.4. </w:t>
      </w:r>
      <w:r>
        <w:rPr>
          <w:rFonts w:ascii="Century Gothic" w:hAnsi="Century Gothic"/>
        </w:rPr>
        <w:t>Transportar os alimentos e/ou refeições prontas em veículos próprios ou contratados, devidamente licenciados, assegurando a integridade física e sanitária dos produtos, conforme exigências da vigilância sanitária;</w:t>
      </w:r>
    </w:p>
    <w:p w14:paraId="5C5D0449">
      <w:pPr>
        <w:spacing w:before="57" w:after="57" w:line="276" w:lineRule="auto"/>
        <w:ind w:right="227"/>
        <w:jc w:val="both"/>
      </w:pPr>
      <w:r>
        <w:rPr>
          <w:rFonts w:ascii="Century Gothic" w:hAnsi="Century Gothic"/>
          <w:b/>
          <w:bCs/>
        </w:rPr>
        <w:t xml:space="preserve">19.5. </w:t>
      </w:r>
      <w:r>
        <w:rPr>
          <w:rFonts w:ascii="Century Gothic" w:hAnsi="Century Gothic"/>
        </w:rPr>
        <w:t>Fornecer, com regularidade e em tempo hábil, o gás liquefeito de petróleo (GLP) necessário para o preparo dos alimentos nas unidades escolares com cozinhas ativas;</w:t>
      </w:r>
    </w:p>
    <w:p w14:paraId="777A48C5">
      <w:pPr>
        <w:spacing w:before="57" w:after="57" w:line="276" w:lineRule="auto"/>
        <w:ind w:right="227"/>
        <w:jc w:val="both"/>
      </w:pPr>
      <w:r>
        <w:rPr>
          <w:rFonts w:ascii="Century Gothic" w:hAnsi="Century Gothic"/>
          <w:b/>
          <w:bCs/>
        </w:rPr>
        <w:t xml:space="preserve">19.6. </w:t>
      </w:r>
      <w:r>
        <w:rPr>
          <w:rFonts w:ascii="Century Gothic" w:hAnsi="Century Gothic"/>
        </w:rPr>
        <w:t>Disponibilizar todos os equipamentos e utensílios necessários à preparação e distribuição das refeições, responsabilizando-se pela manutenção preventiva e corretiva durante toda a vigência contratual, inclusive pela substituição de itens danificados, sem ônus para a contratante;</w:t>
      </w:r>
    </w:p>
    <w:p w14:paraId="2946AF1E">
      <w:pPr>
        <w:spacing w:before="57" w:after="57" w:line="276" w:lineRule="auto"/>
        <w:ind w:right="227"/>
        <w:jc w:val="both"/>
      </w:pPr>
      <w:r>
        <w:rPr>
          <w:rFonts w:ascii="Century Gothic" w:hAnsi="Century Gothic"/>
          <w:b/>
          <w:bCs/>
        </w:rPr>
        <w:t xml:space="preserve">19.7. </w:t>
      </w:r>
      <w:r>
        <w:rPr>
          <w:rFonts w:ascii="Century Gothic" w:hAnsi="Century Gothic"/>
        </w:rPr>
        <w:t>Garantir a limpeza e higienização diárias das áreas de preparo, armazenamento e distribuição, bem como dos equipamentos, utensílios e mobiliários utilizados, empregando produtos registrados junto aos órgãos competentes, conforme legislação sanitária;</w:t>
      </w:r>
    </w:p>
    <w:p w14:paraId="17B8EDFD">
      <w:pPr>
        <w:spacing w:before="57" w:after="57" w:line="276" w:lineRule="auto"/>
        <w:ind w:right="227"/>
        <w:jc w:val="both"/>
      </w:pPr>
      <w:r>
        <w:rPr>
          <w:rFonts w:ascii="Century Gothic" w:hAnsi="Century Gothic"/>
          <w:b/>
          <w:bCs/>
        </w:rPr>
        <w:t xml:space="preserve">19.8. </w:t>
      </w:r>
      <w:r>
        <w:rPr>
          <w:rFonts w:ascii="Century Gothic" w:hAnsi="Century Gothic"/>
        </w:rPr>
        <w:t>Manter, durante toda a execução do contrato, equipe técnica e operacional qualificada, composta por nutricionistas, cozinheiros, auxiliares de cozinha, motoristas, ajudantes e supervisores, em número suficiente para atender integralmente às unidades escolares abrangidas;</w:t>
      </w:r>
    </w:p>
    <w:p w14:paraId="2C8EBF74">
      <w:pPr>
        <w:spacing w:before="57" w:after="57" w:line="276" w:lineRule="auto"/>
        <w:ind w:right="227"/>
        <w:jc w:val="both"/>
      </w:pPr>
      <w:r>
        <w:rPr>
          <w:rFonts w:ascii="Century Gothic" w:hAnsi="Century Gothic"/>
          <w:b/>
          <w:bCs/>
        </w:rPr>
        <w:t xml:space="preserve">19.9. </w:t>
      </w:r>
      <w:r>
        <w:rPr>
          <w:rFonts w:ascii="Century Gothic" w:hAnsi="Century Gothic"/>
        </w:rPr>
        <w:t>Assegurar que os profissionais estejam devidamente uniformizados, munidos de equipamentos de proteção individual (EPIs) e capacitados para o desempenho de suas funções, cumprindo a legislação trabalhista e as normas de saúde e segurança do trabalho;</w:t>
      </w:r>
    </w:p>
    <w:p w14:paraId="7B5395FC">
      <w:pPr>
        <w:spacing w:before="57" w:after="57" w:line="276" w:lineRule="auto"/>
        <w:ind w:right="227"/>
        <w:jc w:val="both"/>
      </w:pPr>
      <w:r>
        <w:rPr>
          <w:rFonts w:ascii="Century Gothic" w:hAnsi="Century Gothic"/>
          <w:b/>
          <w:bCs/>
        </w:rPr>
        <w:t xml:space="preserve">19.10. </w:t>
      </w:r>
      <w:r>
        <w:rPr>
          <w:rFonts w:ascii="Century Gothic" w:hAnsi="Century Gothic"/>
        </w:rPr>
        <w:t>Manter vínculo direto com os profissionais envolvidos na execução do contrato, assumindo integral responsabilidade pelas obrigações trabalhistas, previdenciárias, fiscais e de qualquer outra natureza decorrentes da relação de emprego ou prestação de serviço, não cabendo à contratante qualquer responsabilidade solidária ou subsidiária;</w:t>
      </w:r>
    </w:p>
    <w:p w14:paraId="50ADE460">
      <w:pPr>
        <w:spacing w:before="57" w:after="57" w:line="276" w:lineRule="auto"/>
        <w:ind w:right="227"/>
        <w:jc w:val="both"/>
      </w:pPr>
      <w:r>
        <w:rPr>
          <w:rFonts w:ascii="Century Gothic" w:hAnsi="Century Gothic"/>
          <w:b/>
          <w:bCs/>
        </w:rPr>
        <w:t xml:space="preserve">19.11. </w:t>
      </w:r>
      <w:r>
        <w:rPr>
          <w:rFonts w:ascii="Century Gothic" w:hAnsi="Century Gothic"/>
        </w:rPr>
        <w:t>Acompanhar tecnicamente a execução do contrato por meio de profissional nutricionista responsável, que deverá emitir relatórios periódicos de avaliação da qualidade das refeições, cumprimento dos cardápios e observância às normas técnicas;</w:t>
      </w:r>
    </w:p>
    <w:p w14:paraId="3A1F0C38">
      <w:pPr>
        <w:spacing w:before="57" w:after="57" w:line="276" w:lineRule="auto"/>
        <w:ind w:right="227"/>
        <w:jc w:val="both"/>
      </w:pPr>
      <w:r>
        <w:rPr>
          <w:rFonts w:ascii="Century Gothic" w:hAnsi="Century Gothic"/>
          <w:b/>
          <w:bCs/>
        </w:rPr>
        <w:t xml:space="preserve">19.12. </w:t>
      </w:r>
      <w:r>
        <w:rPr>
          <w:rFonts w:ascii="Century Gothic" w:hAnsi="Century Gothic"/>
        </w:rPr>
        <w:t>Apresentar mensalmente relatórios de execução contendo, no mínimo, a quantidade de refeições fornecidas por unidade, consumo de gêneros alimentícios, ocorrências registradas, substituições de cardápio autorizadas e informações sobre manutenção dos equipamentos;</w:t>
      </w:r>
    </w:p>
    <w:p w14:paraId="542495E9">
      <w:pPr>
        <w:spacing w:before="57" w:after="57" w:line="276" w:lineRule="auto"/>
        <w:ind w:right="227"/>
        <w:jc w:val="both"/>
      </w:pPr>
      <w:r>
        <w:rPr>
          <w:rFonts w:ascii="Century Gothic" w:hAnsi="Century Gothic"/>
          <w:b/>
          <w:bCs/>
        </w:rPr>
        <w:t xml:space="preserve">19.13. </w:t>
      </w:r>
      <w:r>
        <w:rPr>
          <w:rFonts w:ascii="Century Gothic" w:hAnsi="Century Gothic"/>
        </w:rPr>
        <w:t>Manter canal de comunicação permanente com a contratante e com as unidades escolares, comprometendo-se a atender prontamente quaisquer solicitações, ajustes ou correções solicitadas pela fiscalização;</w:t>
      </w:r>
    </w:p>
    <w:p w14:paraId="1A97F61F">
      <w:pPr>
        <w:spacing w:before="57" w:after="57" w:line="276" w:lineRule="auto"/>
        <w:ind w:right="227"/>
        <w:jc w:val="both"/>
      </w:pPr>
      <w:r>
        <w:rPr>
          <w:rFonts w:ascii="Century Gothic" w:hAnsi="Century Gothic"/>
          <w:b/>
          <w:bCs/>
        </w:rPr>
        <w:t xml:space="preserve">19.14. </w:t>
      </w:r>
      <w:r>
        <w:rPr>
          <w:rFonts w:ascii="Century Gothic" w:hAnsi="Century Gothic"/>
        </w:rPr>
        <w:t>Atender rigorosamente à legislação federal, estadual e municipal aplicável, especialmente à Lei nº 14.133/2021, à Lei nº 11.947/2009, às resoluções do FNDE, às normas da ANVISA e às exigências constantes do contrato administrativo;</w:t>
      </w:r>
    </w:p>
    <w:p w14:paraId="52C9BB02">
      <w:pPr>
        <w:spacing w:before="57" w:after="57" w:line="276" w:lineRule="auto"/>
        <w:ind w:right="227"/>
        <w:jc w:val="both"/>
      </w:pPr>
      <w:r>
        <w:rPr>
          <w:rFonts w:ascii="Century Gothic" w:hAnsi="Century Gothic"/>
          <w:b/>
          <w:bCs/>
        </w:rPr>
        <w:t xml:space="preserve">19.15. </w:t>
      </w:r>
      <w:r>
        <w:rPr>
          <w:rFonts w:ascii="Century Gothic" w:hAnsi="Century Gothic"/>
        </w:rPr>
        <w:t>Assumir inteira responsabilidade pela integridade dos alimentos fornecidos, pela segurança alimentar dos estudantes e pela conformidade das refeições com os padrões nutricionais e sanitários, respondendo por quaisquer danos ou prejuízos decorrentes da má execução dos serviços.</w:t>
      </w:r>
    </w:p>
    <w:p w14:paraId="20181AF6">
      <w:pPr>
        <w:spacing w:before="57" w:after="57" w:line="276" w:lineRule="auto"/>
        <w:ind w:right="227"/>
        <w:jc w:val="both"/>
        <w:rPr>
          <w:rFonts w:ascii="Century Gothic" w:hAnsi="Century Gothic"/>
        </w:rPr>
      </w:pPr>
      <w:r>
        <w:rPr>
          <w:rFonts w:ascii="Century Gothic" w:hAnsi="Century Gothic"/>
          <w:b/>
          <w:bCs/>
        </w:rPr>
        <w:t xml:space="preserve">19.16. </w:t>
      </w:r>
      <w:r>
        <w:rPr>
          <w:rFonts w:ascii="Century Gothic" w:hAnsi="Century Gothic"/>
        </w:rPr>
        <w:t>Compete à Administração Pública, por meio da Secretaria Municipal de Educação de Rondonópolis/MT, adotar as providências necessárias para garantir a boa execução do contrato, devendo cumprir as obrigações a seguir enumeradas, sem prejuízo de outras previstas neste Termo de Referência, no edital de licitação e no contrato administrativo.</w:t>
      </w:r>
    </w:p>
    <w:p w14:paraId="57CF2409">
      <w:pPr>
        <w:ind w:left="-567" w:right="454"/>
        <w:jc w:val="center"/>
        <w:rPr>
          <w:rFonts w:ascii="Century Gothic" w:hAnsi="Century Gothic" w:eastAsia="Arial" w:cs="Arial"/>
          <w:b/>
          <w:sz w:val="4"/>
          <w:szCs w:val="4"/>
        </w:rPr>
      </w:pPr>
    </w:p>
    <w:tbl>
      <w:tblPr>
        <w:tblStyle w:val="12"/>
        <w:tblW w:w="9813" w:type="dxa"/>
        <w:tblInd w:w="140" w:type="dxa"/>
        <w:tblLayout w:type="fixed"/>
        <w:tblCellMar>
          <w:top w:w="0" w:type="dxa"/>
          <w:left w:w="108" w:type="dxa"/>
          <w:bottom w:w="0" w:type="dxa"/>
          <w:right w:w="108" w:type="dxa"/>
        </w:tblCellMar>
      </w:tblPr>
      <w:tblGrid>
        <w:gridCol w:w="9813"/>
      </w:tblGrid>
      <w:tr w14:paraId="47787E08">
        <w:tblPrEx>
          <w:tblCellMar>
            <w:top w:w="0" w:type="dxa"/>
            <w:left w:w="108" w:type="dxa"/>
            <w:bottom w:w="0" w:type="dxa"/>
            <w:right w:w="108" w:type="dxa"/>
          </w:tblCellMar>
        </w:tblPrEx>
        <w:trPr>
          <w:trHeight w:val="290" w:hRule="atLeast"/>
        </w:trPr>
        <w:tc>
          <w:tcPr>
            <w:tcW w:w="9813" w:type="dxa"/>
            <w:tcBorders>
              <w:top w:val="single" w:color="000000" w:sz="4" w:space="0"/>
              <w:left w:val="single" w:color="000000" w:sz="4" w:space="0"/>
              <w:bottom w:val="single" w:color="000000" w:sz="4" w:space="0"/>
              <w:right w:val="single" w:color="000000" w:sz="4" w:space="0"/>
            </w:tcBorders>
            <w:shd w:val="clear" w:color="auto" w:fill="DDDDDD"/>
          </w:tcPr>
          <w:p w14:paraId="40A650D9">
            <w:pPr>
              <w:widowControl w:val="0"/>
              <w:spacing w:before="57" w:after="57"/>
              <w:jc w:val="center"/>
            </w:pPr>
            <w:r>
              <w:rPr>
                <w:rFonts w:ascii="Century Gothic" w:hAnsi="Century Gothic"/>
                <w:b/>
                <w:bCs/>
                <w:sz w:val="22"/>
                <w:szCs w:val="22"/>
              </w:rPr>
              <w:t>20. DAS OBRIGAÇÕES DA CONTRATANTE</w:t>
            </w:r>
          </w:p>
        </w:tc>
      </w:tr>
    </w:tbl>
    <w:p w14:paraId="7487D3A4">
      <w:pPr>
        <w:spacing w:line="276" w:lineRule="auto"/>
        <w:ind w:left="-567" w:right="454"/>
        <w:jc w:val="both"/>
        <w:rPr>
          <w:rFonts w:ascii="Century Gothic" w:hAnsi="Century Gothic"/>
          <w:sz w:val="10"/>
          <w:szCs w:val="10"/>
        </w:rPr>
      </w:pPr>
    </w:p>
    <w:p w14:paraId="19CF3982">
      <w:pPr>
        <w:pStyle w:val="232"/>
        <w:tabs>
          <w:tab w:val="left" w:pos="363"/>
        </w:tabs>
        <w:spacing w:line="276" w:lineRule="auto"/>
        <w:jc w:val="both"/>
        <w:rPr>
          <w:rFonts w:ascii="Century Gothic" w:hAnsi="Century Gothic"/>
        </w:rPr>
      </w:pPr>
      <w:r>
        <w:rPr>
          <w:rFonts w:ascii="Century Gothic" w:hAnsi="Century Gothic"/>
          <w:b/>
          <w:bCs/>
        </w:rPr>
        <w:t>Constituem obrigações indeclináveis da contratante:</w:t>
      </w:r>
    </w:p>
    <w:p w14:paraId="3DDDFEAD">
      <w:pPr>
        <w:pStyle w:val="232"/>
        <w:tabs>
          <w:tab w:val="left" w:pos="363"/>
        </w:tabs>
        <w:spacing w:before="57" w:after="57" w:line="276" w:lineRule="auto"/>
        <w:ind w:right="227"/>
        <w:jc w:val="both"/>
        <w:rPr>
          <w:rFonts w:ascii="Century Gothic" w:hAnsi="Century Gothic"/>
        </w:rPr>
      </w:pPr>
      <w:r>
        <w:rPr>
          <w:rFonts w:ascii="Century Gothic" w:hAnsi="Century Gothic"/>
          <w:b/>
          <w:bCs/>
        </w:rPr>
        <w:t xml:space="preserve">20.1. </w:t>
      </w:r>
      <w:r>
        <w:rPr>
          <w:rFonts w:ascii="Century Gothic" w:hAnsi="Century Gothic"/>
        </w:rPr>
        <w:t>Designar formalmente fiscais do contrato e gestores responsáveis pelo acompanhamento da execução dos serviços, em conformidade com os arts. 117 e 118 da Lei nº 14.133/2021, assegurando a atuação técnica, operacional e administrativa adequada durante toda a vigência contratual;</w:t>
      </w:r>
    </w:p>
    <w:p w14:paraId="08801382">
      <w:pPr>
        <w:pStyle w:val="232"/>
        <w:tabs>
          <w:tab w:val="left" w:pos="363"/>
        </w:tabs>
        <w:spacing w:before="57" w:after="57" w:line="276" w:lineRule="auto"/>
        <w:ind w:right="227"/>
        <w:jc w:val="both"/>
        <w:rPr>
          <w:rFonts w:ascii="Century Gothic" w:hAnsi="Century Gothic"/>
        </w:rPr>
      </w:pPr>
      <w:r>
        <w:rPr>
          <w:rFonts w:ascii="Century Gothic" w:hAnsi="Century Gothic"/>
          <w:b/>
          <w:bCs/>
        </w:rPr>
        <w:t xml:space="preserve">20.2. </w:t>
      </w:r>
      <w:r>
        <w:rPr>
          <w:rFonts w:ascii="Century Gothic" w:hAnsi="Century Gothic"/>
        </w:rPr>
        <w:t>Proporcionar à fiscalização contratual condições para o desempenho de suas atribuições, incluindo acesso às unidades escolares, apoio técnico, instrumentos de controle e canais de comunicação com a empresa contratada;</w:t>
      </w:r>
    </w:p>
    <w:p w14:paraId="347921D7">
      <w:pPr>
        <w:pStyle w:val="232"/>
        <w:tabs>
          <w:tab w:val="left" w:pos="363"/>
        </w:tabs>
        <w:spacing w:before="57" w:after="57" w:line="276" w:lineRule="auto"/>
        <w:ind w:right="227"/>
        <w:jc w:val="both"/>
        <w:rPr>
          <w:rFonts w:ascii="Century Gothic" w:hAnsi="Century Gothic"/>
        </w:rPr>
      </w:pPr>
      <w:r>
        <w:rPr>
          <w:rFonts w:ascii="Century Gothic" w:hAnsi="Century Gothic"/>
          <w:b/>
          <w:bCs/>
        </w:rPr>
        <w:t xml:space="preserve">20.3. </w:t>
      </w:r>
      <w:r>
        <w:rPr>
          <w:rFonts w:ascii="Century Gothic" w:hAnsi="Century Gothic"/>
        </w:rPr>
        <w:t>Realizar, diretamente ou por meio dos fiscais designados, o monitoramento contínuo da prestação dos serviços, com aplicação de penalidades, quando cabível, nos termos contratuais e legais, em caso de inexecução total ou parcial das obrigações pactuadas;</w:t>
      </w:r>
    </w:p>
    <w:p w14:paraId="2614171D">
      <w:pPr>
        <w:pStyle w:val="232"/>
        <w:tabs>
          <w:tab w:val="left" w:pos="363"/>
        </w:tabs>
        <w:spacing w:before="57" w:after="57" w:line="276" w:lineRule="auto"/>
        <w:ind w:right="227"/>
        <w:jc w:val="both"/>
        <w:rPr>
          <w:rFonts w:ascii="Century Gothic" w:hAnsi="Century Gothic"/>
        </w:rPr>
      </w:pPr>
      <w:r>
        <w:rPr>
          <w:rFonts w:ascii="Century Gothic" w:hAnsi="Century Gothic"/>
          <w:b/>
          <w:bCs/>
        </w:rPr>
        <w:t xml:space="preserve">20.4. </w:t>
      </w:r>
      <w:r>
        <w:rPr>
          <w:rFonts w:ascii="Century Gothic" w:hAnsi="Century Gothic"/>
        </w:rPr>
        <w:t>Disponibilizar, quando necessário, os espaços físicos e estruturas mínimas das unidades escolares onde ocorrerá o preparo ou a distribuição das refeições, bem como permitir o acesso da equipe da contratada aos locais autorizados para execução dos serviços;</w:t>
      </w:r>
    </w:p>
    <w:p w14:paraId="6BC77D7D">
      <w:pPr>
        <w:pStyle w:val="232"/>
        <w:tabs>
          <w:tab w:val="left" w:pos="363"/>
        </w:tabs>
        <w:spacing w:before="57" w:after="57" w:line="276" w:lineRule="auto"/>
        <w:ind w:right="227"/>
        <w:jc w:val="both"/>
        <w:rPr>
          <w:rFonts w:ascii="Century Gothic" w:hAnsi="Century Gothic"/>
        </w:rPr>
      </w:pPr>
      <w:r>
        <w:rPr>
          <w:rFonts w:ascii="Century Gothic" w:hAnsi="Century Gothic"/>
          <w:b/>
          <w:bCs/>
        </w:rPr>
        <w:t xml:space="preserve">20.5. </w:t>
      </w:r>
      <w:r>
        <w:rPr>
          <w:rFonts w:ascii="Century Gothic" w:hAnsi="Century Gothic"/>
        </w:rPr>
        <w:t>Comunicar previamente à contratada qualquer alteração significativa no calendário escolar, na quantidade de alunos atendidos, nas unidades contempladas ou em outras variáveis que impactem o dimensionamento do serviço contratado;</w:t>
      </w:r>
    </w:p>
    <w:p w14:paraId="5F2608F6">
      <w:pPr>
        <w:pStyle w:val="232"/>
        <w:tabs>
          <w:tab w:val="left" w:pos="363"/>
        </w:tabs>
        <w:spacing w:before="57" w:after="57" w:line="276" w:lineRule="auto"/>
        <w:ind w:right="227"/>
        <w:jc w:val="both"/>
        <w:rPr>
          <w:rFonts w:ascii="Century Gothic" w:hAnsi="Century Gothic"/>
        </w:rPr>
      </w:pPr>
      <w:r>
        <w:rPr>
          <w:rFonts w:ascii="Century Gothic" w:hAnsi="Century Gothic"/>
          <w:b/>
          <w:bCs/>
        </w:rPr>
        <w:t xml:space="preserve">20.6. </w:t>
      </w:r>
      <w:r>
        <w:rPr>
          <w:rFonts w:ascii="Century Gothic" w:hAnsi="Century Gothic"/>
        </w:rPr>
        <w:t>Fornecer, no início do contrato, os dados atualizados sobre as unidades escolares, número de alunos por turno e modalidade de ensino, quadro de horários e quaisquer outras informações relevantes para a adequada prestação do serviço;</w:t>
      </w:r>
    </w:p>
    <w:p w14:paraId="5132BC94">
      <w:pPr>
        <w:pStyle w:val="232"/>
        <w:tabs>
          <w:tab w:val="left" w:pos="363"/>
        </w:tabs>
        <w:spacing w:before="57" w:after="57" w:line="276" w:lineRule="auto"/>
        <w:ind w:right="227"/>
        <w:jc w:val="both"/>
        <w:rPr>
          <w:rFonts w:ascii="Century Gothic" w:hAnsi="Century Gothic"/>
        </w:rPr>
      </w:pPr>
      <w:r>
        <w:rPr>
          <w:rFonts w:ascii="Century Gothic" w:hAnsi="Century Gothic"/>
          <w:b/>
          <w:bCs/>
        </w:rPr>
        <w:t xml:space="preserve">20.7. </w:t>
      </w:r>
      <w:r>
        <w:rPr>
          <w:rFonts w:ascii="Century Gothic" w:hAnsi="Century Gothic"/>
        </w:rPr>
        <w:t>Aprovar os cardápios a serem seguidos, elaborados e aprovados por nutricionista da contratada, conforme as diretrizes do Programa Nacional de Alimentação Escolar (PNAE), podendo propor alterações quando necessário;</w:t>
      </w:r>
    </w:p>
    <w:p w14:paraId="2279533B">
      <w:pPr>
        <w:pStyle w:val="232"/>
        <w:tabs>
          <w:tab w:val="left" w:pos="363"/>
        </w:tabs>
        <w:spacing w:before="57" w:after="57" w:line="276" w:lineRule="auto"/>
        <w:ind w:right="227"/>
        <w:jc w:val="both"/>
        <w:rPr>
          <w:rFonts w:ascii="Century Gothic" w:hAnsi="Century Gothic"/>
        </w:rPr>
      </w:pPr>
      <w:r>
        <w:rPr>
          <w:rFonts w:ascii="Century Gothic" w:hAnsi="Century Gothic"/>
          <w:b/>
          <w:bCs/>
        </w:rPr>
        <w:t xml:space="preserve">20.8. </w:t>
      </w:r>
      <w:r>
        <w:rPr>
          <w:rFonts w:ascii="Century Gothic" w:hAnsi="Century Gothic"/>
        </w:rPr>
        <w:t>Apoiar, quando solicitado, a atuação da equipe de supervisão nutricional da contratada nas visitas técnicas às unidades escolares, facilitando o acesso às instalações, documentos e informações essenciais à verificação da qualidade das refeições e do cumprimento das metas contratuais.</w:t>
      </w:r>
    </w:p>
    <w:p w14:paraId="237AD3A1">
      <w:pPr>
        <w:pStyle w:val="232"/>
        <w:tabs>
          <w:tab w:val="left" w:pos="363"/>
        </w:tabs>
        <w:spacing w:before="57" w:after="57" w:line="276" w:lineRule="auto"/>
        <w:ind w:right="227"/>
        <w:jc w:val="both"/>
        <w:rPr>
          <w:rFonts w:ascii="Century Gothic" w:hAnsi="Century Gothic"/>
        </w:rPr>
      </w:pPr>
      <w:r>
        <w:rPr>
          <w:rFonts w:ascii="Century Gothic" w:hAnsi="Century Gothic"/>
          <w:b/>
          <w:bCs/>
        </w:rPr>
        <w:t xml:space="preserve">20.9. </w:t>
      </w:r>
      <w:r>
        <w:rPr>
          <w:rFonts w:ascii="Century Gothic" w:hAnsi="Century Gothic"/>
        </w:rPr>
        <w:t>Verificar a conformidade dos documentos fiscais apresentados pela contratada e realizar o pagamento dos serviços efetivamente prestados, em conformidade com os prazos e condições estabelecidos no contrato, mediante atesto da fiscalização;</w:t>
      </w:r>
    </w:p>
    <w:p w14:paraId="3A158F1F">
      <w:pPr>
        <w:pStyle w:val="232"/>
        <w:tabs>
          <w:tab w:val="left" w:pos="363"/>
        </w:tabs>
        <w:spacing w:before="57" w:after="57" w:line="276" w:lineRule="auto"/>
        <w:ind w:right="227"/>
        <w:jc w:val="both"/>
        <w:rPr>
          <w:rFonts w:ascii="Century Gothic" w:hAnsi="Century Gothic"/>
        </w:rPr>
      </w:pPr>
      <w:r>
        <w:rPr>
          <w:rFonts w:ascii="Century Gothic" w:hAnsi="Century Gothic"/>
          <w:b/>
          <w:bCs/>
        </w:rPr>
        <w:t xml:space="preserve">20.10. </w:t>
      </w:r>
      <w:r>
        <w:rPr>
          <w:rFonts w:ascii="Century Gothic" w:hAnsi="Century Gothic"/>
        </w:rPr>
        <w:t>Informar à contratada, com antecedência razoável, qualquer impedimento orçamentário ou financeiro que possa comprometer a continuidade do contrato, adotando as medidas legais cabíveis para assegurar a manutenção da prestação do serviço;</w:t>
      </w:r>
    </w:p>
    <w:p w14:paraId="6820649D">
      <w:pPr>
        <w:pStyle w:val="232"/>
        <w:tabs>
          <w:tab w:val="left" w:pos="363"/>
        </w:tabs>
        <w:spacing w:before="57" w:after="57" w:line="276" w:lineRule="auto"/>
        <w:ind w:right="227"/>
        <w:jc w:val="both"/>
        <w:rPr>
          <w:rFonts w:ascii="Century Gothic" w:hAnsi="Century Gothic"/>
        </w:rPr>
      </w:pPr>
      <w:r>
        <w:rPr>
          <w:rFonts w:ascii="Century Gothic" w:hAnsi="Century Gothic"/>
          <w:b/>
          <w:bCs/>
          <w:szCs w:val="20"/>
        </w:rPr>
        <w:t xml:space="preserve">20.11. </w:t>
      </w:r>
      <w:r>
        <w:rPr>
          <w:rFonts w:ascii="Century Gothic" w:hAnsi="Century Gothic"/>
          <w:szCs w:val="20"/>
        </w:rPr>
        <w:t>Promover a análise e a instrução de eventuais pedidos de reequilíbrio econômico-financeiro ou revisão contratual, desde que devidamente motivados, instruídos e compatíveis com a legislação vigente.</w:t>
      </w:r>
    </w:p>
    <w:p w14:paraId="3DC0B865">
      <w:pPr>
        <w:suppressAutoHyphens w:val="0"/>
        <w:spacing w:line="276" w:lineRule="auto"/>
        <w:ind w:right="454"/>
        <w:jc w:val="both"/>
        <w:rPr>
          <w:rFonts w:ascii="Century Gothic" w:hAnsi="Century Gothic"/>
          <w:sz w:val="4"/>
          <w:szCs w:val="4"/>
        </w:rPr>
      </w:pPr>
    </w:p>
    <w:tbl>
      <w:tblPr>
        <w:tblStyle w:val="12"/>
        <w:tblW w:w="9888" w:type="dxa"/>
        <w:tblInd w:w="128" w:type="dxa"/>
        <w:tblLayout w:type="fixed"/>
        <w:tblCellMar>
          <w:top w:w="0" w:type="dxa"/>
          <w:left w:w="108" w:type="dxa"/>
          <w:bottom w:w="0" w:type="dxa"/>
          <w:right w:w="108" w:type="dxa"/>
        </w:tblCellMar>
      </w:tblPr>
      <w:tblGrid>
        <w:gridCol w:w="9888"/>
      </w:tblGrid>
      <w:tr w14:paraId="29B9619D">
        <w:tblPrEx>
          <w:tblCellMar>
            <w:top w:w="0" w:type="dxa"/>
            <w:left w:w="108" w:type="dxa"/>
            <w:bottom w:w="0" w:type="dxa"/>
            <w:right w:w="108" w:type="dxa"/>
          </w:tblCellMar>
        </w:tblPrEx>
        <w:trPr>
          <w:trHeight w:val="290" w:hRule="atLeast"/>
        </w:trPr>
        <w:tc>
          <w:tcPr>
            <w:tcW w:w="9888" w:type="dxa"/>
            <w:tcBorders>
              <w:top w:val="single" w:color="000000" w:sz="4" w:space="0"/>
              <w:left w:val="single" w:color="000000" w:sz="4" w:space="0"/>
              <w:bottom w:val="single" w:color="000000" w:sz="4" w:space="0"/>
              <w:right w:val="single" w:color="000000" w:sz="4" w:space="0"/>
            </w:tcBorders>
            <w:shd w:val="clear" w:color="auto" w:fill="DDDDDD"/>
          </w:tcPr>
          <w:p w14:paraId="256EE0F8">
            <w:pPr>
              <w:widowControl w:val="0"/>
              <w:spacing w:before="57" w:after="57"/>
              <w:jc w:val="center"/>
            </w:pPr>
            <w:r>
              <w:rPr>
                <w:rFonts w:ascii="Century Gothic" w:hAnsi="Century Gothic"/>
                <w:b/>
                <w:bCs/>
                <w:sz w:val="22"/>
                <w:szCs w:val="22"/>
              </w:rPr>
              <w:t>21. DAS SANÇÕES ADMINISTRATIVAS</w:t>
            </w:r>
          </w:p>
        </w:tc>
      </w:tr>
    </w:tbl>
    <w:p w14:paraId="47E27D81">
      <w:pPr>
        <w:spacing w:line="276" w:lineRule="auto"/>
        <w:ind w:left="-567" w:right="454"/>
        <w:jc w:val="both"/>
        <w:rPr>
          <w:rFonts w:ascii="Century Gothic" w:hAnsi="Century Gothic"/>
          <w:sz w:val="10"/>
          <w:szCs w:val="10"/>
        </w:rPr>
      </w:pPr>
    </w:p>
    <w:p w14:paraId="56F5A3EA">
      <w:pPr>
        <w:pStyle w:val="86"/>
        <w:tabs>
          <w:tab w:val="left" w:pos="0"/>
        </w:tabs>
        <w:suppressAutoHyphens w:val="0"/>
        <w:spacing w:line="276" w:lineRule="auto"/>
        <w:ind w:left="0" w:right="170"/>
        <w:jc w:val="both"/>
      </w:pPr>
      <w:r>
        <w:rPr>
          <w:rFonts w:ascii="Century Gothic" w:hAnsi="Century Gothic"/>
          <w:b/>
          <w:bCs/>
        </w:rPr>
        <w:t>21.1.</w:t>
      </w:r>
      <w:r>
        <w:rPr>
          <w:rFonts w:ascii="Century Gothic" w:hAnsi="Century Gothic"/>
        </w:rPr>
        <w:t xml:space="preserve"> A aplicação de penalidade é de competência do secretário, ressalvado o caso de Advertência.</w:t>
      </w:r>
    </w:p>
    <w:p w14:paraId="289E30FC">
      <w:pPr>
        <w:pStyle w:val="86"/>
        <w:tabs>
          <w:tab w:val="left" w:pos="0"/>
        </w:tabs>
        <w:suppressAutoHyphens w:val="0"/>
        <w:spacing w:line="276" w:lineRule="auto"/>
        <w:ind w:left="0" w:right="170"/>
        <w:jc w:val="both"/>
      </w:pPr>
      <w:r>
        <w:rPr>
          <w:rFonts w:ascii="Century Gothic" w:hAnsi="Century Gothic"/>
          <w:b/>
          <w:bCs/>
        </w:rPr>
        <w:t>21.2.</w:t>
      </w:r>
      <w:r>
        <w:rPr>
          <w:rFonts w:ascii="Century Gothic" w:hAnsi="Century Gothic"/>
        </w:rPr>
        <w:t xml:space="preserve"> A empresa contratada ficará sujeita as penalidades, caso deixar de cumprir os prazos e demais obrigações assumidas, observado o contraditório e ampla defesa.</w:t>
      </w:r>
    </w:p>
    <w:p w14:paraId="57C9F961">
      <w:pPr>
        <w:pStyle w:val="86"/>
        <w:tabs>
          <w:tab w:val="left" w:pos="0"/>
        </w:tabs>
        <w:suppressAutoHyphens w:val="0"/>
        <w:spacing w:line="276" w:lineRule="auto"/>
        <w:ind w:left="0" w:right="170"/>
        <w:jc w:val="both"/>
      </w:pPr>
      <w:r>
        <w:rPr>
          <w:rFonts w:ascii="Century Gothic" w:hAnsi="Century Gothic"/>
          <w:b/>
          <w:bCs/>
        </w:rPr>
        <w:t>21.3.</w:t>
      </w:r>
      <w:r>
        <w:rPr>
          <w:rFonts w:ascii="Century Gothic" w:hAnsi="Century Gothic"/>
        </w:rPr>
        <w:t xml:space="preserve"> As infrações administrativas são as dispostas na Lei Federal n° 14.133/2021 em seu art. 155 e incisos.</w:t>
      </w:r>
    </w:p>
    <w:p w14:paraId="7A70E32A">
      <w:pPr>
        <w:pStyle w:val="86"/>
        <w:tabs>
          <w:tab w:val="left" w:pos="0"/>
        </w:tabs>
        <w:suppressAutoHyphens w:val="0"/>
        <w:spacing w:line="276" w:lineRule="auto"/>
        <w:ind w:left="0" w:right="113"/>
        <w:jc w:val="both"/>
      </w:pPr>
      <w:r>
        <w:rPr>
          <w:rFonts w:ascii="Century Gothic" w:hAnsi="Century Gothic"/>
          <w:b/>
          <w:bCs/>
        </w:rPr>
        <w:t>21</w:t>
      </w:r>
      <w:r>
        <w:rPr>
          <w:rFonts w:ascii="Century Gothic" w:hAnsi="Century Gothic" w:cs="Century Gothic"/>
          <w:b/>
          <w:bCs/>
          <w:color w:val="000000"/>
        </w:rPr>
        <w:t xml:space="preserve">.4. </w:t>
      </w:r>
      <w:r>
        <w:rPr>
          <w:rFonts w:ascii="Century Gothic" w:hAnsi="Century Gothic" w:cs="Century Gothic"/>
          <w:color w:val="000000"/>
        </w:rPr>
        <w:t>Serão aplicadas ao responsável pelas infrações administrativas as seguintes sanções:</w:t>
      </w:r>
    </w:p>
    <w:p w14:paraId="57C7B5CC">
      <w:pPr>
        <w:spacing w:line="276" w:lineRule="auto"/>
        <w:ind w:left="510" w:right="170"/>
        <w:jc w:val="both"/>
      </w:pPr>
      <w:r>
        <w:rPr>
          <w:rFonts w:ascii="Century Gothic" w:hAnsi="Century Gothic"/>
          <w:b/>
          <w:bCs/>
        </w:rPr>
        <w:t>1.</w:t>
      </w:r>
      <w:r>
        <w:rPr>
          <w:rFonts w:ascii="Century Gothic" w:hAnsi="Century Gothic"/>
        </w:rPr>
        <w:t xml:space="preserve"> Advertência, quando o Contratado der causa à inexecução parcial do contrato, sempre que não se justificar a imposição de penalidade mais grave (art. 156, §2º, da Lei); </w:t>
      </w:r>
    </w:p>
    <w:p w14:paraId="2396308C">
      <w:pPr>
        <w:spacing w:line="276" w:lineRule="auto"/>
        <w:ind w:left="510" w:right="170"/>
        <w:jc w:val="both"/>
      </w:pPr>
      <w:r>
        <w:rPr>
          <w:rFonts w:ascii="Century Gothic" w:hAnsi="Century Gothic"/>
          <w:b/>
          <w:bCs/>
        </w:rPr>
        <w:t>2.</w:t>
      </w:r>
      <w:r>
        <w:rPr>
          <w:rFonts w:ascii="Century Gothic" w:hAnsi="Century Gothic"/>
        </w:rPr>
        <w:t xml:space="preserve"> ii) Impedimento de licitar e contratar, quando praticadas as condutas descritas nas alíneas b, c, d, e, f e g do subitem acima deste Contrato, sempre que não se justificar a imposição de penalidade mais grave (art. 156, §4º, da Lei); </w:t>
      </w:r>
    </w:p>
    <w:p w14:paraId="53D131BE">
      <w:pPr>
        <w:spacing w:line="276" w:lineRule="auto"/>
        <w:ind w:left="510" w:right="170"/>
        <w:jc w:val="both"/>
      </w:pPr>
      <w:r>
        <w:rPr>
          <w:rFonts w:ascii="Century Gothic" w:hAnsi="Century Gothic"/>
          <w:b/>
          <w:bCs/>
        </w:rPr>
        <w:t>3.</w:t>
      </w:r>
      <w:r>
        <w:rPr>
          <w:rFonts w:ascii="Century Gothic" w:hAnsi="Century Gothic"/>
        </w:rPr>
        <w:t xml:space="preserve"> Declaração de inidoneidade para licitar e contratar, quando praticadas as condutas descritas nos incisos II, III, IV, V, VI e VII do caput do art. 155 da Lei Federal 14.133/2021, bem como nos incisos II, III, IV, V, VI e VII do caput do art. 155, que justifiquem a imposição de penalidade mais grave (art. 156, §5º, da Lei) </w:t>
      </w:r>
    </w:p>
    <w:p w14:paraId="1B6E196C">
      <w:pPr>
        <w:spacing w:line="276" w:lineRule="auto"/>
        <w:ind w:left="510" w:right="170"/>
        <w:jc w:val="both"/>
      </w:pPr>
      <w:r>
        <w:rPr>
          <w:rFonts w:ascii="Century Gothic" w:hAnsi="Century Gothic"/>
          <w:b/>
          <w:bCs/>
        </w:rPr>
        <w:t>4.</w:t>
      </w:r>
      <w:r>
        <w:rPr>
          <w:rFonts w:ascii="Century Gothic" w:hAnsi="Century Gothic"/>
        </w:rPr>
        <w:t xml:space="preserve"> Multa: (1) moratória de 1 % (um por cento) por dia de atraso injustificado sobre o valor da parcela inadimplida, até o limite de 30 (trinta) dias; (2) compensatória de 10% (dez por cento) sobre o valor total do contrato, no caso de inexecução total do objeto ou sobre o valor da parcela inadimplida, no caso de inexecução parcial;</w:t>
      </w:r>
    </w:p>
    <w:p w14:paraId="69D1FE14">
      <w:pPr>
        <w:pStyle w:val="86"/>
        <w:tabs>
          <w:tab w:val="left" w:pos="0"/>
        </w:tabs>
        <w:suppressAutoHyphens w:val="0"/>
        <w:spacing w:line="276" w:lineRule="auto"/>
        <w:ind w:left="0" w:right="170"/>
        <w:jc w:val="both"/>
      </w:pPr>
      <w:r>
        <w:rPr>
          <w:rFonts w:ascii="Century Gothic" w:hAnsi="Century Gothic"/>
          <w:b/>
          <w:bCs/>
        </w:rPr>
        <w:t>21</w:t>
      </w:r>
      <w:r>
        <w:rPr>
          <w:rFonts w:ascii="Century Gothic" w:hAnsi="Century Gothic" w:cs="Century Gothic"/>
          <w:b/>
          <w:bCs/>
          <w:color w:val="000000"/>
        </w:rPr>
        <w:t xml:space="preserve">.5. </w:t>
      </w:r>
      <w:r>
        <w:rPr>
          <w:rFonts w:ascii="Century Gothic" w:hAnsi="Century Gothic" w:cs="Century Gothic"/>
          <w:color w:val="000000"/>
        </w:rPr>
        <w:t>A aplicação das sanções previstas neste Contrato não exclui, em hipótese alguma, a obrigação de reparação integral do dano causado à Contratante (art. 156, §9º).</w:t>
      </w:r>
    </w:p>
    <w:p w14:paraId="380D27CC">
      <w:pPr>
        <w:pStyle w:val="86"/>
        <w:tabs>
          <w:tab w:val="left" w:pos="0"/>
        </w:tabs>
        <w:suppressAutoHyphens w:val="0"/>
        <w:spacing w:line="276" w:lineRule="auto"/>
        <w:ind w:left="0" w:right="170"/>
        <w:jc w:val="both"/>
      </w:pPr>
      <w:r>
        <w:rPr>
          <w:rFonts w:ascii="Century Gothic" w:hAnsi="Century Gothic"/>
          <w:b/>
          <w:bCs/>
        </w:rPr>
        <w:t>21.6.</w:t>
      </w:r>
      <w:r>
        <w:rPr>
          <w:rFonts w:ascii="Century Gothic" w:hAnsi="Century Gothic"/>
        </w:rPr>
        <w:t xml:space="preserve"> Todas as sanções previstas neste Contrato poderão ser aplicadas cumulativamente com a multa (art. 156, §7º)</w:t>
      </w:r>
    </w:p>
    <w:p w14:paraId="6BBC917A">
      <w:pPr>
        <w:pStyle w:val="86"/>
        <w:tabs>
          <w:tab w:val="left" w:pos="0"/>
        </w:tabs>
        <w:suppressAutoHyphens w:val="0"/>
        <w:spacing w:line="276" w:lineRule="auto"/>
        <w:ind w:left="0" w:right="170"/>
        <w:jc w:val="both"/>
      </w:pPr>
      <w:r>
        <w:rPr>
          <w:rFonts w:ascii="Century Gothic" w:hAnsi="Century Gothic"/>
          <w:b/>
          <w:bCs/>
        </w:rPr>
        <w:t>21.7.</w:t>
      </w:r>
      <w:r>
        <w:rPr>
          <w:rFonts w:ascii="Century Gothic" w:hAnsi="Century Gothic"/>
        </w:rPr>
        <w:t xml:space="preserve"> Antes da aplicação da multa será facultada a defesa do interessado no prazo de 15 (quinze) dias</w:t>
      </w:r>
      <w:r>
        <w:rPr>
          <w:rFonts w:ascii="Century Gothic" w:hAnsi="Century Gothic" w:cs="Century Gothic"/>
          <w:color w:val="000000"/>
        </w:rPr>
        <w:t xml:space="preserve"> </w:t>
      </w:r>
      <w:r>
        <w:rPr>
          <w:rFonts w:ascii="Century Gothic" w:hAnsi="Century Gothic"/>
        </w:rPr>
        <w:t>úteis, contado da data de sua intimação (art. 157).</w:t>
      </w:r>
    </w:p>
    <w:p w14:paraId="3C25E364">
      <w:pPr>
        <w:pStyle w:val="86"/>
        <w:tabs>
          <w:tab w:val="left" w:pos="0"/>
        </w:tabs>
        <w:suppressAutoHyphens w:val="0"/>
        <w:spacing w:line="276" w:lineRule="auto"/>
        <w:ind w:left="0" w:right="170"/>
        <w:jc w:val="both"/>
      </w:pPr>
      <w:r>
        <w:rPr>
          <w:rFonts w:ascii="Century Gothic" w:hAnsi="Century Gothic"/>
          <w:b/>
          <w:bCs/>
        </w:rPr>
        <w:t>21.8.</w:t>
      </w:r>
      <w:r>
        <w:rPr>
          <w:rFonts w:ascii="Century Gothic" w:hAnsi="Century Gothic"/>
        </w:rPr>
        <w:t xml:space="preserve"> Se a multa aplicada e as indenizações cabíveis forem superiores ao valor do pagamento eventualmente devido pela Contratante ao Contratado, além da perda desse valor, a diferença será descontada da garantia prestada ou será cobrada judicialmente (art. 156, §8º).</w:t>
      </w:r>
    </w:p>
    <w:p w14:paraId="149146BA">
      <w:pPr>
        <w:pStyle w:val="86"/>
        <w:tabs>
          <w:tab w:val="left" w:pos="0"/>
        </w:tabs>
        <w:suppressAutoHyphens w:val="0"/>
        <w:spacing w:line="276" w:lineRule="auto"/>
        <w:ind w:left="0" w:right="170"/>
        <w:jc w:val="both"/>
      </w:pPr>
      <w:r>
        <w:rPr>
          <w:rFonts w:ascii="Century Gothic" w:hAnsi="Century Gothic"/>
          <w:b/>
          <w:bCs/>
        </w:rPr>
        <w:t xml:space="preserve">21.9. </w:t>
      </w:r>
      <w:r>
        <w:rPr>
          <w:rFonts w:ascii="Century Gothic" w:hAnsi="Century Gothic"/>
        </w:rPr>
        <w:t>Previamente ao encaminhamento à cobrança judicial, a multa poderá ser recolhida administrativamente no prazo máximo de 30 (trinta) dias, a contar da data do recebimento da comunicação enviada pela autoridade competente.</w:t>
      </w:r>
    </w:p>
    <w:p w14:paraId="2453076B">
      <w:pPr>
        <w:pStyle w:val="86"/>
        <w:tabs>
          <w:tab w:val="left" w:pos="0"/>
        </w:tabs>
        <w:suppressAutoHyphens w:val="0"/>
        <w:spacing w:line="276" w:lineRule="auto"/>
        <w:ind w:left="0" w:right="170"/>
        <w:jc w:val="both"/>
      </w:pPr>
      <w:r>
        <w:rPr>
          <w:rFonts w:ascii="Century Gothic" w:hAnsi="Century Gothic"/>
          <w:b/>
          <w:bCs/>
        </w:rPr>
        <w:t xml:space="preserve">21.10. </w:t>
      </w:r>
      <w:r>
        <w:rPr>
          <w:rFonts w:ascii="Century Gothic" w:hAnsi="Century Gothic"/>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2050500A">
      <w:pPr>
        <w:pStyle w:val="86"/>
        <w:tabs>
          <w:tab w:val="left" w:pos="0"/>
        </w:tabs>
        <w:suppressAutoHyphens w:val="0"/>
        <w:spacing w:line="276" w:lineRule="auto"/>
        <w:ind w:left="0" w:right="283"/>
        <w:jc w:val="both"/>
      </w:pPr>
      <w:r>
        <w:rPr>
          <w:rFonts w:ascii="Century Gothic" w:hAnsi="Century Gothic"/>
          <w:b/>
          <w:bCs/>
        </w:rPr>
        <w:t>21.11.</w:t>
      </w:r>
      <w:r>
        <w:rPr>
          <w:rFonts w:ascii="Century Gothic" w:hAnsi="Century Gothic"/>
        </w:rPr>
        <w:t xml:space="preserve"> Na aplicação das sanções serão considerados (art. 156, §1º):</w:t>
      </w:r>
    </w:p>
    <w:p w14:paraId="441B6401">
      <w:pPr>
        <w:pStyle w:val="86"/>
        <w:tabs>
          <w:tab w:val="left" w:pos="0"/>
        </w:tabs>
        <w:spacing w:line="288" w:lineRule="auto"/>
        <w:ind w:right="283"/>
        <w:jc w:val="both"/>
      </w:pPr>
      <w:r>
        <w:rPr>
          <w:rFonts w:ascii="Century Gothic" w:hAnsi="Century Gothic" w:cs="Century Gothic"/>
          <w:b/>
          <w:bCs/>
          <w:color w:val="000000"/>
        </w:rPr>
        <w:t xml:space="preserve">a) </w:t>
      </w:r>
      <w:r>
        <w:rPr>
          <w:rFonts w:ascii="Century Gothic" w:hAnsi="Century Gothic" w:cs="Century Gothic"/>
          <w:color w:val="000000"/>
        </w:rPr>
        <w:t>a natureza e a gravidade da infração cometida;</w:t>
      </w:r>
    </w:p>
    <w:p w14:paraId="69D84211">
      <w:pPr>
        <w:pStyle w:val="86"/>
        <w:tabs>
          <w:tab w:val="left" w:pos="0"/>
        </w:tabs>
        <w:spacing w:line="288" w:lineRule="auto"/>
        <w:ind w:right="283"/>
        <w:jc w:val="both"/>
      </w:pPr>
      <w:r>
        <w:rPr>
          <w:rFonts w:ascii="Century Gothic" w:hAnsi="Century Gothic" w:cs="Century Gothic"/>
          <w:b/>
          <w:bCs/>
          <w:color w:val="000000"/>
        </w:rPr>
        <w:t xml:space="preserve">b) </w:t>
      </w:r>
      <w:r>
        <w:rPr>
          <w:rFonts w:ascii="Century Gothic" w:hAnsi="Century Gothic" w:cs="Century Gothic"/>
          <w:color w:val="000000"/>
        </w:rPr>
        <w:t>as peculiaridades do caso concreto;</w:t>
      </w:r>
    </w:p>
    <w:p w14:paraId="286B7FDC">
      <w:pPr>
        <w:pStyle w:val="86"/>
        <w:tabs>
          <w:tab w:val="left" w:pos="0"/>
        </w:tabs>
        <w:spacing w:line="288" w:lineRule="auto"/>
        <w:ind w:right="283"/>
        <w:jc w:val="both"/>
      </w:pPr>
      <w:r>
        <w:rPr>
          <w:rFonts w:ascii="Century Gothic" w:hAnsi="Century Gothic" w:cs="Century Gothic"/>
          <w:b/>
          <w:bCs/>
          <w:color w:val="000000"/>
        </w:rPr>
        <w:t xml:space="preserve">c) </w:t>
      </w:r>
      <w:r>
        <w:rPr>
          <w:rFonts w:ascii="Century Gothic" w:hAnsi="Century Gothic" w:cs="Century Gothic"/>
          <w:color w:val="000000"/>
        </w:rPr>
        <w:t>as circunstâncias agravantes ou atenuantes;</w:t>
      </w:r>
    </w:p>
    <w:p w14:paraId="3F14F429">
      <w:pPr>
        <w:pStyle w:val="86"/>
        <w:tabs>
          <w:tab w:val="left" w:pos="0"/>
        </w:tabs>
        <w:spacing w:line="288" w:lineRule="auto"/>
        <w:ind w:right="283"/>
        <w:jc w:val="both"/>
      </w:pPr>
      <w:r>
        <w:rPr>
          <w:rFonts w:ascii="Century Gothic" w:hAnsi="Century Gothic" w:cs="Century Gothic"/>
          <w:b/>
          <w:bCs/>
          <w:color w:val="000000"/>
        </w:rPr>
        <w:t xml:space="preserve">d) </w:t>
      </w:r>
      <w:r>
        <w:rPr>
          <w:rFonts w:ascii="Century Gothic" w:hAnsi="Century Gothic" w:cs="Century Gothic"/>
          <w:color w:val="000000"/>
        </w:rPr>
        <w:t>os danos que dela provierem para a Contratante;</w:t>
      </w:r>
    </w:p>
    <w:p w14:paraId="21E7AF8C">
      <w:pPr>
        <w:pStyle w:val="86"/>
        <w:tabs>
          <w:tab w:val="left" w:pos="0"/>
        </w:tabs>
        <w:suppressAutoHyphens w:val="0"/>
        <w:spacing w:line="288" w:lineRule="auto"/>
        <w:ind w:left="737" w:right="340"/>
        <w:jc w:val="both"/>
      </w:pPr>
      <w:r>
        <w:rPr>
          <w:rFonts w:ascii="Century Gothic" w:hAnsi="Century Gothic" w:cs="Century Gothic"/>
          <w:b/>
          <w:bCs/>
          <w:color w:val="000000"/>
        </w:rPr>
        <w:t>e)</w:t>
      </w:r>
      <w:r>
        <w:rPr>
          <w:rFonts w:ascii="Century Gothic" w:hAnsi="Century Gothic" w:cs="Century Gothic"/>
          <w:color w:val="000000"/>
        </w:rPr>
        <w:t xml:space="preserve"> a implantação ou o aperfeiçoamento de programa de integridade, conforme normas e orientações dos órgãos de controle.</w:t>
      </w:r>
    </w:p>
    <w:p w14:paraId="504661DA">
      <w:pPr>
        <w:pStyle w:val="86"/>
        <w:tabs>
          <w:tab w:val="left" w:pos="0"/>
        </w:tabs>
        <w:suppressAutoHyphens w:val="0"/>
        <w:spacing w:line="276" w:lineRule="auto"/>
        <w:ind w:left="0" w:right="113"/>
        <w:jc w:val="both"/>
      </w:pPr>
      <w:r>
        <w:rPr>
          <w:rFonts w:ascii="Century Gothic" w:hAnsi="Century Gothic"/>
          <w:b/>
          <w:bCs/>
        </w:rPr>
        <w:t xml:space="preserve">21.12. </w:t>
      </w:r>
      <w:r>
        <w:rPr>
          <w:rFonts w:ascii="Century Gothic" w:hAnsi="Century Gothic"/>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w:t>
      </w:r>
    </w:p>
    <w:p w14:paraId="3724D9CA">
      <w:pPr>
        <w:pStyle w:val="86"/>
        <w:tabs>
          <w:tab w:val="left" w:pos="0"/>
        </w:tabs>
        <w:suppressAutoHyphens w:val="0"/>
        <w:spacing w:line="276" w:lineRule="auto"/>
        <w:ind w:left="0" w:right="113"/>
        <w:jc w:val="both"/>
      </w:pPr>
      <w:r>
        <w:rPr>
          <w:rFonts w:ascii="Century Gothic" w:hAnsi="Century Gothic"/>
          <w:b/>
          <w:bCs/>
        </w:rPr>
        <w:t>21.13.</w:t>
      </w:r>
      <w:r>
        <w:rPr>
          <w:rFonts w:ascii="Century Gothic" w:hAnsi="Century Gothic"/>
        </w:rPr>
        <w:t xml:space="preserve"> 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w:t>
      </w:r>
    </w:p>
    <w:p w14:paraId="1BC3DBF3">
      <w:pPr>
        <w:pStyle w:val="86"/>
        <w:tabs>
          <w:tab w:val="left" w:pos="0"/>
        </w:tabs>
        <w:suppressAutoHyphens w:val="0"/>
        <w:spacing w:line="276" w:lineRule="auto"/>
        <w:ind w:left="0" w:right="113"/>
        <w:jc w:val="both"/>
      </w:pPr>
      <w:r>
        <w:rPr>
          <w:rFonts w:ascii="Century Gothic" w:hAnsi="Century Gothic"/>
          <w:b/>
          <w:bCs/>
        </w:rPr>
        <w:t>21.14.</w:t>
      </w:r>
      <w:r>
        <w:rPr>
          <w:rFonts w:ascii="Century Gothic" w:hAnsi="Century Gothic"/>
        </w:rPr>
        <w:t xml:space="preserve"> A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(Art. 161).</w:t>
      </w:r>
    </w:p>
    <w:p w14:paraId="43D9AA48">
      <w:pPr>
        <w:pStyle w:val="86"/>
        <w:tabs>
          <w:tab w:val="left" w:pos="0"/>
        </w:tabs>
        <w:suppressAutoHyphens w:val="0"/>
        <w:spacing w:line="276" w:lineRule="auto"/>
        <w:ind w:left="0" w:right="113"/>
        <w:jc w:val="both"/>
      </w:pPr>
      <w:r>
        <w:rPr>
          <w:rFonts w:ascii="Century Gothic" w:hAnsi="Century Gothic"/>
          <w:b/>
          <w:bCs/>
        </w:rPr>
        <w:t>21</w:t>
      </w:r>
      <w:r>
        <w:rPr>
          <w:rFonts w:ascii="Century Gothic" w:hAnsi="Century Gothic" w:cs="Arial"/>
          <w:b/>
          <w:bCs/>
        </w:rPr>
        <w:t xml:space="preserve">.15. </w:t>
      </w:r>
      <w:r>
        <w:rPr>
          <w:rFonts w:ascii="Century Gothic" w:hAnsi="Century Gothic" w:cs="Arial"/>
        </w:rPr>
        <w:t>As sanções de impedimento de licitar e contratar e declaração de inidoneidade para licitar ou contratar são passíveis de reabilitação na forma do art. 163 da Lei nº 14.133/21.</w:t>
      </w:r>
    </w:p>
    <w:p w14:paraId="10665E0E">
      <w:pPr>
        <w:ind w:left="-567" w:right="454"/>
        <w:jc w:val="both"/>
        <w:rPr>
          <w:rFonts w:ascii="Century Gothic" w:hAnsi="Century Gothic"/>
          <w:color w:val="000000"/>
          <w:sz w:val="4"/>
          <w:szCs w:val="4"/>
        </w:rPr>
      </w:pPr>
    </w:p>
    <w:tbl>
      <w:tblPr>
        <w:tblStyle w:val="12"/>
        <w:tblW w:w="9938" w:type="dxa"/>
        <w:tblInd w:w="115" w:type="dxa"/>
        <w:tblLayout w:type="fixed"/>
        <w:tblCellMar>
          <w:top w:w="0" w:type="dxa"/>
          <w:left w:w="108" w:type="dxa"/>
          <w:bottom w:w="0" w:type="dxa"/>
          <w:right w:w="108" w:type="dxa"/>
        </w:tblCellMar>
      </w:tblPr>
      <w:tblGrid>
        <w:gridCol w:w="9938"/>
      </w:tblGrid>
      <w:tr w14:paraId="3AA10CAE">
        <w:tblPrEx>
          <w:tblCellMar>
            <w:top w:w="0" w:type="dxa"/>
            <w:left w:w="108" w:type="dxa"/>
            <w:bottom w:w="0" w:type="dxa"/>
            <w:right w:w="108" w:type="dxa"/>
          </w:tblCellMar>
        </w:tblPrEx>
        <w:trPr>
          <w:trHeight w:val="290" w:hRule="atLeast"/>
        </w:trPr>
        <w:tc>
          <w:tcPr>
            <w:tcW w:w="9938" w:type="dxa"/>
            <w:tcBorders>
              <w:top w:val="single" w:color="000000" w:sz="4" w:space="0"/>
              <w:left w:val="single" w:color="000000" w:sz="4" w:space="0"/>
              <w:bottom w:val="single" w:color="000000" w:sz="4" w:space="0"/>
              <w:right w:val="single" w:color="000000" w:sz="4" w:space="0"/>
            </w:tcBorders>
            <w:shd w:val="clear" w:color="auto" w:fill="DDDDDD"/>
          </w:tcPr>
          <w:p w14:paraId="42330704">
            <w:pPr>
              <w:widowControl w:val="0"/>
              <w:spacing w:before="57" w:after="57"/>
              <w:jc w:val="center"/>
            </w:pPr>
            <w:r>
              <w:rPr>
                <w:rFonts w:ascii="Century Gothic" w:hAnsi="Century Gothic"/>
                <w:b/>
                <w:bCs/>
                <w:sz w:val="22"/>
                <w:szCs w:val="22"/>
              </w:rPr>
              <w:t>22. DA POSSIBILIDADE DE ADESÃO POR ORGÃOS OU ENTIDADES NÃO PARTICIPANTES (“CARONA”)</w:t>
            </w:r>
          </w:p>
        </w:tc>
      </w:tr>
    </w:tbl>
    <w:p w14:paraId="4F703C16">
      <w:pPr>
        <w:suppressAutoHyphens w:val="0"/>
        <w:spacing w:line="276" w:lineRule="auto"/>
        <w:ind w:left="-567" w:right="454"/>
        <w:jc w:val="both"/>
        <w:rPr>
          <w:rStyle w:val="128"/>
          <w:rFonts w:ascii="Century Gothic" w:hAnsi="Century Gothic" w:eastAsia="Arial"/>
          <w:b/>
          <w:bCs/>
          <w:sz w:val="10"/>
          <w:szCs w:val="10"/>
        </w:rPr>
      </w:pPr>
    </w:p>
    <w:p w14:paraId="1FBDFFC5">
      <w:pPr>
        <w:suppressAutoHyphens w:val="0"/>
        <w:spacing w:line="276" w:lineRule="auto"/>
        <w:ind w:right="57"/>
        <w:jc w:val="both"/>
      </w:pPr>
      <w:r>
        <w:rPr>
          <w:rStyle w:val="128"/>
          <w:rFonts w:ascii="Century Gothic" w:hAnsi="Century Gothic" w:eastAsia="Arial"/>
          <w:b/>
          <w:bCs/>
        </w:rPr>
        <w:t xml:space="preserve">22.1. </w:t>
      </w:r>
      <w:r>
        <w:rPr>
          <w:rStyle w:val="128"/>
          <w:rFonts w:ascii="Century Gothic" w:hAnsi="Century Gothic" w:eastAsia="Arial"/>
        </w:rPr>
        <w:t>Nos termos do artigo 86, inciso III, da Lei nº 14.133/2021, fica autorizada a adesão à Ata de Registro de Preços por órgãos ou entidades da Administração Pública que não tenham participado do respectivo processo licitatório, mediante prévia justificativa da vantajosidade da contratação, observados os seguintes critérios:</w:t>
      </w:r>
    </w:p>
    <w:p w14:paraId="5709F1FF">
      <w:pPr>
        <w:suppressAutoHyphens w:val="0"/>
        <w:spacing w:line="276" w:lineRule="auto"/>
        <w:ind w:right="57"/>
        <w:jc w:val="both"/>
      </w:pPr>
      <w:r>
        <w:rPr>
          <w:rStyle w:val="128"/>
          <w:rFonts w:ascii="Century Gothic" w:hAnsi="Century Gothic" w:eastAsia="Arial"/>
          <w:b/>
          <w:bCs/>
        </w:rPr>
        <w:t>22.1.1.</w:t>
      </w:r>
      <w:r>
        <w:rPr>
          <w:rStyle w:val="128"/>
          <w:rFonts w:ascii="Century Gothic" w:hAnsi="Century Gothic" w:eastAsia="Arial"/>
        </w:rPr>
        <w:t xml:space="preserve"> A adesão (“carona”) somente poderá ocorrer durante a vigência da Ata de Registro de Preços, respeitados os quantitativos máximos registrados, incluídas eventuais contratações decorrentes de adesões.</w:t>
      </w:r>
    </w:p>
    <w:p w14:paraId="33959DC7">
      <w:pPr>
        <w:suppressAutoHyphens w:val="0"/>
        <w:spacing w:line="276" w:lineRule="auto"/>
        <w:ind w:right="57"/>
        <w:jc w:val="both"/>
      </w:pPr>
      <w:r>
        <w:rPr>
          <w:rStyle w:val="128"/>
          <w:rFonts w:ascii="Century Gothic" w:hAnsi="Century Gothic" w:eastAsia="Arial"/>
          <w:b/>
          <w:bCs/>
        </w:rPr>
        <w:t xml:space="preserve">22.1.2. </w:t>
      </w:r>
      <w:r>
        <w:rPr>
          <w:rStyle w:val="128"/>
          <w:rFonts w:ascii="Century Gothic" w:hAnsi="Century Gothic" w:eastAsia="Arial"/>
        </w:rPr>
        <w:t>O órgão ou entidade não participante deverá consultar previamente a Administração Gerenciadora, que avaliará a viabilidade e a conveniência da adesão, com base em manifestação técnica e jurídica.</w:t>
      </w:r>
    </w:p>
    <w:p w14:paraId="0DD2A27A">
      <w:pPr>
        <w:suppressAutoHyphens w:val="0"/>
        <w:spacing w:line="276" w:lineRule="auto"/>
        <w:ind w:right="57"/>
        <w:jc w:val="both"/>
      </w:pPr>
      <w:r>
        <w:rPr>
          <w:rStyle w:val="128"/>
          <w:rFonts w:ascii="Century Gothic" w:hAnsi="Century Gothic" w:eastAsia="Arial"/>
          <w:b/>
          <w:bCs/>
        </w:rPr>
        <w:t xml:space="preserve">22.1.3. </w:t>
      </w:r>
      <w:r>
        <w:rPr>
          <w:rStyle w:val="128"/>
          <w:rFonts w:ascii="Century Gothic" w:hAnsi="Century Gothic" w:eastAsia="Arial"/>
        </w:rPr>
        <w:t>A adjudicatária deverá manifestar aceite formal quanto à adesão, observando os preços e as condições constantes na Ata de Registro de Preços original.</w:t>
      </w:r>
    </w:p>
    <w:p w14:paraId="64AFEB39">
      <w:pPr>
        <w:suppressAutoHyphens w:val="0"/>
        <w:spacing w:line="276" w:lineRule="auto"/>
        <w:ind w:right="57"/>
        <w:jc w:val="both"/>
      </w:pPr>
      <w:r>
        <w:rPr>
          <w:rStyle w:val="128"/>
          <w:rFonts w:ascii="Century Gothic" w:hAnsi="Century Gothic" w:eastAsia="Arial"/>
          <w:b/>
          <w:bCs/>
        </w:rPr>
        <w:t>22.1.4.</w:t>
      </w:r>
      <w:r>
        <w:rPr>
          <w:rStyle w:val="128"/>
          <w:rFonts w:ascii="Century Gothic" w:hAnsi="Century Gothic" w:eastAsia="Arial"/>
        </w:rPr>
        <w:t xml:space="preserve"> O quantitativo total decorrente das adesões não poderá exceder ao quíntuplo do quantitativo registrado para cada item, conforme limite </w:t>
      </w:r>
      <w:r>
        <w:rPr>
          <w:rFonts w:ascii="Arial" w:hAnsi="Arial" w:eastAsia="Arial" w:cs="Arial"/>
        </w:rPr>
        <w:t>fixado no §4º e §6º do art. 86 da lei 14.133/2021</w:t>
      </w:r>
      <w:r>
        <w:rPr>
          <w:rStyle w:val="128"/>
          <w:rFonts w:ascii="Century Gothic" w:hAnsi="Century Gothic" w:eastAsia="Arial"/>
        </w:rPr>
        <w:t>, aplicável subsidiariamente até a edição de norma específica pelo ente federativo, salvo disposição diversa expressamente justificada no processo.</w:t>
      </w:r>
    </w:p>
    <w:p w14:paraId="4BDFDFCB">
      <w:pPr>
        <w:suppressAutoHyphens w:val="0"/>
        <w:spacing w:line="276" w:lineRule="auto"/>
        <w:ind w:right="57"/>
        <w:jc w:val="both"/>
        <w:rPr>
          <w:rStyle w:val="128"/>
          <w:rFonts w:ascii="Century Gothic" w:hAnsi="Century Gothic" w:eastAsia="Arial"/>
        </w:rPr>
      </w:pPr>
      <w:r>
        <w:rPr>
          <w:rStyle w:val="128"/>
          <w:rFonts w:ascii="Century Gothic" w:hAnsi="Century Gothic" w:eastAsia="Arial"/>
          <w:b/>
          <w:bCs/>
        </w:rPr>
        <w:t>22.1.5.</w:t>
      </w:r>
      <w:r>
        <w:rPr>
          <w:rStyle w:val="128"/>
          <w:rFonts w:ascii="Century Gothic" w:hAnsi="Century Gothic" w:eastAsia="Arial"/>
        </w:rPr>
        <w:t xml:space="preserve"> Cada adesão deverá ser formalizada por meio de instrumento próprio de contratação direta o órgão não participante e o fornecedor registado, cabendo aquele a integral responsabilidade pelo acompanhamento e fiscalização da execução contratual.</w:t>
      </w:r>
    </w:p>
    <w:p w14:paraId="669952C6">
      <w:pPr>
        <w:suppressAutoHyphens w:val="0"/>
        <w:spacing w:line="276" w:lineRule="auto"/>
        <w:ind w:right="57"/>
        <w:jc w:val="both"/>
        <w:rPr>
          <w:rFonts w:ascii="Century Gothic" w:hAnsi="Century Gothic" w:cs="Arial"/>
          <w:sz w:val="10"/>
          <w:szCs w:val="10"/>
        </w:rPr>
      </w:pPr>
    </w:p>
    <w:tbl>
      <w:tblPr>
        <w:tblStyle w:val="49"/>
        <w:tblW w:w="9924"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924"/>
      </w:tblGrid>
      <w:tr w14:paraId="3A1789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924" w:type="dxa"/>
            <w:shd w:val="clear" w:color="auto" w:fill="D8D8D8" w:themeFill="background1" w:themeFillShade="D9"/>
          </w:tcPr>
          <w:p w14:paraId="23096294">
            <w:pPr>
              <w:widowControl w:val="0"/>
              <w:suppressAutoHyphens w:val="0"/>
              <w:spacing w:before="57" w:after="57" w:line="276" w:lineRule="auto"/>
              <w:ind w:right="57"/>
              <w:jc w:val="center"/>
              <w:rPr>
                <w:rStyle w:val="128"/>
                <w:rFonts w:ascii="Century Gothic" w:hAnsi="Century Gothic" w:eastAsia="Arial"/>
              </w:rPr>
            </w:pPr>
            <w:r>
              <w:rPr>
                <w:rFonts w:ascii="Century Gothic" w:hAnsi="Century Gothic"/>
                <w:b/>
                <w:bCs/>
                <w:sz w:val="22"/>
                <w:szCs w:val="22"/>
              </w:rPr>
              <w:t>23. UTILIZAÇÃO DOS RECURSOS DO PNAE E REGRAS DE FATURAMENTO</w:t>
            </w:r>
          </w:p>
        </w:tc>
      </w:tr>
    </w:tbl>
    <w:p w14:paraId="340D721B">
      <w:pPr>
        <w:suppressAutoHyphens w:val="0"/>
        <w:spacing w:line="276" w:lineRule="auto"/>
        <w:ind w:right="57"/>
        <w:jc w:val="both"/>
        <w:rPr>
          <w:sz w:val="4"/>
          <w:szCs w:val="4"/>
        </w:rPr>
      </w:pPr>
    </w:p>
    <w:p w14:paraId="02DF5559">
      <w:pPr>
        <w:suppressAutoHyphens w:val="0"/>
        <w:spacing w:before="57" w:after="57" w:line="276" w:lineRule="auto"/>
        <w:ind w:right="57"/>
        <w:jc w:val="both"/>
        <w:rPr>
          <w:rFonts w:ascii="Century Gothic" w:hAnsi="Century Gothic"/>
        </w:rPr>
      </w:pPr>
      <w:r>
        <w:rPr>
          <w:rStyle w:val="128"/>
          <w:rFonts w:ascii="Century Gothic" w:hAnsi="Century Gothic" w:eastAsia="Arial"/>
          <w:b/>
          <w:bCs/>
        </w:rPr>
        <w:t xml:space="preserve">23.1. </w:t>
      </w:r>
      <w:r>
        <w:rPr>
          <w:rFonts w:ascii="Century Gothic" w:hAnsi="Century Gothic"/>
        </w:rPr>
        <w:t>Nos termos da legislação que rege o Programa Nacional de Alimentação Escolar, fica estabelecido que os recursos federais do PNAE serão utilizados somente para a aquisição de gêneros alimentícios destinados à merenda escolar, não sendo admitida sua aplicação no pagamento de mão de obra, serviços de preparo ou quaisquer outros insumos. Em observância ao art. 51 da Resolução CD/FNDE nº 06/2020 e à Lei nº 11.947/2009, a administração segregará as despesas: o valor contratual correspondente aos alimentos será custeado pela verba do PNAE, ao passo que os demais custos operacionais (preparo, fornecimento, logística, pessoal etc.) serão financiados com outras fontes de recursos, de responsabilidade do contratante (Município).</w:t>
      </w:r>
    </w:p>
    <w:p w14:paraId="4CD9DB26">
      <w:pPr>
        <w:suppressAutoHyphens w:val="0"/>
        <w:spacing w:before="57" w:after="57" w:line="276" w:lineRule="auto"/>
        <w:ind w:right="57"/>
        <w:jc w:val="both"/>
      </w:pPr>
      <w:r>
        <w:rPr>
          <w:rFonts w:ascii="Century Gothic" w:hAnsi="Century Gothic"/>
          <w:b/>
          <w:bCs/>
        </w:rPr>
        <w:t>23.2.</w:t>
      </w:r>
      <w:r>
        <w:rPr>
          <w:rFonts w:ascii="Century Gothic" w:hAnsi="Century Gothic"/>
        </w:rPr>
        <w:t xml:space="preserve"> Emissão obrigatória de notas fiscais separadas:</w:t>
      </w:r>
    </w:p>
    <w:p w14:paraId="5CB913E7">
      <w:pPr>
        <w:suppressAutoHyphens w:val="0"/>
        <w:spacing w:before="57" w:after="57" w:line="276" w:lineRule="auto"/>
        <w:ind w:right="57"/>
        <w:jc w:val="both"/>
      </w:pPr>
      <w:r>
        <w:rPr>
          <w:rFonts w:ascii="Century Gothic" w:hAnsi="Century Gothic"/>
        </w:rPr>
        <w:t>A contratada deverá emitir, mensalmente, duas notas fiscais distintas referentes à execução do objeto, uma de produto e outra de serviço, conforme a seguir:</w:t>
      </w:r>
    </w:p>
    <w:p w14:paraId="433D6041">
      <w:pPr>
        <w:suppressAutoHyphens w:val="0"/>
        <w:spacing w:before="57" w:after="57" w:line="276" w:lineRule="auto"/>
        <w:ind w:right="57"/>
        <w:jc w:val="both"/>
      </w:pPr>
      <w:r>
        <w:rPr>
          <w:rFonts w:ascii="Century Gothic" w:hAnsi="Century Gothic"/>
        </w:rPr>
        <w:t>(i) Nota fiscal de produtos (gêneros alimentícios): deverá discriminar todos os itens alimentícios fornecidos no período, adquiridos com recursos do PNAE, em valores compatíveis com os preços de mercado e com o contrato;</w:t>
      </w:r>
    </w:p>
    <w:p w14:paraId="24A28790">
      <w:pPr>
        <w:suppressAutoHyphens w:val="0"/>
        <w:spacing w:before="57" w:after="57" w:line="276" w:lineRule="auto"/>
        <w:ind w:right="57"/>
        <w:jc w:val="both"/>
      </w:pPr>
      <w:r>
        <w:rPr>
          <w:rFonts w:ascii="Century Gothic" w:hAnsi="Century Gothic"/>
        </w:rPr>
        <w:t>(ii) Nota fiscal de serviços: deverá abranger os serviços prestados de preparo, manipulação, distribuição das refeições, gerenciamento e demais atividades inerentes, custeados com recursos próprios ou provenientes de transferências do Salário-Educação;</w:t>
      </w:r>
    </w:p>
    <w:p w14:paraId="0A377303">
      <w:pPr>
        <w:suppressAutoHyphens w:val="0"/>
        <w:spacing w:before="57" w:after="57" w:line="276" w:lineRule="auto"/>
        <w:ind w:right="57"/>
        <w:jc w:val="both"/>
        <w:rPr>
          <w:rFonts w:ascii="Century Gothic" w:hAnsi="Century Gothic"/>
        </w:rPr>
      </w:pPr>
      <w:r>
        <w:rPr>
          <w:rFonts w:ascii="Century Gothic" w:hAnsi="Century Gothic"/>
          <w:b/>
          <w:bCs/>
        </w:rPr>
        <w:t>23.3.</w:t>
      </w:r>
      <w:r>
        <w:rPr>
          <w:rFonts w:ascii="Century Gothic" w:hAnsi="Century Gothic"/>
        </w:rPr>
        <w:t xml:space="preserve"> O não cumprimento desta condição (emissão de faturas unificadas ou sem a discriminação adequada) constituirá inadimplemento contratual, passível das sanções cabíveis, uma vez que impede a identificação clara do uso dos recursos do PNAE conforme exige a legislação.</w:t>
      </w:r>
    </w:p>
    <w:p w14:paraId="0C43E973">
      <w:pPr>
        <w:ind w:left="-567" w:right="454"/>
        <w:jc w:val="both"/>
        <w:rPr>
          <w:rFonts w:ascii="Century Gothic" w:hAnsi="Century Gothic"/>
          <w:color w:val="000000"/>
          <w:sz w:val="4"/>
          <w:szCs w:val="4"/>
        </w:rPr>
      </w:pPr>
    </w:p>
    <w:tbl>
      <w:tblPr>
        <w:tblStyle w:val="12"/>
        <w:tblW w:w="9938" w:type="dxa"/>
        <w:tblInd w:w="115" w:type="dxa"/>
        <w:tblLayout w:type="fixed"/>
        <w:tblCellMar>
          <w:top w:w="0" w:type="dxa"/>
          <w:left w:w="108" w:type="dxa"/>
          <w:bottom w:w="0" w:type="dxa"/>
          <w:right w:w="108" w:type="dxa"/>
        </w:tblCellMar>
      </w:tblPr>
      <w:tblGrid>
        <w:gridCol w:w="9938"/>
      </w:tblGrid>
      <w:tr w14:paraId="009C60BD">
        <w:tblPrEx>
          <w:tblCellMar>
            <w:top w:w="0" w:type="dxa"/>
            <w:left w:w="108" w:type="dxa"/>
            <w:bottom w:w="0" w:type="dxa"/>
            <w:right w:w="108" w:type="dxa"/>
          </w:tblCellMar>
        </w:tblPrEx>
        <w:trPr>
          <w:trHeight w:val="290" w:hRule="atLeast"/>
        </w:trPr>
        <w:tc>
          <w:tcPr>
            <w:tcW w:w="9938" w:type="dxa"/>
            <w:tcBorders>
              <w:top w:val="single" w:color="000000" w:sz="4" w:space="0"/>
              <w:left w:val="single" w:color="000000" w:sz="4" w:space="0"/>
              <w:bottom w:val="single" w:color="000000" w:sz="4" w:space="0"/>
              <w:right w:val="single" w:color="000000" w:sz="4" w:space="0"/>
            </w:tcBorders>
            <w:shd w:val="clear" w:color="auto" w:fill="DDDDDD"/>
          </w:tcPr>
          <w:p w14:paraId="245F8C76">
            <w:pPr>
              <w:widowControl w:val="0"/>
              <w:spacing w:before="57" w:after="57"/>
              <w:jc w:val="center"/>
            </w:pPr>
            <w:r>
              <w:rPr>
                <w:rFonts w:ascii="Century Gothic" w:hAnsi="Century Gothic"/>
                <w:b/>
                <w:bCs/>
                <w:sz w:val="22"/>
                <w:szCs w:val="22"/>
              </w:rPr>
              <w:t>24. ANEXOS</w:t>
            </w:r>
          </w:p>
        </w:tc>
      </w:tr>
    </w:tbl>
    <w:p w14:paraId="0A37EC49">
      <w:pPr>
        <w:suppressAutoHyphens w:val="0"/>
        <w:spacing w:line="276" w:lineRule="auto"/>
        <w:ind w:left="-567" w:right="454"/>
        <w:jc w:val="both"/>
        <w:rPr>
          <w:rStyle w:val="128"/>
          <w:rFonts w:ascii="Century Gothic" w:hAnsi="Century Gothic" w:eastAsia="Arial"/>
          <w:b/>
          <w:bCs/>
          <w:sz w:val="10"/>
          <w:szCs w:val="10"/>
        </w:rPr>
      </w:pPr>
    </w:p>
    <w:p w14:paraId="1E7053C9">
      <w:pPr>
        <w:suppressAutoHyphens w:val="0"/>
        <w:ind w:right="454"/>
        <w:jc w:val="both"/>
      </w:pPr>
      <w:r>
        <w:rPr>
          <w:rStyle w:val="128"/>
          <w:rFonts w:ascii="Century Gothic" w:hAnsi="Century Gothic" w:eastAsia="Arial"/>
          <w:b/>
          <w:bCs/>
        </w:rPr>
        <w:t xml:space="preserve">24.1. </w:t>
      </w:r>
      <w:r>
        <w:rPr>
          <w:rStyle w:val="128"/>
          <w:rFonts w:ascii="Century Gothic" w:hAnsi="Century Gothic" w:eastAsia="Arial"/>
        </w:rPr>
        <w:t xml:space="preserve">Segue anexo a este Termo de Referência </w:t>
      </w:r>
      <w:r>
        <w:rPr>
          <w:rStyle w:val="128"/>
          <w:rFonts w:ascii="Century Gothic" w:hAnsi="Century Gothic" w:eastAsia="Arial"/>
          <w:b/>
          <w:bCs/>
        </w:rPr>
        <w:t>COTAÇÕES.</w:t>
      </w:r>
    </w:p>
    <w:p w14:paraId="564B0BE4">
      <w:pPr>
        <w:suppressAutoHyphens w:val="0"/>
        <w:ind w:right="454"/>
        <w:jc w:val="both"/>
        <w:rPr>
          <w:rStyle w:val="128"/>
          <w:rFonts w:ascii="Century Gothic" w:hAnsi="Century Gothic" w:eastAsia="Arial"/>
          <w:sz w:val="4"/>
          <w:szCs w:val="4"/>
        </w:rPr>
      </w:pPr>
    </w:p>
    <w:tbl>
      <w:tblPr>
        <w:tblStyle w:val="12"/>
        <w:tblW w:w="9938" w:type="dxa"/>
        <w:tblInd w:w="140" w:type="dxa"/>
        <w:tblLayout w:type="fixed"/>
        <w:tblCellMar>
          <w:top w:w="0" w:type="dxa"/>
          <w:left w:w="108" w:type="dxa"/>
          <w:bottom w:w="0" w:type="dxa"/>
          <w:right w:w="108" w:type="dxa"/>
        </w:tblCellMar>
      </w:tblPr>
      <w:tblGrid>
        <w:gridCol w:w="9938"/>
      </w:tblGrid>
      <w:tr w14:paraId="522CC0B5">
        <w:tblPrEx>
          <w:tblCellMar>
            <w:top w:w="0" w:type="dxa"/>
            <w:left w:w="108" w:type="dxa"/>
            <w:bottom w:w="0" w:type="dxa"/>
            <w:right w:w="108" w:type="dxa"/>
          </w:tblCellMar>
        </w:tblPrEx>
        <w:trPr>
          <w:trHeight w:val="290" w:hRule="atLeast"/>
        </w:trPr>
        <w:tc>
          <w:tcPr>
            <w:tcW w:w="9938" w:type="dxa"/>
            <w:tcBorders>
              <w:top w:val="single" w:color="000000" w:sz="4" w:space="0"/>
              <w:left w:val="single" w:color="000000" w:sz="4" w:space="0"/>
              <w:bottom w:val="single" w:color="000000" w:sz="4" w:space="0"/>
              <w:right w:val="single" w:color="000000" w:sz="4" w:space="0"/>
            </w:tcBorders>
            <w:shd w:val="clear" w:color="auto" w:fill="DDDDDD"/>
          </w:tcPr>
          <w:p w14:paraId="1813FF10">
            <w:pPr>
              <w:widowControl w:val="0"/>
              <w:spacing w:before="57" w:after="57"/>
              <w:jc w:val="center"/>
            </w:pPr>
            <w:r>
              <w:rPr>
                <w:rFonts w:ascii="Century Gothic" w:hAnsi="Century Gothic"/>
                <w:b/>
                <w:bCs/>
                <w:sz w:val="22"/>
                <w:szCs w:val="22"/>
              </w:rPr>
              <w:t>25. DO FORO</w:t>
            </w:r>
          </w:p>
        </w:tc>
      </w:tr>
    </w:tbl>
    <w:p w14:paraId="19E9CCED">
      <w:pPr>
        <w:spacing w:line="276" w:lineRule="auto"/>
        <w:ind w:left="-567" w:right="454"/>
        <w:jc w:val="both"/>
        <w:rPr>
          <w:rFonts w:ascii="Century Gothic" w:hAnsi="Century Gothic"/>
          <w:sz w:val="10"/>
          <w:szCs w:val="10"/>
        </w:rPr>
      </w:pPr>
    </w:p>
    <w:p w14:paraId="39676C86">
      <w:pPr>
        <w:suppressAutoHyphens w:val="0"/>
        <w:spacing w:line="276" w:lineRule="auto"/>
        <w:ind w:right="57"/>
        <w:jc w:val="both"/>
      </w:pPr>
      <w:r>
        <w:rPr>
          <w:rFonts w:ascii="Century Gothic" w:hAnsi="Century Gothic"/>
          <w:b/>
          <w:bCs/>
        </w:rPr>
        <w:t>25.1.</w:t>
      </w:r>
      <w:r>
        <w:rPr>
          <w:rFonts w:ascii="Century Gothic" w:hAnsi="Century Gothic"/>
        </w:rPr>
        <w:t xml:space="preserve"> As questões decorrentes da execução do presente instrumento, que não possam ser dirimidas administrativamente, serão processadas e julgadas, no foro da cidade de Rondonópolis – MT, com exclusão de qualquer outro, por mais privilegiado que seja.</w:t>
      </w:r>
    </w:p>
    <w:tbl>
      <w:tblPr>
        <w:tblStyle w:val="12"/>
        <w:tblW w:w="9937" w:type="dxa"/>
        <w:tblInd w:w="128" w:type="dxa"/>
        <w:tblLayout w:type="fixed"/>
        <w:tblCellMar>
          <w:top w:w="0" w:type="dxa"/>
          <w:left w:w="108" w:type="dxa"/>
          <w:bottom w:w="0" w:type="dxa"/>
          <w:right w:w="108" w:type="dxa"/>
        </w:tblCellMar>
      </w:tblPr>
      <w:tblGrid>
        <w:gridCol w:w="9937"/>
      </w:tblGrid>
      <w:tr w14:paraId="5BED6FE2">
        <w:tblPrEx>
          <w:tblCellMar>
            <w:top w:w="0" w:type="dxa"/>
            <w:left w:w="108" w:type="dxa"/>
            <w:bottom w:w="0" w:type="dxa"/>
            <w:right w:w="108" w:type="dxa"/>
          </w:tblCellMar>
        </w:tblPrEx>
        <w:trPr>
          <w:trHeight w:val="290" w:hRule="atLeast"/>
        </w:trPr>
        <w:tc>
          <w:tcPr>
            <w:tcW w:w="9937" w:type="dxa"/>
            <w:tcBorders>
              <w:top w:val="single" w:color="000000" w:sz="4" w:space="0"/>
              <w:left w:val="single" w:color="000000" w:sz="4" w:space="0"/>
              <w:bottom w:val="single" w:color="000000" w:sz="4" w:space="0"/>
              <w:right w:val="single" w:color="000000" w:sz="4" w:space="0"/>
            </w:tcBorders>
            <w:shd w:val="clear" w:color="auto" w:fill="DDDDDD"/>
          </w:tcPr>
          <w:p w14:paraId="4FBB3502">
            <w:pPr>
              <w:widowControl w:val="0"/>
              <w:spacing w:before="114" w:after="114"/>
              <w:jc w:val="center"/>
            </w:pPr>
            <w:r>
              <w:rPr>
                <w:rFonts w:ascii="Century Gothic" w:hAnsi="Century Gothic"/>
                <w:b/>
                <w:bCs/>
                <w:sz w:val="22"/>
                <w:szCs w:val="22"/>
              </w:rPr>
              <w:t>26. DATA E QUADRO DE ASSINATURA</w:t>
            </w:r>
          </w:p>
        </w:tc>
      </w:tr>
    </w:tbl>
    <w:p w14:paraId="3EEA08FE">
      <w:pPr>
        <w:pStyle w:val="226"/>
        <w:ind w:right="170"/>
        <w:jc w:val="right"/>
      </w:pPr>
    </w:p>
    <w:p w14:paraId="3367D496">
      <w:pPr>
        <w:pStyle w:val="226"/>
        <w:ind w:right="57"/>
        <w:jc w:val="right"/>
      </w:pPr>
      <w:r>
        <w:rPr>
          <w:rFonts w:ascii="Century Gothic" w:hAnsi="Century Gothic"/>
        </w:rPr>
        <w:t>Rondonópolis,15 de julho de 2025.</w:t>
      </w:r>
    </w:p>
    <w:p w14:paraId="31534FF1"/>
    <w:p w14:paraId="642E9509"/>
    <w:p w14:paraId="6A1854DB"/>
    <w:p w14:paraId="427C468D"/>
    <w:p w14:paraId="34AB65C4"/>
    <w:p w14:paraId="2E6BE22D"/>
    <w:p w14:paraId="7BD0A73E"/>
    <w:p w14:paraId="0EACFFFF"/>
    <w:p w14:paraId="1DE58087"/>
    <w:p w14:paraId="088078F0">
      <w:pPr>
        <w:ind w:left="113" w:right="340"/>
        <w:jc w:val="center"/>
      </w:pPr>
      <w:r>
        <w:rPr>
          <w:rFonts w:ascii="Century Gothic" w:hAnsi="Century Gothic"/>
          <w:b/>
          <w14:shadow w14:blurRad="50800" w14:dist="38100" w14:dir="2700000" w14:sx="100000" w14:sy="100000" w14:kx="0" w14:ky="0" w14:algn="tl">
            <w14:srgbClr w14:val="000000">
              <w14:alpha w14:val="60000"/>
            </w14:srgbClr>
          </w14:shadow>
        </w:rPr>
        <w:t>CARLOS ALBERTO PEREIRA JÚNIOR</w:t>
      </w:r>
    </w:p>
    <w:p w14:paraId="43AC4403">
      <w:pPr>
        <w:overflowPunct w:val="0"/>
        <w:ind w:left="57" w:right="340"/>
        <w:jc w:val="center"/>
      </w:pPr>
      <w:r>
        <w:rPr>
          <w:rFonts w:ascii="Century Gothic" w:hAnsi="Century Gothic"/>
          <w:i/>
        </w:rPr>
        <w:t>Secretário de Educação, Cultura, Esporte e Lazer</w:t>
      </w:r>
    </w:p>
    <w:p w14:paraId="42BA031A">
      <w:pPr>
        <w:overflowPunct w:val="0"/>
        <w:ind w:left="113" w:right="340"/>
        <w:jc w:val="center"/>
      </w:pPr>
      <w:r>
        <w:rPr>
          <w:rFonts w:ascii="Century Gothic" w:hAnsi="Century Gothic"/>
          <w:b/>
          <w14:shadow w14:blurRad="50800" w14:dist="38100" w14:dir="2700000" w14:sx="100000" w14:sy="100000" w14:kx="0" w14:ky="0" w14:algn="tl">
            <w14:srgbClr w14:val="000000">
              <w14:alpha w14:val="60000"/>
            </w14:srgbClr>
          </w14:shadow>
        </w:rPr>
        <w:t>PORTARIA Nº 37.581/2025</w:t>
      </w:r>
    </w:p>
    <w:p w14:paraId="7515D861">
      <w:pPr>
        <w:widowControl w:val="0"/>
        <w:jc w:val="center"/>
        <w:rPr>
          <w:rFonts w:ascii="Arial" w:hAnsi="Arial" w:eastAsia="Arial" w:cs="Arial"/>
          <w:color w:val="000000"/>
        </w:rPr>
      </w:pPr>
    </w:p>
    <w:p w14:paraId="621AFC92">
      <w:pPr>
        <w:pStyle w:val="2"/>
        <w:spacing w:before="0" w:after="0"/>
        <w:jc w:val="center"/>
        <w:rPr>
          <w:sz w:val="20"/>
          <w:szCs w:val="20"/>
          <w:lang w:val="pt-BR"/>
        </w:rPr>
      </w:pPr>
    </w:p>
    <w:p w14:paraId="40584647">
      <w:pPr>
        <w:pStyle w:val="2"/>
        <w:spacing w:before="0" w:after="0"/>
        <w:jc w:val="center"/>
        <w:rPr>
          <w:sz w:val="20"/>
          <w:szCs w:val="20"/>
          <w:lang w:val="pt-BR"/>
        </w:rPr>
      </w:pPr>
    </w:p>
    <w:p w14:paraId="158CF873">
      <w:pPr>
        <w:rPr>
          <w:rFonts w:ascii="Arial" w:hAnsi="Arial" w:cs="Arial"/>
          <w:b/>
          <w:bCs/>
        </w:rPr>
      </w:pPr>
      <w:r>
        <w:br w:type="page"/>
      </w:r>
    </w:p>
    <w:p w14:paraId="5C240168"/>
    <w:p w14:paraId="6C56E45F">
      <w:pPr>
        <w:pStyle w:val="2"/>
        <w:spacing w:before="0" w:after="0"/>
        <w:jc w:val="center"/>
        <w:rPr>
          <w:sz w:val="20"/>
          <w:szCs w:val="20"/>
          <w:lang w:val="pt-BR"/>
        </w:rPr>
      </w:pPr>
      <w:r>
        <w:rPr>
          <w:sz w:val="20"/>
          <w:szCs w:val="20"/>
          <w:lang w:val="pt-BR"/>
        </w:rPr>
        <w:t>ANEXO II: MINUTA DA ATA DE REGISTRO DE PREÇOS.</w:t>
      </w:r>
    </w:p>
    <w:p w14:paraId="5C83F870"/>
    <w:p w14:paraId="4DDEB821">
      <w:pPr>
        <w:jc w:val="center"/>
        <w:rPr>
          <w:rFonts w:ascii="Arial" w:hAnsi="Arial" w:eastAsia="Arial" w:cs="Arial"/>
          <w:b/>
        </w:rPr>
      </w:pPr>
      <w:r>
        <w:rPr>
          <w:rFonts w:ascii="Arial" w:hAnsi="Arial" w:eastAsia="Arial" w:cs="Arial"/>
          <w:b/>
        </w:rPr>
        <w:t>ATA DE REGISTRO DE PREÇOS Nº. XX/2025.</w:t>
      </w:r>
    </w:p>
    <w:p w14:paraId="744AA2DA">
      <w:pPr>
        <w:jc w:val="center"/>
        <w:rPr>
          <w:rFonts w:ascii="Arial" w:hAnsi="Arial" w:eastAsia="Arial" w:cs="Arial"/>
          <w:b/>
        </w:rPr>
      </w:pPr>
    </w:p>
    <w:p w14:paraId="6E566F5E">
      <w:pPr>
        <w:jc w:val="center"/>
        <w:rPr>
          <w:rFonts w:ascii="Arial" w:hAnsi="Arial" w:eastAsia="Arial" w:cs="Arial"/>
          <w:b/>
        </w:rPr>
      </w:pPr>
    </w:p>
    <w:p w14:paraId="04FB51D4">
      <w:pPr>
        <w:rPr>
          <w:rFonts w:ascii="Arial" w:hAnsi="Arial" w:eastAsia="Arial" w:cs="Arial"/>
          <w:b/>
        </w:rPr>
      </w:pPr>
      <w:r>
        <w:rPr>
          <w:rFonts w:ascii="Arial" w:hAnsi="Arial" w:eastAsia="Arial" w:cs="Arial"/>
          <w:b/>
        </w:rPr>
        <w:t>PREGÃO ELETRÔNICO Nº. 30/2025.</w:t>
      </w:r>
    </w:p>
    <w:p w14:paraId="387EDC0D">
      <w:pPr>
        <w:rPr>
          <w:rFonts w:ascii="Arial" w:hAnsi="Arial" w:eastAsia="Arial" w:cs="Arial"/>
          <w:b/>
        </w:rPr>
      </w:pPr>
      <w:r>
        <w:rPr>
          <w:rFonts w:ascii="Arial" w:hAnsi="Arial" w:eastAsia="Arial" w:cs="Arial"/>
          <w:b/>
        </w:rPr>
        <w:t>PROCESSO DE COMPRA Nº XX/2025.</w:t>
      </w:r>
    </w:p>
    <w:p w14:paraId="75CCB4BD">
      <w:pPr>
        <w:jc w:val="both"/>
        <w:rPr>
          <w:b/>
          <w:sz w:val="22"/>
          <w:szCs w:val="22"/>
        </w:rPr>
      </w:pPr>
    </w:p>
    <w:p w14:paraId="493EA494">
      <w:pPr>
        <w:widowControl w:val="0"/>
        <w:tabs>
          <w:tab w:val="center" w:pos="4779"/>
          <w:tab w:val="right" w:pos="9198"/>
        </w:tabs>
        <w:jc w:val="both"/>
        <w:rPr>
          <w:rFonts w:ascii="Arial" w:hAnsi="Arial" w:eastAsia="Arial" w:cs="Arial"/>
        </w:rPr>
      </w:pPr>
      <w:r>
        <w:rPr>
          <w:rFonts w:ascii="Arial" w:hAnsi="Arial" w:eastAsia="Arial" w:cs="Arial"/>
          <w:b/>
        </w:rPr>
        <w:t>O Município de Rondonópolis-Estado de Mato Grosso,</w:t>
      </w:r>
      <w:r>
        <w:rPr>
          <w:rFonts w:ascii="Arial" w:hAnsi="Arial" w:eastAsia="Arial" w:cs="Arial"/>
        </w:rPr>
        <w:t xml:space="preserve"> pessoa jurídica de direito público, com sede à Avenida Duque de Caxias n.º 1.000, Bairro: Vila Aurora, inscrita no CNPJ/MF. sob nº 03.347.101/0001-21, através da </w:t>
      </w:r>
      <w:r>
        <w:rPr>
          <w:rFonts w:ascii="Arial" w:hAnsi="Arial" w:eastAsia="Arial" w:cs="Arial"/>
          <w:b/>
        </w:rPr>
        <w:t>Secretaria Municipal de XXXXXX</w:t>
      </w:r>
      <w:r>
        <w:rPr>
          <w:rFonts w:ascii="Arial" w:hAnsi="Arial" w:eastAsia="Arial" w:cs="Arial"/>
        </w:rPr>
        <w:t xml:space="preserve">, neste ato representada pela </w:t>
      </w:r>
      <w:r>
        <w:rPr>
          <w:rFonts w:ascii="Arial" w:hAnsi="Arial" w:eastAsia="Arial" w:cs="Arial"/>
          <w:b/>
        </w:rPr>
        <w:t>Sr.(a) XXXXXXXXX</w:t>
      </w:r>
      <w:r>
        <w:rPr>
          <w:rFonts w:ascii="Arial" w:hAnsi="Arial" w:eastAsia="Arial" w:cs="Arial"/>
        </w:rPr>
        <w:t xml:space="preserve">, doravante denominada simplesmente </w:t>
      </w:r>
      <w:r>
        <w:rPr>
          <w:rFonts w:ascii="Arial" w:hAnsi="Arial" w:eastAsia="Arial" w:cs="Arial"/>
          <w:b/>
        </w:rPr>
        <w:t>Órgão Gerenciador</w:t>
      </w:r>
      <w:r>
        <w:rPr>
          <w:rFonts w:ascii="Arial" w:hAnsi="Arial" w:eastAsia="Arial" w:cs="Arial"/>
        </w:rPr>
        <w:t xml:space="preserve">, </w:t>
      </w:r>
      <w:r>
        <w:rPr>
          <w:rFonts w:ascii="Arial" w:hAnsi="Arial" w:eastAsia="Arial" w:cs="Arial"/>
          <w:b/>
        </w:rPr>
        <w:t>Resolve registrar os preços</w:t>
      </w:r>
      <w:r>
        <w:rPr>
          <w:rFonts w:ascii="Arial" w:hAnsi="Arial" w:eastAsia="Arial" w:cs="Arial"/>
        </w:rPr>
        <w:t xml:space="preserve"> das empresas abaixo relacionadas, doravante denominadas simplesmente </w:t>
      </w:r>
      <w:r>
        <w:rPr>
          <w:rFonts w:ascii="Arial" w:hAnsi="Arial" w:eastAsia="Arial" w:cs="Arial"/>
          <w:b/>
        </w:rPr>
        <w:t>Fornecedores Registrados</w:t>
      </w:r>
      <w:r>
        <w:rPr>
          <w:rFonts w:ascii="Arial" w:hAnsi="Arial" w:eastAsia="Arial" w:cs="Arial"/>
        </w:rPr>
        <w:t>, de acordo com a classificação por elas alcançadas nos itens abaixo relacionados, tendo em vista que, atenderam todas as condições previstas no edital e seus anexos</w:t>
      </w:r>
      <w:r>
        <w:rPr>
          <w:rFonts w:ascii="Arial" w:hAnsi="Arial" w:eastAsia="Arial" w:cs="Arial"/>
          <w:b/>
        </w:rPr>
        <w:t xml:space="preserve">, </w:t>
      </w:r>
      <w:r>
        <w:rPr>
          <w:rFonts w:ascii="Arial" w:hAnsi="Arial" w:eastAsia="Arial" w:cs="Arial"/>
        </w:rPr>
        <w:t>com fundamento na Lei nº 14.133/2021, Decreto Municipal n.º 11.685, de 18 de setembro de 2023, Lei Complementar n.º 123/2006 e demais legislações correlatadas, resolvem celebrar o presente instrumento, mediante as cláusulas e condições a seguir:</w:t>
      </w:r>
    </w:p>
    <w:p w14:paraId="033CAD97">
      <w:pPr>
        <w:jc w:val="both"/>
        <w:rPr>
          <w:rFonts w:ascii="Arial" w:hAnsi="Arial" w:eastAsia="Arial" w:cs="Arial"/>
        </w:rPr>
      </w:pPr>
    </w:p>
    <w:p w14:paraId="49DC3BF1">
      <w:pPr>
        <w:widowControl w:val="0"/>
        <w:tabs>
          <w:tab w:val="center" w:pos="4779"/>
          <w:tab w:val="right" w:pos="9198"/>
        </w:tabs>
        <w:jc w:val="both"/>
        <w:rPr>
          <w:rFonts w:ascii="Arial" w:hAnsi="Arial" w:eastAsia="Arial" w:cs="Arial"/>
          <w:b/>
        </w:rPr>
      </w:pPr>
      <w:r>
        <w:rPr>
          <w:rFonts w:ascii="Arial" w:hAnsi="Arial" w:eastAsia="Arial" w:cs="Arial"/>
          <w:b/>
        </w:rPr>
        <w:t>1. DO OBJETO:</w:t>
      </w:r>
    </w:p>
    <w:p w14:paraId="20F46E56">
      <w:pPr>
        <w:widowControl w:val="0"/>
        <w:tabs>
          <w:tab w:val="center" w:pos="4779"/>
          <w:tab w:val="right" w:pos="9198"/>
        </w:tabs>
        <w:jc w:val="both"/>
        <w:rPr>
          <w:rFonts w:ascii="Arial" w:hAnsi="Arial" w:eastAsia="Arial" w:cs="Arial"/>
          <w:b/>
        </w:rPr>
      </w:pPr>
    </w:p>
    <w:p w14:paraId="5C39A54B">
      <w:pPr>
        <w:jc w:val="both"/>
        <w:rPr>
          <w:rFonts w:ascii="Arial" w:hAnsi="Arial" w:eastAsia="Arial" w:cs="Arial"/>
          <w:b/>
          <w:i/>
        </w:rPr>
      </w:pPr>
      <w:r>
        <w:rPr>
          <w:rFonts w:ascii="Arial" w:hAnsi="Arial" w:eastAsia="Arial" w:cs="Arial"/>
          <w:b/>
        </w:rPr>
        <w:t>1.1.</w:t>
      </w:r>
      <w:r>
        <w:rPr>
          <w:rFonts w:ascii="Arial" w:hAnsi="Arial" w:eastAsia="Arial" w:cs="Arial"/>
        </w:rPr>
        <w:t xml:space="preserve"> A presente Ata tem por objeto o </w:t>
      </w:r>
      <w:r>
        <w:rPr>
          <w:rFonts w:ascii="Arial" w:hAnsi="Arial" w:eastAsia="Arial" w:cs="Arial"/>
          <w:b/>
          <w:i/>
        </w:rPr>
        <w:t>REGISTRO DE PREÇO PARA FUTURA E EVENTUAL Contratação de empresa especializada na prestação de serviços de nutrição e fornecimento de alimentação escolar, abrangendo o fornecimento de gêneros alimentícios, preparo, cocção, transporte, armazenamento, distribuição das refeições, fornecimento de gás GLP, e todos os demais insumos, bem como a higienização e o acompanhamento nutricional, destinados ao atendimento dos alunos regularmente matriculados na rede pública municipal de ensino de Rondonópolis/MT., por meio de licitações públicas para atender as necessidades da Secretaria Municipal de Educação, Cultura, Esporte e Lazer de Rondonópolis-MT, conforme especificações e quantitativos estabelecidos no Edital e seus anexos.</w:t>
      </w:r>
    </w:p>
    <w:p w14:paraId="2A871619">
      <w:pPr>
        <w:jc w:val="both"/>
        <w:rPr>
          <w:rFonts w:ascii="Arial" w:hAnsi="Arial" w:eastAsia="Arial" w:cs="Arial"/>
        </w:rPr>
      </w:pPr>
    </w:p>
    <w:p w14:paraId="1B678D7C">
      <w:pPr>
        <w:jc w:val="both"/>
        <w:rPr>
          <w:rFonts w:ascii="Arial" w:hAnsi="Arial" w:cs="Arial"/>
          <w:b/>
          <w:i/>
        </w:rPr>
      </w:pPr>
      <w:r>
        <w:rPr>
          <w:rFonts w:ascii="Arial" w:hAnsi="Arial" w:cs="Arial"/>
          <w:b/>
          <w:i/>
        </w:rPr>
        <w:t>1.1.1 Especificações detalhadas dos itens a serem contratados</w:t>
      </w:r>
    </w:p>
    <w:p w14:paraId="6EAB7DB3">
      <w:pPr>
        <w:jc w:val="both"/>
        <w:rPr>
          <w:rFonts w:ascii="Arial" w:hAnsi="Arial" w:eastAsia="Arial" w:cs="Arial"/>
          <w:b/>
        </w:rPr>
      </w:pPr>
    </w:p>
    <w:p w14:paraId="440229F2">
      <w:pPr>
        <w:jc w:val="both"/>
        <w:rPr>
          <w:rFonts w:ascii="Arial" w:hAnsi="Arial" w:eastAsia="Arial" w:cs="Arial"/>
          <w:b/>
          <w:i/>
        </w:rPr>
      </w:pPr>
      <w:r>
        <w:rPr>
          <w:rFonts w:ascii="Arial" w:hAnsi="Arial" w:cs="Arial"/>
        </w:rPr>
        <w:t>Em complemento ao objeto definido no item 1.1, seguem abaixo os itens que compõem o objeto a ser contratado, com suas respectivas descrições, unidades de fornecimento e quantitativos, conforme Termo de Referência e Edital:</w:t>
      </w:r>
    </w:p>
    <w:p w14:paraId="221014BD">
      <w:pPr>
        <w:jc w:val="both"/>
        <w:rPr>
          <w:rFonts w:ascii="Arial" w:hAnsi="Arial" w:eastAsia="Arial" w:cs="Arial"/>
          <w:b/>
          <w:i/>
        </w:rPr>
      </w:pPr>
    </w:p>
    <w:tbl>
      <w:tblPr>
        <w:tblStyle w:val="12"/>
        <w:tblW w:w="9975" w:type="dxa"/>
        <w:tblInd w:w="65" w:type="dxa"/>
        <w:tblLayout w:type="fixed"/>
        <w:tblCellMar>
          <w:top w:w="0" w:type="dxa"/>
          <w:left w:w="108" w:type="dxa"/>
          <w:bottom w:w="0" w:type="dxa"/>
          <w:right w:w="108" w:type="dxa"/>
        </w:tblCellMar>
      </w:tblPr>
      <w:tblGrid>
        <w:gridCol w:w="1065"/>
        <w:gridCol w:w="3299"/>
        <w:gridCol w:w="1699"/>
        <w:gridCol w:w="1426"/>
        <w:gridCol w:w="850"/>
        <w:gridCol w:w="1636"/>
      </w:tblGrid>
      <w:tr w14:paraId="2C927DAD">
        <w:tblPrEx>
          <w:tblCellMar>
            <w:top w:w="0" w:type="dxa"/>
            <w:left w:w="108" w:type="dxa"/>
            <w:bottom w:w="0" w:type="dxa"/>
            <w:right w:w="108" w:type="dxa"/>
          </w:tblCellMar>
        </w:tblPrEx>
        <w:tc>
          <w:tcPr>
            <w:tcW w:w="1064" w:type="dxa"/>
            <w:tcBorders>
              <w:top w:val="single" w:color="000000" w:sz="4" w:space="0"/>
              <w:left w:val="single" w:color="000000" w:sz="4" w:space="0"/>
              <w:bottom w:val="single" w:color="000000" w:sz="4" w:space="0"/>
            </w:tcBorders>
            <w:shd w:val="clear" w:color="auto" w:fill="DDDDDD"/>
            <w:vAlign w:val="center"/>
          </w:tcPr>
          <w:p w14:paraId="5DF858BF">
            <w:pPr>
              <w:widowControl w:val="0"/>
              <w:spacing w:before="57" w:after="57" w:line="192" w:lineRule="auto"/>
              <w:jc w:val="center"/>
              <w:rPr>
                <w:rFonts w:ascii="Arial" w:hAnsi="Arial" w:eastAsia="Arial" w:cs="Arial"/>
                <w:b/>
              </w:rPr>
            </w:pPr>
            <w:r>
              <w:rPr>
                <w:rFonts w:ascii="Arial" w:hAnsi="Arial" w:eastAsia="Arial" w:cs="Arial"/>
                <w:b/>
              </w:rPr>
              <w:t>CÓD.</w:t>
            </w:r>
          </w:p>
        </w:tc>
        <w:tc>
          <w:tcPr>
            <w:tcW w:w="3299" w:type="dxa"/>
            <w:tcBorders>
              <w:top w:val="single" w:color="000000" w:sz="4" w:space="0"/>
              <w:left w:val="single" w:color="000000" w:sz="4" w:space="0"/>
              <w:bottom w:val="single" w:color="000000" w:sz="4" w:space="0"/>
            </w:tcBorders>
            <w:shd w:val="clear" w:color="auto" w:fill="DDDDDD"/>
            <w:vAlign w:val="center"/>
          </w:tcPr>
          <w:p w14:paraId="1B71792C">
            <w:pPr>
              <w:widowControl w:val="0"/>
              <w:spacing w:before="57" w:after="57" w:line="192" w:lineRule="auto"/>
              <w:jc w:val="center"/>
              <w:rPr>
                <w:rFonts w:ascii="Arial" w:hAnsi="Arial" w:eastAsia="Arial" w:cs="Arial"/>
                <w:b/>
              </w:rPr>
            </w:pPr>
            <w:r>
              <w:rPr>
                <w:rFonts w:ascii="Arial" w:hAnsi="Arial" w:eastAsia="Arial" w:cs="Arial"/>
                <w:b/>
              </w:rPr>
              <w:t>Modalidade</w:t>
            </w:r>
          </w:p>
        </w:tc>
        <w:tc>
          <w:tcPr>
            <w:tcW w:w="1699" w:type="dxa"/>
            <w:tcBorders>
              <w:top w:val="single" w:color="000000" w:sz="4" w:space="0"/>
              <w:left w:val="single" w:color="000000" w:sz="4" w:space="0"/>
              <w:bottom w:val="single" w:color="000000" w:sz="4" w:space="0"/>
            </w:tcBorders>
            <w:shd w:val="clear" w:color="auto" w:fill="DDDDDD"/>
            <w:vAlign w:val="center"/>
          </w:tcPr>
          <w:p w14:paraId="6B424208">
            <w:pPr>
              <w:widowControl w:val="0"/>
              <w:spacing w:before="57" w:after="57" w:line="192" w:lineRule="auto"/>
              <w:jc w:val="center"/>
              <w:rPr>
                <w:rFonts w:ascii="Arial" w:hAnsi="Arial" w:eastAsia="Arial" w:cs="Arial"/>
                <w:b/>
              </w:rPr>
            </w:pPr>
            <w:r>
              <w:rPr>
                <w:rFonts w:ascii="Arial" w:hAnsi="Arial" w:eastAsia="Arial" w:cs="Arial"/>
                <w:b/>
              </w:rPr>
              <w:t>Refeição</w:t>
            </w:r>
          </w:p>
        </w:tc>
        <w:tc>
          <w:tcPr>
            <w:tcW w:w="1426" w:type="dxa"/>
            <w:tcBorders>
              <w:top w:val="single" w:color="000000" w:sz="4" w:space="0"/>
              <w:left w:val="single" w:color="000000" w:sz="4" w:space="0"/>
              <w:bottom w:val="single" w:color="000000" w:sz="4" w:space="0"/>
            </w:tcBorders>
            <w:shd w:val="clear" w:color="auto" w:fill="DDDDDD"/>
            <w:vAlign w:val="center"/>
          </w:tcPr>
          <w:p w14:paraId="67EC1DD2">
            <w:pPr>
              <w:widowControl w:val="0"/>
              <w:spacing w:before="57" w:after="57" w:line="192" w:lineRule="auto"/>
              <w:ind w:left="-170" w:right="-170"/>
              <w:jc w:val="center"/>
              <w:rPr>
                <w:rFonts w:ascii="Arial" w:hAnsi="Arial" w:eastAsia="Arial" w:cs="Arial"/>
                <w:b/>
              </w:rPr>
            </w:pPr>
            <w:r>
              <w:rPr>
                <w:rFonts w:ascii="Arial" w:hAnsi="Arial" w:eastAsia="Arial" w:cs="Arial"/>
                <w:b/>
              </w:rPr>
              <w:t>Refeições / Ano</w:t>
            </w:r>
          </w:p>
        </w:tc>
        <w:tc>
          <w:tcPr>
            <w:tcW w:w="850" w:type="dxa"/>
            <w:tcBorders>
              <w:top w:val="single" w:color="000000" w:sz="4" w:space="0"/>
              <w:left w:val="single" w:color="000000" w:sz="4" w:space="0"/>
              <w:bottom w:val="single" w:color="000000" w:sz="4" w:space="0"/>
            </w:tcBorders>
            <w:shd w:val="clear" w:color="auto" w:fill="DDDDDD"/>
            <w:vAlign w:val="center"/>
          </w:tcPr>
          <w:p w14:paraId="6840F74D">
            <w:pPr>
              <w:widowControl w:val="0"/>
              <w:spacing w:before="57" w:after="57" w:line="192" w:lineRule="auto"/>
              <w:jc w:val="center"/>
              <w:rPr>
                <w:rFonts w:ascii="Arial" w:hAnsi="Arial" w:eastAsia="Arial" w:cs="Arial"/>
                <w:b/>
              </w:rPr>
            </w:pPr>
            <w:r>
              <w:rPr>
                <w:rFonts w:ascii="Arial" w:hAnsi="Arial" w:eastAsia="Arial" w:cs="Arial"/>
                <w:b/>
              </w:rPr>
              <w:t>V. Unit.</w:t>
            </w:r>
          </w:p>
        </w:tc>
        <w:tc>
          <w:tcPr>
            <w:tcW w:w="1636" w:type="dxa"/>
            <w:tcBorders>
              <w:top w:val="single" w:color="000000" w:sz="4" w:space="0"/>
              <w:left w:val="single" w:color="000000" w:sz="4" w:space="0"/>
              <w:bottom w:val="single" w:color="000000" w:sz="4" w:space="0"/>
              <w:right w:val="single" w:color="000000" w:sz="4" w:space="0"/>
            </w:tcBorders>
            <w:shd w:val="clear" w:color="auto" w:fill="DDDDDD"/>
            <w:vAlign w:val="center"/>
          </w:tcPr>
          <w:p w14:paraId="1F5C2209">
            <w:pPr>
              <w:widowControl w:val="0"/>
              <w:spacing w:before="57" w:after="57" w:line="192" w:lineRule="auto"/>
              <w:jc w:val="center"/>
              <w:rPr>
                <w:rFonts w:ascii="Arial" w:hAnsi="Arial" w:eastAsia="Arial" w:cs="Arial"/>
                <w:b/>
              </w:rPr>
            </w:pPr>
            <w:r>
              <w:rPr>
                <w:rFonts w:ascii="Arial" w:hAnsi="Arial" w:eastAsia="Arial" w:cs="Arial"/>
                <w:b/>
              </w:rPr>
              <w:t>V. Total</w:t>
            </w:r>
          </w:p>
        </w:tc>
      </w:tr>
      <w:tr w14:paraId="5EE43E8B">
        <w:tblPrEx>
          <w:tblCellMar>
            <w:top w:w="0" w:type="dxa"/>
            <w:left w:w="108" w:type="dxa"/>
            <w:bottom w:w="0" w:type="dxa"/>
            <w:right w:w="108" w:type="dxa"/>
          </w:tblCellMar>
        </w:tblPrEx>
        <w:trPr>
          <w:trHeight w:val="269" w:hRule="atLeast"/>
        </w:trPr>
        <w:tc>
          <w:tcPr>
            <w:tcW w:w="1064" w:type="dxa"/>
            <w:tcBorders>
              <w:top w:val="single" w:color="000000" w:sz="4" w:space="0"/>
              <w:left w:val="single" w:color="000000" w:sz="4" w:space="0"/>
              <w:bottom w:val="single" w:color="000000" w:sz="4" w:space="0"/>
            </w:tcBorders>
            <w:vAlign w:val="center"/>
          </w:tcPr>
          <w:p w14:paraId="0AEC177D">
            <w:pPr>
              <w:widowControl w:val="0"/>
              <w:jc w:val="center"/>
              <w:rPr>
                <w:rFonts w:ascii="Arial" w:hAnsi="Arial" w:eastAsia="Arial" w:cs="Arial"/>
                <w:b/>
              </w:rPr>
            </w:pPr>
            <w:r>
              <w:rPr>
                <w:rFonts w:ascii="Arial" w:hAnsi="Arial" w:eastAsia="Arial" w:cs="Arial"/>
                <w:b/>
              </w:rPr>
              <w:t>127814</w:t>
            </w:r>
          </w:p>
        </w:tc>
        <w:tc>
          <w:tcPr>
            <w:tcW w:w="3299" w:type="dxa"/>
            <w:tcBorders>
              <w:top w:val="single" w:color="000000" w:sz="4" w:space="0"/>
              <w:left w:val="single" w:color="000000" w:sz="4" w:space="0"/>
              <w:bottom w:val="single" w:color="000000" w:sz="4" w:space="0"/>
            </w:tcBorders>
            <w:vAlign w:val="center"/>
          </w:tcPr>
          <w:p w14:paraId="1E4DCE62">
            <w:pPr>
              <w:widowControl w:val="0"/>
              <w:jc w:val="center"/>
              <w:rPr>
                <w:rFonts w:ascii="Arial" w:hAnsi="Arial" w:eastAsia="Arial" w:cs="Arial"/>
              </w:rPr>
            </w:pPr>
            <w:r>
              <w:rPr>
                <w:rFonts w:ascii="Arial" w:hAnsi="Arial" w:eastAsia="Arial" w:cs="Arial"/>
              </w:rPr>
              <w:t>Creche Parcial  (matutino)</w:t>
            </w:r>
          </w:p>
        </w:tc>
        <w:tc>
          <w:tcPr>
            <w:tcW w:w="1699" w:type="dxa"/>
            <w:tcBorders>
              <w:top w:val="single" w:color="000000" w:sz="4" w:space="0"/>
              <w:left w:val="single" w:color="000000" w:sz="4" w:space="0"/>
              <w:bottom w:val="single" w:color="000000" w:sz="4" w:space="0"/>
            </w:tcBorders>
            <w:vAlign w:val="center"/>
          </w:tcPr>
          <w:p w14:paraId="29F35361">
            <w:pPr>
              <w:widowControl w:val="0"/>
              <w:jc w:val="center"/>
              <w:rPr>
                <w:rFonts w:ascii="Arial" w:hAnsi="Arial" w:eastAsia="Arial" w:cs="Arial"/>
              </w:rPr>
            </w:pPr>
            <w:r>
              <w:rPr>
                <w:rFonts w:ascii="Arial" w:hAnsi="Arial" w:eastAsia="Arial" w:cs="Arial"/>
              </w:rPr>
              <w:t>Café da Manhã/Almoço</w:t>
            </w:r>
          </w:p>
        </w:tc>
        <w:tc>
          <w:tcPr>
            <w:tcW w:w="1426" w:type="dxa"/>
            <w:tcBorders>
              <w:top w:val="single" w:color="000000" w:sz="4" w:space="0"/>
              <w:left w:val="single" w:color="000000" w:sz="4" w:space="0"/>
              <w:bottom w:val="single" w:color="000000" w:sz="4" w:space="0"/>
            </w:tcBorders>
            <w:vAlign w:val="center"/>
          </w:tcPr>
          <w:p w14:paraId="76D2788B">
            <w:pPr>
              <w:widowControl w:val="0"/>
              <w:jc w:val="center"/>
              <w:rPr>
                <w:rFonts w:ascii="Arial" w:hAnsi="Arial" w:eastAsia="Arial" w:cs="Arial"/>
              </w:rPr>
            </w:pPr>
            <w:r>
              <w:rPr>
                <w:rFonts w:ascii="Arial" w:hAnsi="Arial" w:eastAsia="Arial" w:cs="Arial"/>
              </w:rPr>
              <w:t>345600</w:t>
            </w:r>
          </w:p>
        </w:tc>
        <w:tc>
          <w:tcPr>
            <w:tcW w:w="850" w:type="dxa"/>
            <w:tcBorders>
              <w:top w:val="single" w:color="000000" w:sz="4" w:space="0"/>
              <w:left w:val="single" w:color="000000" w:sz="4" w:space="0"/>
              <w:bottom w:val="single" w:color="000000" w:sz="4" w:space="0"/>
            </w:tcBorders>
            <w:vAlign w:val="center"/>
          </w:tcPr>
          <w:p w14:paraId="03675134">
            <w:pPr>
              <w:widowControl w:val="0"/>
              <w:jc w:val="center"/>
              <w:rPr>
                <w:rFonts w:ascii="Arial" w:hAnsi="Arial" w:eastAsia="Arial" w:cs="Arial"/>
              </w:rPr>
            </w:pPr>
            <w:r>
              <w:rPr>
                <w:rFonts w:ascii="Arial" w:hAnsi="Arial" w:eastAsia="Arial" w:cs="Arial"/>
              </w:rPr>
              <w:t>R$ 5,47</w:t>
            </w:r>
          </w:p>
        </w:tc>
        <w:tc>
          <w:tcPr>
            <w:tcW w:w="1636" w:type="dxa"/>
            <w:tcBorders>
              <w:top w:val="single" w:color="000000" w:sz="4" w:space="0"/>
              <w:left w:val="single" w:color="000000" w:sz="4" w:space="0"/>
              <w:bottom w:val="single" w:color="000000" w:sz="4" w:space="0"/>
              <w:right w:val="single" w:color="000000" w:sz="4" w:space="0"/>
            </w:tcBorders>
            <w:vAlign w:val="center"/>
          </w:tcPr>
          <w:p w14:paraId="2DA2F02A">
            <w:pPr>
              <w:widowControl w:val="0"/>
              <w:jc w:val="center"/>
              <w:rPr>
                <w:rFonts w:ascii="Arial" w:hAnsi="Arial" w:eastAsia="Arial" w:cs="Arial"/>
              </w:rPr>
            </w:pPr>
            <w:r>
              <w:rPr>
                <w:rFonts w:ascii="Arial" w:hAnsi="Arial" w:eastAsia="Arial" w:cs="Arial"/>
              </w:rPr>
              <w:t>R$ 1.890.432,00</w:t>
            </w:r>
          </w:p>
        </w:tc>
      </w:tr>
      <w:tr w14:paraId="687205F9">
        <w:tblPrEx>
          <w:tblCellMar>
            <w:top w:w="0" w:type="dxa"/>
            <w:left w:w="108" w:type="dxa"/>
            <w:bottom w:w="0" w:type="dxa"/>
            <w:right w:w="108" w:type="dxa"/>
          </w:tblCellMar>
        </w:tblPrEx>
        <w:trPr>
          <w:trHeight w:val="326" w:hRule="atLeast"/>
        </w:trPr>
        <w:tc>
          <w:tcPr>
            <w:tcW w:w="1064" w:type="dxa"/>
            <w:tcBorders>
              <w:left w:val="single" w:color="000000" w:sz="4" w:space="0"/>
              <w:bottom w:val="single" w:color="000000" w:sz="4" w:space="0"/>
            </w:tcBorders>
            <w:vAlign w:val="center"/>
          </w:tcPr>
          <w:p w14:paraId="754038AE">
            <w:pPr>
              <w:widowControl w:val="0"/>
              <w:jc w:val="center"/>
              <w:rPr>
                <w:rFonts w:ascii="Arial" w:hAnsi="Arial" w:eastAsia="Arial" w:cs="Arial"/>
                <w:b/>
              </w:rPr>
            </w:pPr>
            <w:r>
              <w:rPr>
                <w:rFonts w:ascii="Arial" w:hAnsi="Arial" w:eastAsia="Arial" w:cs="Arial"/>
                <w:b/>
              </w:rPr>
              <w:t>127815</w:t>
            </w:r>
          </w:p>
        </w:tc>
        <w:tc>
          <w:tcPr>
            <w:tcW w:w="3299" w:type="dxa"/>
            <w:tcBorders>
              <w:left w:val="single" w:color="000000" w:sz="4" w:space="0"/>
              <w:bottom w:val="single" w:color="000000" w:sz="4" w:space="0"/>
            </w:tcBorders>
            <w:vAlign w:val="center"/>
          </w:tcPr>
          <w:p w14:paraId="3BCB516A">
            <w:pPr>
              <w:widowControl w:val="0"/>
              <w:jc w:val="center"/>
              <w:rPr>
                <w:rFonts w:ascii="Arial" w:hAnsi="Arial" w:eastAsia="Arial" w:cs="Arial"/>
              </w:rPr>
            </w:pPr>
            <w:r>
              <w:rPr>
                <w:rFonts w:ascii="Arial" w:hAnsi="Arial" w:eastAsia="Arial" w:cs="Arial"/>
              </w:rPr>
              <w:t>Creche Parcial  (vespertino)</w:t>
            </w:r>
          </w:p>
        </w:tc>
        <w:tc>
          <w:tcPr>
            <w:tcW w:w="1699" w:type="dxa"/>
            <w:tcBorders>
              <w:left w:val="single" w:color="000000" w:sz="4" w:space="0"/>
              <w:bottom w:val="single" w:color="000000" w:sz="4" w:space="0"/>
            </w:tcBorders>
            <w:vAlign w:val="center"/>
          </w:tcPr>
          <w:p w14:paraId="01FF200F">
            <w:pPr>
              <w:widowControl w:val="0"/>
              <w:jc w:val="center"/>
              <w:rPr>
                <w:rFonts w:ascii="Arial" w:hAnsi="Arial" w:eastAsia="Arial" w:cs="Arial"/>
              </w:rPr>
            </w:pPr>
            <w:r>
              <w:rPr>
                <w:rFonts w:ascii="Arial" w:hAnsi="Arial" w:eastAsia="Arial" w:cs="Arial"/>
              </w:rPr>
              <w:t>Lanche da Tarde/Jantar</w:t>
            </w:r>
          </w:p>
        </w:tc>
        <w:tc>
          <w:tcPr>
            <w:tcW w:w="1426" w:type="dxa"/>
            <w:tcBorders>
              <w:left w:val="single" w:color="000000" w:sz="4" w:space="0"/>
              <w:bottom w:val="single" w:color="000000" w:sz="4" w:space="0"/>
            </w:tcBorders>
            <w:vAlign w:val="center"/>
          </w:tcPr>
          <w:p w14:paraId="337D9D0B">
            <w:pPr>
              <w:widowControl w:val="0"/>
              <w:jc w:val="center"/>
              <w:rPr>
                <w:rFonts w:ascii="Arial" w:hAnsi="Arial" w:eastAsia="Arial" w:cs="Arial"/>
              </w:rPr>
            </w:pPr>
            <w:r>
              <w:rPr>
                <w:rFonts w:ascii="Arial" w:hAnsi="Arial" w:eastAsia="Arial" w:cs="Arial"/>
              </w:rPr>
              <w:t>427200</w:t>
            </w:r>
          </w:p>
        </w:tc>
        <w:tc>
          <w:tcPr>
            <w:tcW w:w="850" w:type="dxa"/>
            <w:tcBorders>
              <w:left w:val="single" w:color="000000" w:sz="4" w:space="0"/>
              <w:bottom w:val="single" w:color="000000" w:sz="4" w:space="0"/>
            </w:tcBorders>
            <w:vAlign w:val="center"/>
          </w:tcPr>
          <w:p w14:paraId="74FE6E4F">
            <w:pPr>
              <w:widowControl w:val="0"/>
              <w:jc w:val="center"/>
              <w:rPr>
                <w:rFonts w:ascii="Arial" w:hAnsi="Arial" w:eastAsia="Arial" w:cs="Arial"/>
              </w:rPr>
            </w:pPr>
            <w:r>
              <w:rPr>
                <w:rFonts w:ascii="Arial" w:hAnsi="Arial" w:eastAsia="Arial" w:cs="Arial"/>
              </w:rPr>
              <w:t>R$ 5,45</w:t>
            </w:r>
          </w:p>
        </w:tc>
        <w:tc>
          <w:tcPr>
            <w:tcW w:w="1636" w:type="dxa"/>
            <w:tcBorders>
              <w:left w:val="single" w:color="000000" w:sz="4" w:space="0"/>
              <w:bottom w:val="single" w:color="000000" w:sz="4" w:space="0"/>
              <w:right w:val="single" w:color="000000" w:sz="4" w:space="0"/>
            </w:tcBorders>
            <w:vAlign w:val="center"/>
          </w:tcPr>
          <w:p w14:paraId="5FDAD032">
            <w:pPr>
              <w:widowControl w:val="0"/>
              <w:jc w:val="center"/>
              <w:rPr>
                <w:rFonts w:ascii="Arial" w:hAnsi="Arial" w:eastAsia="Arial" w:cs="Arial"/>
              </w:rPr>
            </w:pPr>
            <w:r>
              <w:rPr>
                <w:rFonts w:ascii="Arial" w:hAnsi="Arial" w:eastAsia="Arial" w:cs="Arial"/>
              </w:rPr>
              <w:t>R$ 2.328.240,00</w:t>
            </w:r>
          </w:p>
        </w:tc>
      </w:tr>
      <w:tr w14:paraId="0A7F8D1A">
        <w:tblPrEx>
          <w:tblCellMar>
            <w:top w:w="0" w:type="dxa"/>
            <w:left w:w="108" w:type="dxa"/>
            <w:bottom w:w="0" w:type="dxa"/>
            <w:right w:w="108" w:type="dxa"/>
          </w:tblCellMar>
        </w:tblPrEx>
        <w:trPr>
          <w:trHeight w:val="260" w:hRule="atLeast"/>
        </w:trPr>
        <w:tc>
          <w:tcPr>
            <w:tcW w:w="1064" w:type="dxa"/>
            <w:tcBorders>
              <w:left w:val="single" w:color="000000" w:sz="4" w:space="0"/>
              <w:bottom w:val="single" w:color="000000" w:sz="4" w:space="0"/>
            </w:tcBorders>
            <w:vAlign w:val="center"/>
          </w:tcPr>
          <w:p w14:paraId="795C0C4D">
            <w:pPr>
              <w:widowControl w:val="0"/>
              <w:jc w:val="center"/>
              <w:rPr>
                <w:rFonts w:ascii="Arial" w:hAnsi="Arial" w:eastAsia="Arial" w:cs="Arial"/>
                <w:b/>
              </w:rPr>
            </w:pPr>
            <w:r>
              <w:rPr>
                <w:rFonts w:ascii="Arial" w:hAnsi="Arial" w:eastAsia="Arial" w:cs="Arial"/>
                <w:b/>
              </w:rPr>
              <w:t>127816</w:t>
            </w:r>
          </w:p>
        </w:tc>
        <w:tc>
          <w:tcPr>
            <w:tcW w:w="3299" w:type="dxa"/>
            <w:tcBorders>
              <w:left w:val="single" w:color="000000" w:sz="4" w:space="0"/>
              <w:bottom w:val="single" w:color="000000" w:sz="4" w:space="0"/>
            </w:tcBorders>
            <w:vAlign w:val="center"/>
          </w:tcPr>
          <w:p w14:paraId="5B50E6EC">
            <w:pPr>
              <w:widowControl w:val="0"/>
              <w:jc w:val="center"/>
              <w:rPr>
                <w:rFonts w:ascii="Arial" w:hAnsi="Arial" w:eastAsia="Arial" w:cs="Arial"/>
              </w:rPr>
            </w:pPr>
            <w:r>
              <w:rPr>
                <w:rFonts w:ascii="Arial" w:hAnsi="Arial" w:eastAsia="Arial" w:cs="Arial"/>
              </w:rPr>
              <w:t>Creche Integral</w:t>
            </w:r>
          </w:p>
        </w:tc>
        <w:tc>
          <w:tcPr>
            <w:tcW w:w="1699" w:type="dxa"/>
            <w:tcBorders>
              <w:left w:val="single" w:color="000000" w:sz="4" w:space="0"/>
              <w:bottom w:val="single" w:color="000000" w:sz="4" w:space="0"/>
            </w:tcBorders>
            <w:vAlign w:val="center"/>
          </w:tcPr>
          <w:p w14:paraId="49B7DCCD">
            <w:pPr>
              <w:widowControl w:val="0"/>
              <w:jc w:val="center"/>
              <w:rPr>
                <w:rFonts w:ascii="Arial" w:hAnsi="Arial" w:eastAsia="Arial" w:cs="Arial"/>
              </w:rPr>
            </w:pPr>
            <w:r>
              <w:rPr>
                <w:rFonts w:ascii="Arial" w:hAnsi="Arial" w:eastAsia="Arial" w:cs="Arial"/>
              </w:rPr>
              <w:t>Café da Manhã</w:t>
            </w:r>
          </w:p>
        </w:tc>
        <w:tc>
          <w:tcPr>
            <w:tcW w:w="1426" w:type="dxa"/>
            <w:tcBorders>
              <w:left w:val="single" w:color="000000" w:sz="4" w:space="0"/>
              <w:bottom w:val="single" w:color="000000" w:sz="4" w:space="0"/>
            </w:tcBorders>
            <w:vAlign w:val="center"/>
          </w:tcPr>
          <w:p w14:paraId="2D9E81FC">
            <w:pPr>
              <w:widowControl w:val="0"/>
              <w:jc w:val="center"/>
              <w:rPr>
                <w:rFonts w:ascii="Arial" w:hAnsi="Arial" w:eastAsia="Arial" w:cs="Arial"/>
              </w:rPr>
            </w:pPr>
            <w:r>
              <w:rPr>
                <w:rFonts w:ascii="Arial" w:hAnsi="Arial" w:eastAsia="Arial" w:cs="Arial"/>
              </w:rPr>
              <w:t>440800</w:t>
            </w:r>
          </w:p>
        </w:tc>
        <w:tc>
          <w:tcPr>
            <w:tcW w:w="850" w:type="dxa"/>
            <w:tcBorders>
              <w:left w:val="single" w:color="000000" w:sz="4" w:space="0"/>
              <w:bottom w:val="single" w:color="000000" w:sz="4" w:space="0"/>
            </w:tcBorders>
            <w:vAlign w:val="center"/>
          </w:tcPr>
          <w:p w14:paraId="34ED6E66">
            <w:pPr>
              <w:widowControl w:val="0"/>
              <w:jc w:val="center"/>
              <w:rPr>
                <w:rFonts w:ascii="Arial" w:hAnsi="Arial" w:eastAsia="Arial" w:cs="Arial"/>
              </w:rPr>
            </w:pPr>
            <w:r>
              <w:rPr>
                <w:rFonts w:ascii="Arial" w:hAnsi="Arial" w:eastAsia="Arial" w:cs="Arial"/>
              </w:rPr>
              <w:t>R$ 6,01</w:t>
            </w:r>
          </w:p>
        </w:tc>
        <w:tc>
          <w:tcPr>
            <w:tcW w:w="1636" w:type="dxa"/>
            <w:tcBorders>
              <w:left w:val="single" w:color="000000" w:sz="4" w:space="0"/>
              <w:bottom w:val="single" w:color="000000" w:sz="4" w:space="0"/>
              <w:right w:val="single" w:color="000000" w:sz="4" w:space="0"/>
            </w:tcBorders>
            <w:vAlign w:val="center"/>
          </w:tcPr>
          <w:p w14:paraId="13B10E55">
            <w:pPr>
              <w:widowControl w:val="0"/>
              <w:jc w:val="center"/>
              <w:rPr>
                <w:rFonts w:ascii="Arial" w:hAnsi="Arial" w:eastAsia="Arial" w:cs="Arial"/>
              </w:rPr>
            </w:pPr>
            <w:r>
              <w:rPr>
                <w:rFonts w:ascii="Arial" w:hAnsi="Arial" w:eastAsia="Arial" w:cs="Arial"/>
              </w:rPr>
              <w:t>R$ 2.649.208,00</w:t>
            </w:r>
          </w:p>
        </w:tc>
      </w:tr>
      <w:tr w14:paraId="34DF12F3">
        <w:tblPrEx>
          <w:tblCellMar>
            <w:top w:w="0" w:type="dxa"/>
            <w:left w:w="108" w:type="dxa"/>
            <w:bottom w:w="0" w:type="dxa"/>
            <w:right w:w="108" w:type="dxa"/>
          </w:tblCellMar>
        </w:tblPrEx>
        <w:trPr>
          <w:trHeight w:val="275" w:hRule="atLeast"/>
        </w:trPr>
        <w:tc>
          <w:tcPr>
            <w:tcW w:w="1064" w:type="dxa"/>
            <w:tcBorders>
              <w:left w:val="single" w:color="000000" w:sz="4" w:space="0"/>
              <w:bottom w:val="single" w:color="000000" w:sz="4" w:space="0"/>
            </w:tcBorders>
            <w:vAlign w:val="center"/>
          </w:tcPr>
          <w:p w14:paraId="5A54D717">
            <w:pPr>
              <w:widowControl w:val="0"/>
              <w:jc w:val="center"/>
              <w:rPr>
                <w:rFonts w:ascii="Arial" w:hAnsi="Arial" w:eastAsia="Arial" w:cs="Arial"/>
                <w:b/>
              </w:rPr>
            </w:pPr>
            <w:r>
              <w:rPr>
                <w:rFonts w:ascii="Arial" w:hAnsi="Arial" w:eastAsia="Arial" w:cs="Arial"/>
                <w:b/>
              </w:rPr>
              <w:t>127817</w:t>
            </w:r>
          </w:p>
        </w:tc>
        <w:tc>
          <w:tcPr>
            <w:tcW w:w="3299" w:type="dxa"/>
            <w:tcBorders>
              <w:left w:val="single" w:color="000000" w:sz="4" w:space="0"/>
              <w:bottom w:val="single" w:color="000000" w:sz="4" w:space="0"/>
            </w:tcBorders>
            <w:vAlign w:val="center"/>
          </w:tcPr>
          <w:p w14:paraId="03CC737D">
            <w:pPr>
              <w:widowControl w:val="0"/>
              <w:jc w:val="center"/>
              <w:rPr>
                <w:rFonts w:ascii="Arial" w:hAnsi="Arial" w:eastAsia="Arial" w:cs="Arial"/>
              </w:rPr>
            </w:pPr>
            <w:r>
              <w:rPr>
                <w:rFonts w:ascii="Arial" w:hAnsi="Arial" w:eastAsia="Arial" w:cs="Arial"/>
              </w:rPr>
              <w:t>Creche Integral</w:t>
            </w:r>
          </w:p>
        </w:tc>
        <w:tc>
          <w:tcPr>
            <w:tcW w:w="1699" w:type="dxa"/>
            <w:tcBorders>
              <w:left w:val="single" w:color="000000" w:sz="4" w:space="0"/>
              <w:bottom w:val="single" w:color="000000" w:sz="4" w:space="0"/>
            </w:tcBorders>
            <w:vAlign w:val="center"/>
          </w:tcPr>
          <w:p w14:paraId="557725A0">
            <w:pPr>
              <w:widowControl w:val="0"/>
              <w:jc w:val="center"/>
              <w:rPr>
                <w:rFonts w:ascii="Arial" w:hAnsi="Arial" w:eastAsia="Arial" w:cs="Arial"/>
              </w:rPr>
            </w:pPr>
            <w:r>
              <w:rPr>
                <w:rFonts w:ascii="Arial" w:hAnsi="Arial" w:eastAsia="Arial" w:cs="Arial"/>
              </w:rPr>
              <w:t>Almoço</w:t>
            </w:r>
          </w:p>
        </w:tc>
        <w:tc>
          <w:tcPr>
            <w:tcW w:w="1426" w:type="dxa"/>
            <w:tcBorders>
              <w:left w:val="single" w:color="000000" w:sz="4" w:space="0"/>
              <w:bottom w:val="single" w:color="000000" w:sz="4" w:space="0"/>
            </w:tcBorders>
            <w:vAlign w:val="center"/>
          </w:tcPr>
          <w:p w14:paraId="56EB5333">
            <w:pPr>
              <w:widowControl w:val="0"/>
              <w:jc w:val="center"/>
              <w:rPr>
                <w:rFonts w:ascii="Arial" w:hAnsi="Arial" w:eastAsia="Arial" w:cs="Arial"/>
              </w:rPr>
            </w:pPr>
            <w:r>
              <w:rPr>
                <w:rFonts w:ascii="Arial" w:hAnsi="Arial" w:eastAsia="Arial" w:cs="Arial"/>
              </w:rPr>
              <w:t>440800</w:t>
            </w:r>
          </w:p>
        </w:tc>
        <w:tc>
          <w:tcPr>
            <w:tcW w:w="850" w:type="dxa"/>
            <w:tcBorders>
              <w:left w:val="single" w:color="000000" w:sz="4" w:space="0"/>
              <w:bottom w:val="single" w:color="000000" w:sz="4" w:space="0"/>
            </w:tcBorders>
            <w:vAlign w:val="center"/>
          </w:tcPr>
          <w:p w14:paraId="1CE3B0D5">
            <w:pPr>
              <w:widowControl w:val="0"/>
              <w:jc w:val="center"/>
              <w:rPr>
                <w:rFonts w:ascii="Arial" w:hAnsi="Arial" w:eastAsia="Arial" w:cs="Arial"/>
              </w:rPr>
            </w:pPr>
            <w:r>
              <w:rPr>
                <w:rFonts w:ascii="Arial" w:hAnsi="Arial" w:eastAsia="Arial" w:cs="Arial"/>
              </w:rPr>
              <w:t>R$ 6,02</w:t>
            </w:r>
          </w:p>
        </w:tc>
        <w:tc>
          <w:tcPr>
            <w:tcW w:w="1636" w:type="dxa"/>
            <w:tcBorders>
              <w:left w:val="single" w:color="000000" w:sz="4" w:space="0"/>
              <w:bottom w:val="single" w:color="000000" w:sz="4" w:space="0"/>
              <w:right w:val="single" w:color="000000" w:sz="4" w:space="0"/>
            </w:tcBorders>
            <w:vAlign w:val="center"/>
          </w:tcPr>
          <w:p w14:paraId="6603A508">
            <w:pPr>
              <w:widowControl w:val="0"/>
              <w:jc w:val="center"/>
              <w:rPr>
                <w:rFonts w:ascii="Arial" w:hAnsi="Arial" w:eastAsia="Arial" w:cs="Arial"/>
              </w:rPr>
            </w:pPr>
            <w:r>
              <w:rPr>
                <w:rFonts w:ascii="Arial" w:hAnsi="Arial" w:eastAsia="Arial" w:cs="Arial"/>
              </w:rPr>
              <w:t>R$ 2.653.616,00</w:t>
            </w:r>
          </w:p>
        </w:tc>
      </w:tr>
      <w:tr w14:paraId="74A96883">
        <w:tblPrEx>
          <w:tblCellMar>
            <w:top w:w="0" w:type="dxa"/>
            <w:left w:w="108" w:type="dxa"/>
            <w:bottom w:w="0" w:type="dxa"/>
            <w:right w:w="108" w:type="dxa"/>
          </w:tblCellMar>
        </w:tblPrEx>
        <w:trPr>
          <w:trHeight w:val="238" w:hRule="atLeast"/>
        </w:trPr>
        <w:tc>
          <w:tcPr>
            <w:tcW w:w="1064" w:type="dxa"/>
            <w:tcBorders>
              <w:left w:val="single" w:color="000000" w:sz="4" w:space="0"/>
              <w:bottom w:val="single" w:color="000000" w:sz="4" w:space="0"/>
            </w:tcBorders>
            <w:vAlign w:val="center"/>
          </w:tcPr>
          <w:p w14:paraId="6CE6D575">
            <w:pPr>
              <w:widowControl w:val="0"/>
              <w:jc w:val="center"/>
              <w:rPr>
                <w:rFonts w:ascii="Arial" w:hAnsi="Arial" w:eastAsia="Arial" w:cs="Arial"/>
                <w:b/>
              </w:rPr>
            </w:pPr>
            <w:r>
              <w:rPr>
                <w:rFonts w:ascii="Arial" w:hAnsi="Arial" w:eastAsia="Arial" w:cs="Arial"/>
                <w:b/>
              </w:rPr>
              <w:t>127818</w:t>
            </w:r>
          </w:p>
        </w:tc>
        <w:tc>
          <w:tcPr>
            <w:tcW w:w="3299" w:type="dxa"/>
            <w:tcBorders>
              <w:left w:val="single" w:color="000000" w:sz="4" w:space="0"/>
              <w:bottom w:val="single" w:color="000000" w:sz="4" w:space="0"/>
            </w:tcBorders>
            <w:vAlign w:val="center"/>
          </w:tcPr>
          <w:p w14:paraId="6E97D9E5">
            <w:pPr>
              <w:widowControl w:val="0"/>
              <w:jc w:val="center"/>
              <w:rPr>
                <w:rFonts w:ascii="Arial" w:hAnsi="Arial" w:eastAsia="Arial" w:cs="Arial"/>
              </w:rPr>
            </w:pPr>
            <w:r>
              <w:rPr>
                <w:rFonts w:ascii="Arial" w:hAnsi="Arial" w:eastAsia="Arial" w:cs="Arial"/>
              </w:rPr>
              <w:t>Creche Integral</w:t>
            </w:r>
          </w:p>
        </w:tc>
        <w:tc>
          <w:tcPr>
            <w:tcW w:w="1699" w:type="dxa"/>
            <w:tcBorders>
              <w:left w:val="single" w:color="000000" w:sz="4" w:space="0"/>
              <w:bottom w:val="single" w:color="000000" w:sz="4" w:space="0"/>
            </w:tcBorders>
            <w:vAlign w:val="center"/>
          </w:tcPr>
          <w:p w14:paraId="528F11B6">
            <w:pPr>
              <w:widowControl w:val="0"/>
              <w:jc w:val="center"/>
              <w:rPr>
                <w:rFonts w:ascii="Arial" w:hAnsi="Arial" w:eastAsia="Arial" w:cs="Arial"/>
              </w:rPr>
            </w:pPr>
            <w:r>
              <w:rPr>
                <w:rFonts w:ascii="Arial" w:hAnsi="Arial" w:eastAsia="Arial" w:cs="Arial"/>
              </w:rPr>
              <w:t>Lanche</w:t>
            </w:r>
          </w:p>
        </w:tc>
        <w:tc>
          <w:tcPr>
            <w:tcW w:w="1426" w:type="dxa"/>
            <w:tcBorders>
              <w:left w:val="single" w:color="000000" w:sz="4" w:space="0"/>
              <w:bottom w:val="single" w:color="000000" w:sz="4" w:space="0"/>
            </w:tcBorders>
            <w:vAlign w:val="center"/>
          </w:tcPr>
          <w:p w14:paraId="55A76622">
            <w:pPr>
              <w:widowControl w:val="0"/>
              <w:jc w:val="center"/>
              <w:rPr>
                <w:rFonts w:ascii="Arial" w:hAnsi="Arial" w:eastAsia="Arial" w:cs="Arial"/>
              </w:rPr>
            </w:pPr>
            <w:r>
              <w:rPr>
                <w:rFonts w:ascii="Arial" w:hAnsi="Arial" w:eastAsia="Arial" w:cs="Arial"/>
              </w:rPr>
              <w:t>440800</w:t>
            </w:r>
          </w:p>
        </w:tc>
        <w:tc>
          <w:tcPr>
            <w:tcW w:w="850" w:type="dxa"/>
            <w:tcBorders>
              <w:left w:val="single" w:color="000000" w:sz="4" w:space="0"/>
              <w:bottom w:val="single" w:color="000000" w:sz="4" w:space="0"/>
            </w:tcBorders>
            <w:vAlign w:val="center"/>
          </w:tcPr>
          <w:p w14:paraId="1205F93A">
            <w:pPr>
              <w:widowControl w:val="0"/>
              <w:jc w:val="center"/>
              <w:rPr>
                <w:rFonts w:ascii="Arial" w:hAnsi="Arial" w:eastAsia="Arial" w:cs="Arial"/>
              </w:rPr>
            </w:pPr>
            <w:r>
              <w:rPr>
                <w:rFonts w:ascii="Arial" w:hAnsi="Arial" w:eastAsia="Arial" w:cs="Arial"/>
              </w:rPr>
              <w:t>R$ 6,00</w:t>
            </w:r>
          </w:p>
        </w:tc>
        <w:tc>
          <w:tcPr>
            <w:tcW w:w="1636" w:type="dxa"/>
            <w:tcBorders>
              <w:left w:val="single" w:color="000000" w:sz="4" w:space="0"/>
              <w:bottom w:val="single" w:color="000000" w:sz="4" w:space="0"/>
              <w:right w:val="single" w:color="000000" w:sz="4" w:space="0"/>
            </w:tcBorders>
            <w:vAlign w:val="center"/>
          </w:tcPr>
          <w:p w14:paraId="0A36D581">
            <w:pPr>
              <w:widowControl w:val="0"/>
              <w:jc w:val="center"/>
              <w:rPr>
                <w:rFonts w:ascii="Arial" w:hAnsi="Arial" w:eastAsia="Arial" w:cs="Arial"/>
              </w:rPr>
            </w:pPr>
            <w:r>
              <w:rPr>
                <w:rFonts w:ascii="Arial" w:hAnsi="Arial" w:eastAsia="Arial" w:cs="Arial"/>
              </w:rPr>
              <w:t>R$ 2.644.800,00</w:t>
            </w:r>
          </w:p>
        </w:tc>
      </w:tr>
      <w:tr w14:paraId="5C917F4B">
        <w:tblPrEx>
          <w:tblCellMar>
            <w:top w:w="0" w:type="dxa"/>
            <w:left w:w="108" w:type="dxa"/>
            <w:bottom w:w="0" w:type="dxa"/>
            <w:right w:w="108" w:type="dxa"/>
          </w:tblCellMar>
        </w:tblPrEx>
        <w:trPr>
          <w:trHeight w:val="275" w:hRule="atLeast"/>
        </w:trPr>
        <w:tc>
          <w:tcPr>
            <w:tcW w:w="1064" w:type="dxa"/>
            <w:tcBorders>
              <w:left w:val="single" w:color="000000" w:sz="4" w:space="0"/>
              <w:bottom w:val="single" w:color="000000" w:sz="4" w:space="0"/>
            </w:tcBorders>
            <w:vAlign w:val="center"/>
          </w:tcPr>
          <w:p w14:paraId="221B61B4">
            <w:pPr>
              <w:widowControl w:val="0"/>
              <w:jc w:val="center"/>
              <w:rPr>
                <w:rFonts w:ascii="Arial" w:hAnsi="Arial" w:eastAsia="Arial" w:cs="Arial"/>
                <w:b/>
              </w:rPr>
            </w:pPr>
            <w:r>
              <w:rPr>
                <w:rFonts w:ascii="Arial" w:hAnsi="Arial" w:eastAsia="Arial" w:cs="Arial"/>
                <w:b/>
              </w:rPr>
              <w:t>127819</w:t>
            </w:r>
          </w:p>
        </w:tc>
        <w:tc>
          <w:tcPr>
            <w:tcW w:w="3299" w:type="dxa"/>
            <w:tcBorders>
              <w:left w:val="single" w:color="000000" w:sz="4" w:space="0"/>
              <w:bottom w:val="single" w:color="000000" w:sz="4" w:space="0"/>
            </w:tcBorders>
            <w:vAlign w:val="center"/>
          </w:tcPr>
          <w:p w14:paraId="0F7FF077">
            <w:pPr>
              <w:widowControl w:val="0"/>
              <w:jc w:val="center"/>
              <w:rPr>
                <w:rFonts w:ascii="Arial" w:hAnsi="Arial" w:eastAsia="Arial" w:cs="Arial"/>
              </w:rPr>
            </w:pPr>
            <w:r>
              <w:rPr>
                <w:rFonts w:ascii="Arial" w:hAnsi="Arial" w:eastAsia="Arial" w:cs="Arial"/>
              </w:rPr>
              <w:t>Creche Integral</w:t>
            </w:r>
          </w:p>
        </w:tc>
        <w:tc>
          <w:tcPr>
            <w:tcW w:w="1699" w:type="dxa"/>
            <w:tcBorders>
              <w:left w:val="single" w:color="000000" w:sz="4" w:space="0"/>
              <w:bottom w:val="single" w:color="000000" w:sz="4" w:space="0"/>
            </w:tcBorders>
            <w:vAlign w:val="center"/>
          </w:tcPr>
          <w:p w14:paraId="3A38AFF1">
            <w:pPr>
              <w:widowControl w:val="0"/>
              <w:jc w:val="center"/>
              <w:rPr>
                <w:rFonts w:ascii="Arial" w:hAnsi="Arial" w:eastAsia="Arial" w:cs="Arial"/>
              </w:rPr>
            </w:pPr>
            <w:r>
              <w:rPr>
                <w:rFonts w:ascii="Arial" w:hAnsi="Arial" w:eastAsia="Arial" w:cs="Arial"/>
              </w:rPr>
              <w:t>Jantar</w:t>
            </w:r>
          </w:p>
        </w:tc>
        <w:tc>
          <w:tcPr>
            <w:tcW w:w="1426" w:type="dxa"/>
            <w:tcBorders>
              <w:left w:val="single" w:color="000000" w:sz="4" w:space="0"/>
              <w:bottom w:val="single" w:color="000000" w:sz="4" w:space="0"/>
            </w:tcBorders>
            <w:vAlign w:val="center"/>
          </w:tcPr>
          <w:p w14:paraId="2BC2788F">
            <w:pPr>
              <w:widowControl w:val="0"/>
              <w:jc w:val="center"/>
              <w:rPr>
                <w:rFonts w:ascii="Arial" w:hAnsi="Arial" w:eastAsia="Arial" w:cs="Arial"/>
              </w:rPr>
            </w:pPr>
            <w:r>
              <w:rPr>
                <w:rFonts w:ascii="Arial" w:hAnsi="Arial" w:eastAsia="Arial" w:cs="Arial"/>
              </w:rPr>
              <w:t>440800</w:t>
            </w:r>
          </w:p>
        </w:tc>
        <w:tc>
          <w:tcPr>
            <w:tcW w:w="850" w:type="dxa"/>
            <w:tcBorders>
              <w:left w:val="single" w:color="000000" w:sz="4" w:space="0"/>
              <w:bottom w:val="single" w:color="000000" w:sz="4" w:space="0"/>
            </w:tcBorders>
            <w:vAlign w:val="center"/>
          </w:tcPr>
          <w:p w14:paraId="5E97CEC7">
            <w:pPr>
              <w:widowControl w:val="0"/>
              <w:jc w:val="center"/>
              <w:rPr>
                <w:rFonts w:ascii="Arial" w:hAnsi="Arial" w:eastAsia="Arial" w:cs="Arial"/>
              </w:rPr>
            </w:pPr>
            <w:r>
              <w:rPr>
                <w:rFonts w:ascii="Arial" w:hAnsi="Arial" w:eastAsia="Arial" w:cs="Arial"/>
              </w:rPr>
              <w:t>R$ 6,00</w:t>
            </w:r>
          </w:p>
        </w:tc>
        <w:tc>
          <w:tcPr>
            <w:tcW w:w="1636" w:type="dxa"/>
            <w:tcBorders>
              <w:left w:val="single" w:color="000000" w:sz="4" w:space="0"/>
              <w:bottom w:val="single" w:color="000000" w:sz="4" w:space="0"/>
              <w:right w:val="single" w:color="000000" w:sz="4" w:space="0"/>
            </w:tcBorders>
            <w:vAlign w:val="center"/>
          </w:tcPr>
          <w:p w14:paraId="00E4976A">
            <w:pPr>
              <w:widowControl w:val="0"/>
              <w:jc w:val="center"/>
              <w:rPr>
                <w:rFonts w:ascii="Arial" w:hAnsi="Arial" w:eastAsia="Arial" w:cs="Arial"/>
              </w:rPr>
            </w:pPr>
            <w:r>
              <w:rPr>
                <w:rFonts w:ascii="Arial" w:hAnsi="Arial" w:eastAsia="Arial" w:cs="Arial"/>
              </w:rPr>
              <w:t>R$ 2.644.800,00</w:t>
            </w:r>
          </w:p>
        </w:tc>
      </w:tr>
      <w:tr w14:paraId="738C3713">
        <w:tblPrEx>
          <w:tblCellMar>
            <w:top w:w="0" w:type="dxa"/>
            <w:left w:w="108" w:type="dxa"/>
            <w:bottom w:w="0" w:type="dxa"/>
            <w:right w:w="108" w:type="dxa"/>
          </w:tblCellMar>
        </w:tblPrEx>
        <w:trPr>
          <w:trHeight w:val="225" w:hRule="atLeast"/>
        </w:trPr>
        <w:tc>
          <w:tcPr>
            <w:tcW w:w="1064" w:type="dxa"/>
            <w:tcBorders>
              <w:left w:val="single" w:color="000000" w:sz="4" w:space="0"/>
              <w:bottom w:val="single" w:color="000000" w:sz="4" w:space="0"/>
            </w:tcBorders>
            <w:vAlign w:val="center"/>
          </w:tcPr>
          <w:p w14:paraId="54CD4C85">
            <w:pPr>
              <w:widowControl w:val="0"/>
              <w:jc w:val="center"/>
              <w:rPr>
                <w:rFonts w:ascii="Arial" w:hAnsi="Arial" w:eastAsia="Arial" w:cs="Arial"/>
                <w:b/>
              </w:rPr>
            </w:pPr>
            <w:r>
              <w:rPr>
                <w:rFonts w:ascii="Arial" w:hAnsi="Arial" w:eastAsia="Arial" w:cs="Arial"/>
                <w:b/>
              </w:rPr>
              <w:t>127820</w:t>
            </w:r>
          </w:p>
        </w:tc>
        <w:tc>
          <w:tcPr>
            <w:tcW w:w="3299" w:type="dxa"/>
            <w:tcBorders>
              <w:left w:val="single" w:color="000000" w:sz="4" w:space="0"/>
              <w:bottom w:val="single" w:color="000000" w:sz="4" w:space="0"/>
            </w:tcBorders>
            <w:vAlign w:val="center"/>
          </w:tcPr>
          <w:p w14:paraId="62FD5B50">
            <w:pPr>
              <w:widowControl w:val="0"/>
              <w:jc w:val="center"/>
              <w:rPr>
                <w:rFonts w:ascii="Arial" w:hAnsi="Arial" w:eastAsia="Arial" w:cs="Arial"/>
              </w:rPr>
            </w:pPr>
            <w:r>
              <w:rPr>
                <w:rFonts w:ascii="Arial" w:hAnsi="Arial" w:eastAsia="Arial" w:cs="Arial"/>
              </w:rPr>
              <w:t>Pré-Escola Parcial (matutino)</w:t>
            </w:r>
          </w:p>
        </w:tc>
        <w:tc>
          <w:tcPr>
            <w:tcW w:w="1699" w:type="dxa"/>
            <w:tcBorders>
              <w:left w:val="single" w:color="000000" w:sz="4" w:space="0"/>
              <w:bottom w:val="single" w:color="000000" w:sz="4" w:space="0"/>
            </w:tcBorders>
            <w:vAlign w:val="center"/>
          </w:tcPr>
          <w:p w14:paraId="2CA4F377">
            <w:pPr>
              <w:widowControl w:val="0"/>
              <w:jc w:val="center"/>
              <w:rPr>
                <w:rFonts w:ascii="Arial" w:hAnsi="Arial" w:eastAsia="Arial" w:cs="Arial"/>
              </w:rPr>
            </w:pPr>
            <w:r>
              <w:rPr>
                <w:rFonts w:ascii="Arial" w:hAnsi="Arial" w:eastAsia="Arial" w:cs="Arial"/>
              </w:rPr>
              <w:t>Lanche (Manhã)</w:t>
            </w:r>
          </w:p>
        </w:tc>
        <w:tc>
          <w:tcPr>
            <w:tcW w:w="1426" w:type="dxa"/>
            <w:tcBorders>
              <w:left w:val="single" w:color="000000" w:sz="4" w:space="0"/>
              <w:bottom w:val="single" w:color="000000" w:sz="4" w:space="0"/>
            </w:tcBorders>
            <w:vAlign w:val="center"/>
          </w:tcPr>
          <w:p w14:paraId="4F1CE92E">
            <w:pPr>
              <w:widowControl w:val="0"/>
              <w:jc w:val="center"/>
              <w:rPr>
                <w:rFonts w:ascii="Arial" w:hAnsi="Arial" w:eastAsia="Arial" w:cs="Arial"/>
              </w:rPr>
            </w:pPr>
            <w:r>
              <w:rPr>
                <w:rFonts w:ascii="Arial" w:hAnsi="Arial" w:eastAsia="Arial" w:cs="Arial"/>
              </w:rPr>
              <w:t>541200</w:t>
            </w:r>
          </w:p>
        </w:tc>
        <w:tc>
          <w:tcPr>
            <w:tcW w:w="850" w:type="dxa"/>
            <w:tcBorders>
              <w:left w:val="single" w:color="000000" w:sz="4" w:space="0"/>
              <w:bottom w:val="single" w:color="000000" w:sz="4" w:space="0"/>
            </w:tcBorders>
            <w:vAlign w:val="center"/>
          </w:tcPr>
          <w:p w14:paraId="232A7875">
            <w:pPr>
              <w:widowControl w:val="0"/>
              <w:jc w:val="center"/>
              <w:rPr>
                <w:rFonts w:ascii="Arial" w:hAnsi="Arial" w:eastAsia="Arial" w:cs="Arial"/>
              </w:rPr>
            </w:pPr>
            <w:r>
              <w:rPr>
                <w:rFonts w:ascii="Arial" w:hAnsi="Arial" w:eastAsia="Arial" w:cs="Arial"/>
              </w:rPr>
              <w:t>R$ 6,03</w:t>
            </w:r>
          </w:p>
        </w:tc>
        <w:tc>
          <w:tcPr>
            <w:tcW w:w="1636" w:type="dxa"/>
            <w:tcBorders>
              <w:left w:val="single" w:color="000000" w:sz="4" w:space="0"/>
              <w:bottom w:val="single" w:color="000000" w:sz="4" w:space="0"/>
              <w:right w:val="single" w:color="000000" w:sz="4" w:space="0"/>
            </w:tcBorders>
            <w:vAlign w:val="center"/>
          </w:tcPr>
          <w:p w14:paraId="2F5BE5D0">
            <w:pPr>
              <w:widowControl w:val="0"/>
              <w:jc w:val="center"/>
              <w:rPr>
                <w:rFonts w:ascii="Arial" w:hAnsi="Arial" w:eastAsia="Arial" w:cs="Arial"/>
              </w:rPr>
            </w:pPr>
            <w:r>
              <w:rPr>
                <w:rFonts w:ascii="Arial" w:hAnsi="Arial" w:eastAsia="Arial" w:cs="Arial"/>
              </w:rPr>
              <w:t>R$ 3.263.436,00</w:t>
            </w:r>
          </w:p>
        </w:tc>
      </w:tr>
      <w:tr w14:paraId="25F42DF6">
        <w:tblPrEx>
          <w:tblCellMar>
            <w:top w:w="0" w:type="dxa"/>
            <w:left w:w="108" w:type="dxa"/>
            <w:bottom w:w="0" w:type="dxa"/>
            <w:right w:w="108" w:type="dxa"/>
          </w:tblCellMar>
        </w:tblPrEx>
        <w:trPr>
          <w:trHeight w:val="287" w:hRule="atLeast"/>
        </w:trPr>
        <w:tc>
          <w:tcPr>
            <w:tcW w:w="1064" w:type="dxa"/>
            <w:tcBorders>
              <w:left w:val="single" w:color="000000" w:sz="4" w:space="0"/>
              <w:bottom w:val="single" w:color="000000" w:sz="4" w:space="0"/>
            </w:tcBorders>
            <w:vAlign w:val="center"/>
          </w:tcPr>
          <w:p w14:paraId="6529BDED">
            <w:pPr>
              <w:widowControl w:val="0"/>
              <w:jc w:val="center"/>
              <w:rPr>
                <w:rFonts w:ascii="Arial" w:hAnsi="Arial" w:eastAsia="Arial" w:cs="Arial"/>
                <w:b/>
              </w:rPr>
            </w:pPr>
            <w:r>
              <w:rPr>
                <w:rFonts w:ascii="Arial" w:hAnsi="Arial" w:eastAsia="Arial" w:cs="Arial"/>
                <w:b/>
              </w:rPr>
              <w:t>127821</w:t>
            </w:r>
          </w:p>
        </w:tc>
        <w:tc>
          <w:tcPr>
            <w:tcW w:w="3299" w:type="dxa"/>
            <w:tcBorders>
              <w:left w:val="single" w:color="000000" w:sz="4" w:space="0"/>
              <w:bottom w:val="single" w:color="000000" w:sz="4" w:space="0"/>
            </w:tcBorders>
            <w:vAlign w:val="center"/>
          </w:tcPr>
          <w:p w14:paraId="0D6807D7">
            <w:pPr>
              <w:widowControl w:val="0"/>
              <w:jc w:val="center"/>
              <w:rPr>
                <w:rFonts w:ascii="Arial" w:hAnsi="Arial" w:eastAsia="Arial" w:cs="Arial"/>
              </w:rPr>
            </w:pPr>
            <w:r>
              <w:rPr>
                <w:rFonts w:ascii="Arial" w:hAnsi="Arial" w:eastAsia="Arial" w:cs="Arial"/>
              </w:rPr>
              <w:t>Pré-Escola Parcial (vespertino)</w:t>
            </w:r>
          </w:p>
        </w:tc>
        <w:tc>
          <w:tcPr>
            <w:tcW w:w="1699" w:type="dxa"/>
            <w:tcBorders>
              <w:left w:val="single" w:color="000000" w:sz="4" w:space="0"/>
              <w:bottom w:val="single" w:color="000000" w:sz="4" w:space="0"/>
            </w:tcBorders>
            <w:vAlign w:val="center"/>
          </w:tcPr>
          <w:p w14:paraId="6B01754E">
            <w:pPr>
              <w:widowControl w:val="0"/>
              <w:jc w:val="center"/>
              <w:rPr>
                <w:rFonts w:ascii="Arial" w:hAnsi="Arial" w:eastAsia="Arial" w:cs="Arial"/>
              </w:rPr>
            </w:pPr>
            <w:r>
              <w:rPr>
                <w:rFonts w:ascii="Arial" w:hAnsi="Arial" w:eastAsia="Arial" w:cs="Arial"/>
              </w:rPr>
              <w:t>Lanche (Tarde)</w:t>
            </w:r>
          </w:p>
        </w:tc>
        <w:tc>
          <w:tcPr>
            <w:tcW w:w="1426" w:type="dxa"/>
            <w:tcBorders>
              <w:left w:val="single" w:color="000000" w:sz="4" w:space="0"/>
              <w:bottom w:val="single" w:color="000000" w:sz="4" w:space="0"/>
            </w:tcBorders>
            <w:vAlign w:val="center"/>
          </w:tcPr>
          <w:p w14:paraId="31FE2600">
            <w:pPr>
              <w:widowControl w:val="0"/>
              <w:jc w:val="center"/>
              <w:rPr>
                <w:rFonts w:ascii="Arial" w:hAnsi="Arial" w:eastAsia="Arial" w:cs="Arial"/>
              </w:rPr>
            </w:pPr>
            <w:r>
              <w:rPr>
                <w:rFonts w:ascii="Arial" w:hAnsi="Arial" w:eastAsia="Arial" w:cs="Arial"/>
              </w:rPr>
              <w:t>612200</w:t>
            </w:r>
          </w:p>
        </w:tc>
        <w:tc>
          <w:tcPr>
            <w:tcW w:w="850" w:type="dxa"/>
            <w:tcBorders>
              <w:left w:val="single" w:color="000000" w:sz="4" w:space="0"/>
              <w:bottom w:val="single" w:color="000000" w:sz="4" w:space="0"/>
            </w:tcBorders>
            <w:vAlign w:val="center"/>
          </w:tcPr>
          <w:p w14:paraId="7E04A0CB">
            <w:pPr>
              <w:widowControl w:val="0"/>
              <w:jc w:val="center"/>
              <w:rPr>
                <w:rFonts w:ascii="Arial" w:hAnsi="Arial" w:eastAsia="Arial" w:cs="Arial"/>
              </w:rPr>
            </w:pPr>
            <w:r>
              <w:rPr>
                <w:rFonts w:ascii="Arial" w:hAnsi="Arial" w:eastAsia="Arial" w:cs="Arial"/>
              </w:rPr>
              <w:t>R$ 6,03</w:t>
            </w:r>
          </w:p>
        </w:tc>
        <w:tc>
          <w:tcPr>
            <w:tcW w:w="1636" w:type="dxa"/>
            <w:tcBorders>
              <w:left w:val="single" w:color="000000" w:sz="4" w:space="0"/>
              <w:bottom w:val="single" w:color="000000" w:sz="4" w:space="0"/>
              <w:right w:val="single" w:color="000000" w:sz="4" w:space="0"/>
            </w:tcBorders>
            <w:vAlign w:val="center"/>
          </w:tcPr>
          <w:p w14:paraId="129980F0">
            <w:pPr>
              <w:widowControl w:val="0"/>
              <w:jc w:val="center"/>
              <w:rPr>
                <w:rFonts w:ascii="Arial" w:hAnsi="Arial" w:eastAsia="Arial" w:cs="Arial"/>
              </w:rPr>
            </w:pPr>
            <w:r>
              <w:rPr>
                <w:rFonts w:ascii="Arial" w:hAnsi="Arial" w:eastAsia="Arial" w:cs="Arial"/>
              </w:rPr>
              <w:t>R$ 3.691.566,00</w:t>
            </w:r>
          </w:p>
        </w:tc>
      </w:tr>
      <w:tr w14:paraId="650C5A4C">
        <w:tblPrEx>
          <w:tblCellMar>
            <w:top w:w="0" w:type="dxa"/>
            <w:left w:w="108" w:type="dxa"/>
            <w:bottom w:w="0" w:type="dxa"/>
            <w:right w:w="108" w:type="dxa"/>
          </w:tblCellMar>
        </w:tblPrEx>
        <w:trPr>
          <w:trHeight w:val="246" w:hRule="atLeast"/>
        </w:trPr>
        <w:tc>
          <w:tcPr>
            <w:tcW w:w="1064" w:type="dxa"/>
            <w:tcBorders>
              <w:left w:val="single" w:color="000000" w:sz="4" w:space="0"/>
              <w:bottom w:val="single" w:color="000000" w:sz="4" w:space="0"/>
            </w:tcBorders>
            <w:vAlign w:val="center"/>
          </w:tcPr>
          <w:p w14:paraId="239407BE">
            <w:pPr>
              <w:widowControl w:val="0"/>
              <w:jc w:val="center"/>
              <w:rPr>
                <w:rFonts w:ascii="Arial" w:hAnsi="Arial" w:eastAsia="Arial" w:cs="Arial"/>
                <w:b/>
              </w:rPr>
            </w:pPr>
            <w:r>
              <w:rPr>
                <w:rFonts w:ascii="Arial" w:hAnsi="Arial" w:eastAsia="Arial" w:cs="Arial"/>
                <w:b/>
              </w:rPr>
              <w:t>127822</w:t>
            </w:r>
          </w:p>
        </w:tc>
        <w:tc>
          <w:tcPr>
            <w:tcW w:w="3299" w:type="dxa"/>
            <w:tcBorders>
              <w:left w:val="single" w:color="000000" w:sz="4" w:space="0"/>
              <w:bottom w:val="single" w:color="000000" w:sz="4" w:space="0"/>
            </w:tcBorders>
            <w:vAlign w:val="center"/>
          </w:tcPr>
          <w:p w14:paraId="00F9C18B">
            <w:pPr>
              <w:widowControl w:val="0"/>
              <w:jc w:val="center"/>
              <w:rPr>
                <w:rFonts w:ascii="Arial" w:hAnsi="Arial" w:eastAsia="Arial" w:cs="Arial"/>
              </w:rPr>
            </w:pPr>
            <w:r>
              <w:rPr>
                <w:rFonts w:ascii="Arial" w:hAnsi="Arial" w:eastAsia="Arial" w:cs="Arial"/>
              </w:rPr>
              <w:t>Pré-Escola Integral</w:t>
            </w:r>
          </w:p>
        </w:tc>
        <w:tc>
          <w:tcPr>
            <w:tcW w:w="1699" w:type="dxa"/>
            <w:tcBorders>
              <w:left w:val="single" w:color="000000" w:sz="4" w:space="0"/>
              <w:bottom w:val="single" w:color="000000" w:sz="4" w:space="0"/>
            </w:tcBorders>
            <w:vAlign w:val="center"/>
          </w:tcPr>
          <w:p w14:paraId="0882A9D9">
            <w:pPr>
              <w:widowControl w:val="0"/>
              <w:jc w:val="center"/>
              <w:rPr>
                <w:rFonts w:ascii="Arial" w:hAnsi="Arial" w:eastAsia="Arial" w:cs="Arial"/>
              </w:rPr>
            </w:pPr>
            <w:r>
              <w:rPr>
                <w:rFonts w:ascii="Arial" w:hAnsi="Arial" w:eastAsia="Arial" w:cs="Arial"/>
              </w:rPr>
              <w:t>Café da Manhã</w:t>
            </w:r>
          </w:p>
        </w:tc>
        <w:tc>
          <w:tcPr>
            <w:tcW w:w="1426" w:type="dxa"/>
            <w:tcBorders>
              <w:left w:val="single" w:color="000000" w:sz="4" w:space="0"/>
              <w:bottom w:val="single" w:color="000000" w:sz="4" w:space="0"/>
            </w:tcBorders>
            <w:vAlign w:val="center"/>
          </w:tcPr>
          <w:p w14:paraId="17BA8DBA">
            <w:pPr>
              <w:widowControl w:val="0"/>
              <w:jc w:val="center"/>
              <w:rPr>
                <w:rFonts w:ascii="Arial" w:hAnsi="Arial" w:eastAsia="Arial" w:cs="Arial"/>
              </w:rPr>
            </w:pPr>
            <w:r>
              <w:rPr>
                <w:rFonts w:ascii="Arial" w:hAnsi="Arial" w:eastAsia="Arial" w:cs="Arial"/>
              </w:rPr>
              <w:t>115600</w:t>
            </w:r>
          </w:p>
        </w:tc>
        <w:tc>
          <w:tcPr>
            <w:tcW w:w="850" w:type="dxa"/>
            <w:tcBorders>
              <w:left w:val="single" w:color="000000" w:sz="4" w:space="0"/>
              <w:bottom w:val="single" w:color="000000" w:sz="4" w:space="0"/>
            </w:tcBorders>
            <w:vAlign w:val="center"/>
          </w:tcPr>
          <w:p w14:paraId="6ADBD7C5">
            <w:pPr>
              <w:widowControl w:val="0"/>
              <w:jc w:val="center"/>
              <w:rPr>
                <w:rFonts w:ascii="Arial" w:hAnsi="Arial" w:eastAsia="Arial" w:cs="Arial"/>
              </w:rPr>
            </w:pPr>
            <w:r>
              <w:rPr>
                <w:rFonts w:ascii="Arial" w:hAnsi="Arial" w:eastAsia="Arial" w:cs="Arial"/>
              </w:rPr>
              <w:t>R$ 5,18</w:t>
            </w:r>
          </w:p>
        </w:tc>
        <w:tc>
          <w:tcPr>
            <w:tcW w:w="1636" w:type="dxa"/>
            <w:tcBorders>
              <w:left w:val="single" w:color="000000" w:sz="4" w:space="0"/>
              <w:bottom w:val="single" w:color="000000" w:sz="4" w:space="0"/>
              <w:right w:val="single" w:color="000000" w:sz="4" w:space="0"/>
            </w:tcBorders>
            <w:vAlign w:val="center"/>
          </w:tcPr>
          <w:p w14:paraId="0EF195CC">
            <w:pPr>
              <w:widowControl w:val="0"/>
              <w:jc w:val="center"/>
              <w:rPr>
                <w:rFonts w:ascii="Arial" w:hAnsi="Arial" w:eastAsia="Arial" w:cs="Arial"/>
              </w:rPr>
            </w:pPr>
            <w:r>
              <w:rPr>
                <w:rFonts w:ascii="Arial" w:hAnsi="Arial" w:eastAsia="Arial" w:cs="Arial"/>
              </w:rPr>
              <w:t>R$ 598.808,00</w:t>
            </w:r>
          </w:p>
        </w:tc>
      </w:tr>
      <w:tr w14:paraId="20D8845D">
        <w:tblPrEx>
          <w:tblCellMar>
            <w:top w:w="0" w:type="dxa"/>
            <w:left w:w="108" w:type="dxa"/>
            <w:bottom w:w="0" w:type="dxa"/>
            <w:right w:w="108" w:type="dxa"/>
          </w:tblCellMar>
        </w:tblPrEx>
        <w:trPr>
          <w:trHeight w:val="287" w:hRule="atLeast"/>
        </w:trPr>
        <w:tc>
          <w:tcPr>
            <w:tcW w:w="1064" w:type="dxa"/>
            <w:tcBorders>
              <w:left w:val="single" w:color="000000" w:sz="4" w:space="0"/>
              <w:bottom w:val="single" w:color="000000" w:sz="4" w:space="0"/>
            </w:tcBorders>
            <w:vAlign w:val="center"/>
          </w:tcPr>
          <w:p w14:paraId="25F0EF60">
            <w:pPr>
              <w:widowControl w:val="0"/>
              <w:jc w:val="center"/>
              <w:rPr>
                <w:rFonts w:ascii="Arial" w:hAnsi="Arial" w:eastAsia="Arial" w:cs="Arial"/>
                <w:b/>
              </w:rPr>
            </w:pPr>
            <w:r>
              <w:rPr>
                <w:rFonts w:ascii="Arial" w:hAnsi="Arial" w:eastAsia="Arial" w:cs="Arial"/>
                <w:b/>
              </w:rPr>
              <w:t>127823</w:t>
            </w:r>
          </w:p>
        </w:tc>
        <w:tc>
          <w:tcPr>
            <w:tcW w:w="3299" w:type="dxa"/>
            <w:tcBorders>
              <w:left w:val="single" w:color="000000" w:sz="4" w:space="0"/>
              <w:bottom w:val="single" w:color="000000" w:sz="4" w:space="0"/>
            </w:tcBorders>
            <w:vAlign w:val="center"/>
          </w:tcPr>
          <w:p w14:paraId="271C0095">
            <w:pPr>
              <w:widowControl w:val="0"/>
              <w:jc w:val="center"/>
              <w:rPr>
                <w:rFonts w:ascii="Arial" w:hAnsi="Arial" w:eastAsia="Arial" w:cs="Arial"/>
              </w:rPr>
            </w:pPr>
            <w:r>
              <w:rPr>
                <w:rFonts w:ascii="Arial" w:hAnsi="Arial" w:eastAsia="Arial" w:cs="Arial"/>
              </w:rPr>
              <w:t>Pré-Escola Integral</w:t>
            </w:r>
          </w:p>
        </w:tc>
        <w:tc>
          <w:tcPr>
            <w:tcW w:w="1699" w:type="dxa"/>
            <w:tcBorders>
              <w:left w:val="single" w:color="000000" w:sz="4" w:space="0"/>
              <w:bottom w:val="single" w:color="000000" w:sz="4" w:space="0"/>
            </w:tcBorders>
            <w:vAlign w:val="center"/>
          </w:tcPr>
          <w:p w14:paraId="784F0B46">
            <w:pPr>
              <w:widowControl w:val="0"/>
              <w:jc w:val="center"/>
              <w:rPr>
                <w:rFonts w:ascii="Arial" w:hAnsi="Arial" w:eastAsia="Arial" w:cs="Arial"/>
              </w:rPr>
            </w:pPr>
            <w:r>
              <w:rPr>
                <w:rFonts w:ascii="Arial" w:hAnsi="Arial" w:eastAsia="Arial" w:cs="Arial"/>
              </w:rPr>
              <w:t>Almoço</w:t>
            </w:r>
          </w:p>
        </w:tc>
        <w:tc>
          <w:tcPr>
            <w:tcW w:w="1426" w:type="dxa"/>
            <w:tcBorders>
              <w:left w:val="single" w:color="000000" w:sz="4" w:space="0"/>
              <w:bottom w:val="single" w:color="000000" w:sz="4" w:space="0"/>
            </w:tcBorders>
            <w:vAlign w:val="center"/>
          </w:tcPr>
          <w:p w14:paraId="0B7070A6">
            <w:pPr>
              <w:widowControl w:val="0"/>
              <w:jc w:val="center"/>
              <w:rPr>
                <w:rFonts w:ascii="Arial" w:hAnsi="Arial" w:eastAsia="Arial" w:cs="Arial"/>
              </w:rPr>
            </w:pPr>
            <w:r>
              <w:rPr>
                <w:rFonts w:ascii="Arial" w:hAnsi="Arial" w:eastAsia="Arial" w:cs="Arial"/>
              </w:rPr>
              <w:t>115600</w:t>
            </w:r>
          </w:p>
        </w:tc>
        <w:tc>
          <w:tcPr>
            <w:tcW w:w="850" w:type="dxa"/>
            <w:tcBorders>
              <w:left w:val="single" w:color="000000" w:sz="4" w:space="0"/>
              <w:bottom w:val="single" w:color="000000" w:sz="4" w:space="0"/>
            </w:tcBorders>
            <w:vAlign w:val="center"/>
          </w:tcPr>
          <w:p w14:paraId="739E394A">
            <w:pPr>
              <w:widowControl w:val="0"/>
              <w:jc w:val="center"/>
              <w:rPr>
                <w:rFonts w:ascii="Arial" w:hAnsi="Arial" w:eastAsia="Arial" w:cs="Arial"/>
              </w:rPr>
            </w:pPr>
            <w:r>
              <w:rPr>
                <w:rFonts w:ascii="Arial" w:hAnsi="Arial" w:eastAsia="Arial" w:cs="Arial"/>
              </w:rPr>
              <w:t>R$ 5,17</w:t>
            </w:r>
          </w:p>
        </w:tc>
        <w:tc>
          <w:tcPr>
            <w:tcW w:w="1636" w:type="dxa"/>
            <w:tcBorders>
              <w:left w:val="single" w:color="000000" w:sz="4" w:space="0"/>
              <w:bottom w:val="single" w:color="000000" w:sz="4" w:space="0"/>
              <w:right w:val="single" w:color="000000" w:sz="4" w:space="0"/>
            </w:tcBorders>
            <w:vAlign w:val="center"/>
          </w:tcPr>
          <w:p w14:paraId="1808B370">
            <w:pPr>
              <w:widowControl w:val="0"/>
              <w:jc w:val="center"/>
              <w:rPr>
                <w:rFonts w:ascii="Arial" w:hAnsi="Arial" w:eastAsia="Arial" w:cs="Arial"/>
              </w:rPr>
            </w:pPr>
            <w:r>
              <w:rPr>
                <w:rFonts w:ascii="Arial" w:hAnsi="Arial" w:eastAsia="Arial" w:cs="Arial"/>
              </w:rPr>
              <w:t>R$ 597.652,00</w:t>
            </w:r>
          </w:p>
        </w:tc>
      </w:tr>
      <w:tr w14:paraId="5C27B49F">
        <w:tblPrEx>
          <w:tblCellMar>
            <w:top w:w="0" w:type="dxa"/>
            <w:left w:w="108" w:type="dxa"/>
            <w:bottom w:w="0" w:type="dxa"/>
            <w:right w:w="108" w:type="dxa"/>
          </w:tblCellMar>
        </w:tblPrEx>
        <w:trPr>
          <w:trHeight w:val="275" w:hRule="atLeast"/>
        </w:trPr>
        <w:tc>
          <w:tcPr>
            <w:tcW w:w="1064" w:type="dxa"/>
            <w:tcBorders>
              <w:left w:val="single" w:color="000000" w:sz="4" w:space="0"/>
              <w:bottom w:val="single" w:color="000000" w:sz="4" w:space="0"/>
            </w:tcBorders>
            <w:vAlign w:val="center"/>
          </w:tcPr>
          <w:p w14:paraId="2D5AB1DD">
            <w:pPr>
              <w:widowControl w:val="0"/>
              <w:jc w:val="center"/>
              <w:rPr>
                <w:rFonts w:ascii="Arial" w:hAnsi="Arial" w:eastAsia="Arial" w:cs="Arial"/>
                <w:b/>
              </w:rPr>
            </w:pPr>
            <w:r>
              <w:rPr>
                <w:rFonts w:ascii="Arial" w:hAnsi="Arial" w:eastAsia="Arial" w:cs="Arial"/>
                <w:b/>
              </w:rPr>
              <w:t>127824</w:t>
            </w:r>
          </w:p>
        </w:tc>
        <w:tc>
          <w:tcPr>
            <w:tcW w:w="3299" w:type="dxa"/>
            <w:tcBorders>
              <w:left w:val="single" w:color="000000" w:sz="4" w:space="0"/>
              <w:bottom w:val="single" w:color="000000" w:sz="4" w:space="0"/>
            </w:tcBorders>
            <w:vAlign w:val="center"/>
          </w:tcPr>
          <w:p w14:paraId="0B66291B">
            <w:pPr>
              <w:widowControl w:val="0"/>
              <w:jc w:val="center"/>
              <w:rPr>
                <w:rFonts w:ascii="Arial" w:hAnsi="Arial" w:eastAsia="Arial" w:cs="Arial"/>
              </w:rPr>
            </w:pPr>
            <w:r>
              <w:rPr>
                <w:rFonts w:ascii="Arial" w:hAnsi="Arial" w:eastAsia="Arial" w:cs="Arial"/>
              </w:rPr>
              <w:t>Pré-Escola Integral</w:t>
            </w:r>
          </w:p>
        </w:tc>
        <w:tc>
          <w:tcPr>
            <w:tcW w:w="1699" w:type="dxa"/>
            <w:tcBorders>
              <w:left w:val="single" w:color="000000" w:sz="4" w:space="0"/>
              <w:bottom w:val="single" w:color="000000" w:sz="4" w:space="0"/>
            </w:tcBorders>
            <w:vAlign w:val="center"/>
          </w:tcPr>
          <w:p w14:paraId="69439EAA">
            <w:pPr>
              <w:widowControl w:val="0"/>
              <w:jc w:val="center"/>
              <w:rPr>
                <w:rFonts w:ascii="Arial" w:hAnsi="Arial" w:eastAsia="Arial" w:cs="Arial"/>
              </w:rPr>
            </w:pPr>
            <w:r>
              <w:rPr>
                <w:rFonts w:ascii="Arial" w:hAnsi="Arial" w:eastAsia="Arial" w:cs="Arial"/>
              </w:rPr>
              <w:t>Lanche</w:t>
            </w:r>
          </w:p>
        </w:tc>
        <w:tc>
          <w:tcPr>
            <w:tcW w:w="1426" w:type="dxa"/>
            <w:tcBorders>
              <w:left w:val="single" w:color="000000" w:sz="4" w:space="0"/>
              <w:bottom w:val="single" w:color="000000" w:sz="4" w:space="0"/>
            </w:tcBorders>
            <w:vAlign w:val="center"/>
          </w:tcPr>
          <w:p w14:paraId="622ABFE4">
            <w:pPr>
              <w:widowControl w:val="0"/>
              <w:jc w:val="center"/>
              <w:rPr>
                <w:rFonts w:ascii="Arial" w:hAnsi="Arial" w:eastAsia="Arial" w:cs="Arial"/>
              </w:rPr>
            </w:pPr>
            <w:r>
              <w:rPr>
                <w:rFonts w:ascii="Arial" w:hAnsi="Arial" w:eastAsia="Arial" w:cs="Arial"/>
              </w:rPr>
              <w:t>115600</w:t>
            </w:r>
          </w:p>
        </w:tc>
        <w:tc>
          <w:tcPr>
            <w:tcW w:w="850" w:type="dxa"/>
            <w:tcBorders>
              <w:left w:val="single" w:color="000000" w:sz="4" w:space="0"/>
              <w:bottom w:val="single" w:color="000000" w:sz="4" w:space="0"/>
            </w:tcBorders>
            <w:vAlign w:val="center"/>
          </w:tcPr>
          <w:p w14:paraId="1D106965">
            <w:pPr>
              <w:widowControl w:val="0"/>
              <w:jc w:val="center"/>
              <w:rPr>
                <w:rFonts w:ascii="Arial" w:hAnsi="Arial" w:eastAsia="Arial" w:cs="Arial"/>
              </w:rPr>
            </w:pPr>
            <w:r>
              <w:rPr>
                <w:rFonts w:ascii="Arial" w:hAnsi="Arial" w:eastAsia="Arial" w:cs="Arial"/>
              </w:rPr>
              <w:t>R$ 5,18</w:t>
            </w:r>
          </w:p>
        </w:tc>
        <w:tc>
          <w:tcPr>
            <w:tcW w:w="1636" w:type="dxa"/>
            <w:tcBorders>
              <w:left w:val="single" w:color="000000" w:sz="4" w:space="0"/>
              <w:bottom w:val="single" w:color="000000" w:sz="4" w:space="0"/>
              <w:right w:val="single" w:color="000000" w:sz="4" w:space="0"/>
            </w:tcBorders>
            <w:vAlign w:val="center"/>
          </w:tcPr>
          <w:p w14:paraId="19A7F9D2">
            <w:pPr>
              <w:widowControl w:val="0"/>
              <w:jc w:val="center"/>
              <w:rPr>
                <w:rFonts w:ascii="Arial" w:hAnsi="Arial" w:eastAsia="Arial" w:cs="Arial"/>
              </w:rPr>
            </w:pPr>
            <w:r>
              <w:rPr>
                <w:rFonts w:ascii="Arial" w:hAnsi="Arial" w:eastAsia="Arial" w:cs="Arial"/>
              </w:rPr>
              <w:t>R$ 598.808,00</w:t>
            </w:r>
          </w:p>
        </w:tc>
      </w:tr>
      <w:tr w14:paraId="2A4888D9">
        <w:tblPrEx>
          <w:tblCellMar>
            <w:top w:w="0" w:type="dxa"/>
            <w:left w:w="108" w:type="dxa"/>
            <w:bottom w:w="0" w:type="dxa"/>
            <w:right w:w="108" w:type="dxa"/>
          </w:tblCellMar>
        </w:tblPrEx>
        <w:trPr>
          <w:trHeight w:val="350" w:hRule="atLeast"/>
        </w:trPr>
        <w:tc>
          <w:tcPr>
            <w:tcW w:w="1064" w:type="dxa"/>
            <w:tcBorders>
              <w:left w:val="single" w:color="000000" w:sz="4" w:space="0"/>
              <w:bottom w:val="single" w:color="000000" w:sz="4" w:space="0"/>
            </w:tcBorders>
            <w:vAlign w:val="center"/>
          </w:tcPr>
          <w:p w14:paraId="7A490E9A">
            <w:pPr>
              <w:widowControl w:val="0"/>
              <w:jc w:val="center"/>
              <w:rPr>
                <w:rFonts w:ascii="Arial" w:hAnsi="Arial" w:eastAsia="Arial" w:cs="Arial"/>
                <w:b/>
              </w:rPr>
            </w:pPr>
            <w:r>
              <w:rPr>
                <w:rFonts w:ascii="Arial" w:hAnsi="Arial" w:eastAsia="Arial" w:cs="Arial"/>
                <w:b/>
              </w:rPr>
              <w:t>127825</w:t>
            </w:r>
          </w:p>
        </w:tc>
        <w:tc>
          <w:tcPr>
            <w:tcW w:w="3299" w:type="dxa"/>
            <w:tcBorders>
              <w:left w:val="single" w:color="000000" w:sz="4" w:space="0"/>
              <w:bottom w:val="single" w:color="000000" w:sz="4" w:space="0"/>
            </w:tcBorders>
            <w:vAlign w:val="center"/>
          </w:tcPr>
          <w:p w14:paraId="5FC217CA">
            <w:pPr>
              <w:widowControl w:val="0"/>
              <w:jc w:val="center"/>
              <w:rPr>
                <w:rFonts w:ascii="Arial" w:hAnsi="Arial" w:eastAsia="Arial" w:cs="Arial"/>
              </w:rPr>
            </w:pPr>
            <w:r>
              <w:rPr>
                <w:rFonts w:ascii="Arial" w:hAnsi="Arial" w:eastAsia="Arial" w:cs="Arial"/>
              </w:rPr>
              <w:t>Pré-Escola Integral</w:t>
            </w:r>
          </w:p>
        </w:tc>
        <w:tc>
          <w:tcPr>
            <w:tcW w:w="1699" w:type="dxa"/>
            <w:tcBorders>
              <w:left w:val="single" w:color="000000" w:sz="4" w:space="0"/>
              <w:bottom w:val="single" w:color="000000" w:sz="4" w:space="0"/>
            </w:tcBorders>
            <w:vAlign w:val="center"/>
          </w:tcPr>
          <w:p w14:paraId="34178550">
            <w:pPr>
              <w:widowControl w:val="0"/>
              <w:jc w:val="center"/>
              <w:rPr>
                <w:rFonts w:ascii="Arial" w:hAnsi="Arial" w:eastAsia="Arial" w:cs="Arial"/>
              </w:rPr>
            </w:pPr>
            <w:r>
              <w:rPr>
                <w:rFonts w:ascii="Arial" w:hAnsi="Arial" w:eastAsia="Arial" w:cs="Arial"/>
              </w:rPr>
              <w:t>Jantar</w:t>
            </w:r>
          </w:p>
        </w:tc>
        <w:tc>
          <w:tcPr>
            <w:tcW w:w="1426" w:type="dxa"/>
            <w:tcBorders>
              <w:left w:val="single" w:color="000000" w:sz="4" w:space="0"/>
              <w:bottom w:val="single" w:color="000000" w:sz="4" w:space="0"/>
            </w:tcBorders>
            <w:vAlign w:val="center"/>
          </w:tcPr>
          <w:p w14:paraId="05621B3E">
            <w:pPr>
              <w:widowControl w:val="0"/>
              <w:jc w:val="center"/>
              <w:rPr>
                <w:rFonts w:ascii="Arial" w:hAnsi="Arial" w:eastAsia="Arial" w:cs="Arial"/>
              </w:rPr>
            </w:pPr>
            <w:r>
              <w:rPr>
                <w:rFonts w:ascii="Arial" w:hAnsi="Arial" w:eastAsia="Arial" w:cs="Arial"/>
              </w:rPr>
              <w:t>115600</w:t>
            </w:r>
          </w:p>
        </w:tc>
        <w:tc>
          <w:tcPr>
            <w:tcW w:w="850" w:type="dxa"/>
            <w:tcBorders>
              <w:left w:val="single" w:color="000000" w:sz="4" w:space="0"/>
              <w:bottom w:val="single" w:color="000000" w:sz="4" w:space="0"/>
            </w:tcBorders>
            <w:vAlign w:val="center"/>
          </w:tcPr>
          <w:p w14:paraId="1FBBD073">
            <w:pPr>
              <w:widowControl w:val="0"/>
              <w:jc w:val="center"/>
              <w:rPr>
                <w:rFonts w:ascii="Arial" w:hAnsi="Arial" w:eastAsia="Arial" w:cs="Arial"/>
              </w:rPr>
            </w:pPr>
            <w:r>
              <w:rPr>
                <w:rFonts w:ascii="Arial" w:hAnsi="Arial" w:eastAsia="Arial" w:cs="Arial"/>
              </w:rPr>
              <w:t>R$ 5,17</w:t>
            </w:r>
          </w:p>
        </w:tc>
        <w:tc>
          <w:tcPr>
            <w:tcW w:w="1636" w:type="dxa"/>
            <w:tcBorders>
              <w:left w:val="single" w:color="000000" w:sz="4" w:space="0"/>
              <w:bottom w:val="single" w:color="000000" w:sz="4" w:space="0"/>
              <w:right w:val="single" w:color="000000" w:sz="4" w:space="0"/>
            </w:tcBorders>
            <w:vAlign w:val="center"/>
          </w:tcPr>
          <w:p w14:paraId="033884BA">
            <w:pPr>
              <w:widowControl w:val="0"/>
              <w:jc w:val="center"/>
              <w:rPr>
                <w:rFonts w:ascii="Arial" w:hAnsi="Arial" w:eastAsia="Arial" w:cs="Arial"/>
              </w:rPr>
            </w:pPr>
            <w:r>
              <w:rPr>
                <w:rFonts w:ascii="Arial" w:hAnsi="Arial" w:eastAsia="Arial" w:cs="Arial"/>
              </w:rPr>
              <w:t>R$ 597.652,00</w:t>
            </w:r>
          </w:p>
        </w:tc>
      </w:tr>
      <w:tr w14:paraId="01AA67D3">
        <w:tblPrEx>
          <w:tblCellMar>
            <w:top w:w="0" w:type="dxa"/>
            <w:left w:w="108" w:type="dxa"/>
            <w:bottom w:w="0" w:type="dxa"/>
            <w:right w:w="108" w:type="dxa"/>
          </w:tblCellMar>
        </w:tblPrEx>
        <w:trPr>
          <w:trHeight w:val="255" w:hRule="atLeast"/>
        </w:trPr>
        <w:tc>
          <w:tcPr>
            <w:tcW w:w="1064" w:type="dxa"/>
            <w:tcBorders>
              <w:left w:val="single" w:color="000000" w:sz="4" w:space="0"/>
              <w:bottom w:val="single" w:color="000000" w:sz="4" w:space="0"/>
            </w:tcBorders>
            <w:vAlign w:val="center"/>
          </w:tcPr>
          <w:p w14:paraId="3BB6A5EE">
            <w:pPr>
              <w:widowControl w:val="0"/>
              <w:jc w:val="center"/>
              <w:rPr>
                <w:rFonts w:ascii="Arial" w:hAnsi="Arial" w:eastAsia="Arial" w:cs="Arial"/>
                <w:b/>
              </w:rPr>
            </w:pPr>
            <w:r>
              <w:rPr>
                <w:rFonts w:ascii="Arial" w:hAnsi="Arial" w:eastAsia="Arial" w:cs="Arial"/>
                <w:b/>
              </w:rPr>
              <w:t>127828</w:t>
            </w:r>
          </w:p>
        </w:tc>
        <w:tc>
          <w:tcPr>
            <w:tcW w:w="3299" w:type="dxa"/>
            <w:tcBorders>
              <w:left w:val="single" w:color="000000" w:sz="4" w:space="0"/>
              <w:bottom w:val="single" w:color="000000" w:sz="4" w:space="0"/>
            </w:tcBorders>
            <w:vAlign w:val="center"/>
          </w:tcPr>
          <w:p w14:paraId="690875AC">
            <w:pPr>
              <w:widowControl w:val="0"/>
              <w:jc w:val="center"/>
              <w:rPr>
                <w:rFonts w:ascii="Arial" w:hAnsi="Arial" w:eastAsia="Arial" w:cs="Arial"/>
              </w:rPr>
            </w:pPr>
            <w:r>
              <w:rPr>
                <w:rFonts w:ascii="Arial" w:hAnsi="Arial" w:eastAsia="Arial" w:cs="Arial"/>
              </w:rPr>
              <w:t>Ensino Fund. Parcial (matutino)</w:t>
            </w:r>
          </w:p>
        </w:tc>
        <w:tc>
          <w:tcPr>
            <w:tcW w:w="1699" w:type="dxa"/>
            <w:tcBorders>
              <w:left w:val="single" w:color="000000" w:sz="4" w:space="0"/>
              <w:bottom w:val="single" w:color="000000" w:sz="4" w:space="0"/>
            </w:tcBorders>
            <w:vAlign w:val="center"/>
          </w:tcPr>
          <w:p w14:paraId="04973C00">
            <w:pPr>
              <w:widowControl w:val="0"/>
              <w:jc w:val="center"/>
              <w:rPr>
                <w:rFonts w:ascii="Arial" w:hAnsi="Arial" w:eastAsia="Arial" w:cs="Arial"/>
              </w:rPr>
            </w:pPr>
            <w:r>
              <w:rPr>
                <w:rFonts w:ascii="Arial" w:hAnsi="Arial" w:eastAsia="Arial" w:cs="Arial"/>
              </w:rPr>
              <w:t>Merenda Escolar</w:t>
            </w:r>
          </w:p>
        </w:tc>
        <w:tc>
          <w:tcPr>
            <w:tcW w:w="1426" w:type="dxa"/>
            <w:tcBorders>
              <w:left w:val="single" w:color="000000" w:sz="4" w:space="0"/>
              <w:bottom w:val="single" w:color="000000" w:sz="4" w:space="0"/>
            </w:tcBorders>
            <w:vAlign w:val="center"/>
          </w:tcPr>
          <w:p w14:paraId="38E590C9">
            <w:pPr>
              <w:widowControl w:val="0"/>
              <w:jc w:val="center"/>
              <w:rPr>
                <w:rFonts w:ascii="Arial" w:hAnsi="Arial" w:eastAsia="Arial" w:cs="Arial"/>
              </w:rPr>
            </w:pPr>
            <w:r>
              <w:rPr>
                <w:rFonts w:ascii="Arial" w:hAnsi="Arial" w:eastAsia="Arial" w:cs="Arial"/>
              </w:rPr>
              <w:t>1958800</w:t>
            </w:r>
          </w:p>
        </w:tc>
        <w:tc>
          <w:tcPr>
            <w:tcW w:w="850" w:type="dxa"/>
            <w:tcBorders>
              <w:left w:val="single" w:color="000000" w:sz="4" w:space="0"/>
              <w:bottom w:val="single" w:color="000000" w:sz="4" w:space="0"/>
            </w:tcBorders>
            <w:vAlign w:val="center"/>
          </w:tcPr>
          <w:p w14:paraId="59F03F1E">
            <w:pPr>
              <w:widowControl w:val="0"/>
              <w:jc w:val="center"/>
              <w:rPr>
                <w:rFonts w:ascii="Arial" w:hAnsi="Arial" w:eastAsia="Arial" w:cs="Arial"/>
              </w:rPr>
            </w:pPr>
            <w:r>
              <w:rPr>
                <w:rFonts w:ascii="Arial" w:hAnsi="Arial" w:eastAsia="Arial" w:cs="Arial"/>
              </w:rPr>
              <w:t>R$ 6,70</w:t>
            </w:r>
          </w:p>
        </w:tc>
        <w:tc>
          <w:tcPr>
            <w:tcW w:w="1636" w:type="dxa"/>
            <w:tcBorders>
              <w:left w:val="single" w:color="000000" w:sz="4" w:space="0"/>
              <w:bottom w:val="single" w:color="000000" w:sz="4" w:space="0"/>
              <w:right w:val="single" w:color="000000" w:sz="4" w:space="0"/>
            </w:tcBorders>
            <w:vAlign w:val="center"/>
          </w:tcPr>
          <w:p w14:paraId="70B24267">
            <w:pPr>
              <w:widowControl w:val="0"/>
              <w:jc w:val="center"/>
              <w:rPr>
                <w:rFonts w:ascii="Arial" w:hAnsi="Arial" w:eastAsia="Arial" w:cs="Arial"/>
              </w:rPr>
            </w:pPr>
            <w:r>
              <w:rPr>
                <w:rFonts w:ascii="Arial" w:hAnsi="Arial" w:eastAsia="Arial" w:cs="Arial"/>
              </w:rPr>
              <w:t>R$ 13.123.960,00</w:t>
            </w:r>
          </w:p>
        </w:tc>
      </w:tr>
      <w:tr w14:paraId="579BF3A1">
        <w:tblPrEx>
          <w:tblCellMar>
            <w:top w:w="0" w:type="dxa"/>
            <w:left w:w="108" w:type="dxa"/>
            <w:bottom w:w="0" w:type="dxa"/>
            <w:right w:w="108" w:type="dxa"/>
          </w:tblCellMar>
        </w:tblPrEx>
        <w:trPr>
          <w:trHeight w:val="287" w:hRule="atLeast"/>
        </w:trPr>
        <w:tc>
          <w:tcPr>
            <w:tcW w:w="1064" w:type="dxa"/>
            <w:tcBorders>
              <w:left w:val="single" w:color="000000" w:sz="4" w:space="0"/>
              <w:bottom w:val="single" w:color="000000" w:sz="4" w:space="0"/>
            </w:tcBorders>
            <w:vAlign w:val="center"/>
          </w:tcPr>
          <w:p w14:paraId="015DCD9E">
            <w:pPr>
              <w:widowControl w:val="0"/>
              <w:jc w:val="center"/>
              <w:rPr>
                <w:rFonts w:ascii="Arial" w:hAnsi="Arial" w:eastAsia="Arial" w:cs="Arial"/>
                <w:b/>
              </w:rPr>
            </w:pPr>
            <w:r>
              <w:rPr>
                <w:rFonts w:ascii="Arial" w:hAnsi="Arial" w:eastAsia="Arial" w:cs="Arial"/>
                <w:b/>
              </w:rPr>
              <w:t>127829</w:t>
            </w:r>
          </w:p>
        </w:tc>
        <w:tc>
          <w:tcPr>
            <w:tcW w:w="3299" w:type="dxa"/>
            <w:tcBorders>
              <w:left w:val="single" w:color="000000" w:sz="4" w:space="0"/>
              <w:bottom w:val="single" w:color="000000" w:sz="4" w:space="0"/>
            </w:tcBorders>
            <w:vAlign w:val="center"/>
          </w:tcPr>
          <w:p w14:paraId="06A5D037">
            <w:pPr>
              <w:widowControl w:val="0"/>
              <w:jc w:val="center"/>
              <w:rPr>
                <w:rFonts w:ascii="Arial" w:hAnsi="Arial" w:eastAsia="Arial" w:cs="Arial"/>
              </w:rPr>
            </w:pPr>
            <w:r>
              <w:rPr>
                <w:rFonts w:ascii="Arial" w:hAnsi="Arial" w:eastAsia="Arial" w:cs="Arial"/>
              </w:rPr>
              <w:t>Ensino Fund. Parcial (vespertino)</w:t>
            </w:r>
          </w:p>
        </w:tc>
        <w:tc>
          <w:tcPr>
            <w:tcW w:w="1699" w:type="dxa"/>
            <w:tcBorders>
              <w:left w:val="single" w:color="000000" w:sz="4" w:space="0"/>
              <w:bottom w:val="single" w:color="000000" w:sz="4" w:space="0"/>
            </w:tcBorders>
            <w:vAlign w:val="center"/>
          </w:tcPr>
          <w:p w14:paraId="22317FBB">
            <w:pPr>
              <w:widowControl w:val="0"/>
              <w:jc w:val="center"/>
              <w:rPr>
                <w:rFonts w:ascii="Arial" w:hAnsi="Arial" w:eastAsia="Arial" w:cs="Arial"/>
              </w:rPr>
            </w:pPr>
            <w:r>
              <w:rPr>
                <w:rFonts w:ascii="Arial" w:hAnsi="Arial" w:eastAsia="Arial" w:cs="Arial"/>
              </w:rPr>
              <w:t>Merenda Escolar</w:t>
            </w:r>
          </w:p>
        </w:tc>
        <w:tc>
          <w:tcPr>
            <w:tcW w:w="1426" w:type="dxa"/>
            <w:tcBorders>
              <w:left w:val="single" w:color="000000" w:sz="4" w:space="0"/>
              <w:bottom w:val="single" w:color="000000" w:sz="4" w:space="0"/>
            </w:tcBorders>
            <w:vAlign w:val="center"/>
          </w:tcPr>
          <w:p w14:paraId="5FFDE0A9">
            <w:pPr>
              <w:widowControl w:val="0"/>
              <w:jc w:val="center"/>
              <w:rPr>
                <w:rFonts w:ascii="Arial" w:hAnsi="Arial" w:eastAsia="Arial" w:cs="Arial"/>
              </w:rPr>
            </w:pPr>
            <w:r>
              <w:rPr>
                <w:rFonts w:ascii="Arial" w:hAnsi="Arial" w:eastAsia="Arial" w:cs="Arial"/>
              </w:rPr>
              <w:t>1970200</w:t>
            </w:r>
          </w:p>
        </w:tc>
        <w:tc>
          <w:tcPr>
            <w:tcW w:w="850" w:type="dxa"/>
            <w:tcBorders>
              <w:left w:val="single" w:color="000000" w:sz="4" w:space="0"/>
              <w:bottom w:val="single" w:color="000000" w:sz="4" w:space="0"/>
            </w:tcBorders>
            <w:vAlign w:val="center"/>
          </w:tcPr>
          <w:p w14:paraId="29A09A7F">
            <w:pPr>
              <w:widowControl w:val="0"/>
              <w:jc w:val="center"/>
              <w:rPr>
                <w:rFonts w:ascii="Arial" w:hAnsi="Arial" w:eastAsia="Arial" w:cs="Arial"/>
              </w:rPr>
            </w:pPr>
            <w:r>
              <w:rPr>
                <w:rFonts w:ascii="Arial" w:hAnsi="Arial" w:eastAsia="Arial" w:cs="Arial"/>
              </w:rPr>
              <w:t>R$ 6,70</w:t>
            </w:r>
          </w:p>
        </w:tc>
        <w:tc>
          <w:tcPr>
            <w:tcW w:w="1636" w:type="dxa"/>
            <w:tcBorders>
              <w:left w:val="single" w:color="000000" w:sz="4" w:space="0"/>
              <w:bottom w:val="single" w:color="000000" w:sz="4" w:space="0"/>
              <w:right w:val="single" w:color="000000" w:sz="4" w:space="0"/>
            </w:tcBorders>
            <w:vAlign w:val="center"/>
          </w:tcPr>
          <w:p w14:paraId="1153D195">
            <w:pPr>
              <w:widowControl w:val="0"/>
              <w:jc w:val="center"/>
              <w:rPr>
                <w:rFonts w:ascii="Arial" w:hAnsi="Arial" w:eastAsia="Arial" w:cs="Arial"/>
              </w:rPr>
            </w:pPr>
            <w:r>
              <w:rPr>
                <w:rFonts w:ascii="Arial" w:hAnsi="Arial" w:eastAsia="Arial" w:cs="Arial"/>
              </w:rPr>
              <w:t>R$ 13.200.340,00</w:t>
            </w:r>
          </w:p>
        </w:tc>
      </w:tr>
      <w:tr w14:paraId="7AEE2B10">
        <w:tblPrEx>
          <w:tblCellMar>
            <w:top w:w="0" w:type="dxa"/>
            <w:left w:w="108" w:type="dxa"/>
            <w:bottom w:w="0" w:type="dxa"/>
            <w:right w:w="108" w:type="dxa"/>
          </w:tblCellMar>
        </w:tblPrEx>
        <w:trPr>
          <w:trHeight w:val="288" w:hRule="atLeast"/>
        </w:trPr>
        <w:tc>
          <w:tcPr>
            <w:tcW w:w="1064" w:type="dxa"/>
            <w:tcBorders>
              <w:left w:val="single" w:color="000000" w:sz="4" w:space="0"/>
              <w:bottom w:val="single" w:color="000000" w:sz="4" w:space="0"/>
            </w:tcBorders>
            <w:vAlign w:val="center"/>
          </w:tcPr>
          <w:p w14:paraId="14DE51AA">
            <w:pPr>
              <w:widowControl w:val="0"/>
              <w:jc w:val="center"/>
              <w:rPr>
                <w:rFonts w:ascii="Arial" w:hAnsi="Arial" w:eastAsia="Arial" w:cs="Arial"/>
                <w:b/>
              </w:rPr>
            </w:pPr>
            <w:r>
              <w:rPr>
                <w:rFonts w:ascii="Arial" w:hAnsi="Arial" w:eastAsia="Arial" w:cs="Arial"/>
                <w:b/>
              </w:rPr>
              <w:t>127830</w:t>
            </w:r>
          </w:p>
        </w:tc>
        <w:tc>
          <w:tcPr>
            <w:tcW w:w="3299" w:type="dxa"/>
            <w:tcBorders>
              <w:left w:val="single" w:color="000000" w:sz="4" w:space="0"/>
              <w:bottom w:val="single" w:color="000000" w:sz="4" w:space="0"/>
            </w:tcBorders>
            <w:vAlign w:val="center"/>
          </w:tcPr>
          <w:p w14:paraId="2FEFA8FF">
            <w:pPr>
              <w:widowControl w:val="0"/>
              <w:jc w:val="center"/>
              <w:rPr>
                <w:rFonts w:ascii="Arial" w:hAnsi="Arial" w:eastAsia="Arial" w:cs="Arial"/>
              </w:rPr>
            </w:pPr>
            <w:r>
              <w:rPr>
                <w:rFonts w:ascii="Arial" w:hAnsi="Arial" w:eastAsia="Arial" w:cs="Arial"/>
              </w:rPr>
              <w:t>Ensino Fundamental Integral</w:t>
            </w:r>
          </w:p>
        </w:tc>
        <w:tc>
          <w:tcPr>
            <w:tcW w:w="1699" w:type="dxa"/>
            <w:tcBorders>
              <w:left w:val="single" w:color="000000" w:sz="4" w:space="0"/>
              <w:bottom w:val="single" w:color="000000" w:sz="4" w:space="0"/>
            </w:tcBorders>
            <w:vAlign w:val="center"/>
          </w:tcPr>
          <w:p w14:paraId="183307FF">
            <w:pPr>
              <w:widowControl w:val="0"/>
              <w:jc w:val="center"/>
              <w:rPr>
                <w:rFonts w:ascii="Arial" w:hAnsi="Arial" w:eastAsia="Arial" w:cs="Arial"/>
              </w:rPr>
            </w:pPr>
            <w:r>
              <w:rPr>
                <w:rFonts w:ascii="Arial" w:hAnsi="Arial" w:eastAsia="Arial" w:cs="Arial"/>
              </w:rPr>
              <w:t>Café da Manhã</w:t>
            </w:r>
          </w:p>
        </w:tc>
        <w:tc>
          <w:tcPr>
            <w:tcW w:w="1426" w:type="dxa"/>
            <w:tcBorders>
              <w:left w:val="single" w:color="000000" w:sz="4" w:space="0"/>
              <w:bottom w:val="single" w:color="000000" w:sz="4" w:space="0"/>
            </w:tcBorders>
            <w:vAlign w:val="center"/>
          </w:tcPr>
          <w:p w14:paraId="78C66E71">
            <w:pPr>
              <w:widowControl w:val="0"/>
              <w:jc w:val="center"/>
              <w:rPr>
                <w:rFonts w:ascii="Arial" w:hAnsi="Arial" w:eastAsia="Arial" w:cs="Arial"/>
              </w:rPr>
            </w:pPr>
            <w:r>
              <w:rPr>
                <w:rFonts w:ascii="Arial" w:hAnsi="Arial" w:eastAsia="Arial" w:cs="Arial"/>
              </w:rPr>
              <w:t>51000</w:t>
            </w:r>
          </w:p>
        </w:tc>
        <w:tc>
          <w:tcPr>
            <w:tcW w:w="850" w:type="dxa"/>
            <w:tcBorders>
              <w:left w:val="single" w:color="000000" w:sz="4" w:space="0"/>
              <w:bottom w:val="single" w:color="000000" w:sz="4" w:space="0"/>
            </w:tcBorders>
            <w:vAlign w:val="center"/>
          </w:tcPr>
          <w:p w14:paraId="6F87D6B7">
            <w:pPr>
              <w:widowControl w:val="0"/>
              <w:jc w:val="center"/>
              <w:rPr>
                <w:rFonts w:ascii="Arial" w:hAnsi="Arial" w:eastAsia="Arial" w:cs="Arial"/>
              </w:rPr>
            </w:pPr>
            <w:r>
              <w:rPr>
                <w:rFonts w:ascii="Arial" w:hAnsi="Arial" w:eastAsia="Arial" w:cs="Arial"/>
              </w:rPr>
              <w:t>R$ 6,02</w:t>
            </w:r>
          </w:p>
        </w:tc>
        <w:tc>
          <w:tcPr>
            <w:tcW w:w="1636" w:type="dxa"/>
            <w:tcBorders>
              <w:left w:val="single" w:color="000000" w:sz="4" w:space="0"/>
              <w:bottom w:val="single" w:color="000000" w:sz="4" w:space="0"/>
              <w:right w:val="single" w:color="000000" w:sz="4" w:space="0"/>
            </w:tcBorders>
            <w:vAlign w:val="center"/>
          </w:tcPr>
          <w:p w14:paraId="49451973">
            <w:pPr>
              <w:widowControl w:val="0"/>
              <w:jc w:val="center"/>
              <w:rPr>
                <w:rFonts w:ascii="Arial" w:hAnsi="Arial" w:eastAsia="Arial" w:cs="Arial"/>
              </w:rPr>
            </w:pPr>
            <w:r>
              <w:rPr>
                <w:rFonts w:ascii="Arial" w:hAnsi="Arial" w:eastAsia="Arial" w:cs="Arial"/>
              </w:rPr>
              <w:t>R$ 307.020,00</w:t>
            </w:r>
          </w:p>
        </w:tc>
      </w:tr>
      <w:tr w14:paraId="4DFE7BE8">
        <w:tblPrEx>
          <w:tblCellMar>
            <w:top w:w="0" w:type="dxa"/>
            <w:left w:w="108" w:type="dxa"/>
            <w:bottom w:w="0" w:type="dxa"/>
            <w:right w:w="108" w:type="dxa"/>
          </w:tblCellMar>
        </w:tblPrEx>
        <w:trPr>
          <w:trHeight w:val="338" w:hRule="atLeast"/>
        </w:trPr>
        <w:tc>
          <w:tcPr>
            <w:tcW w:w="1064" w:type="dxa"/>
            <w:tcBorders>
              <w:left w:val="single" w:color="000000" w:sz="4" w:space="0"/>
              <w:bottom w:val="single" w:color="000000" w:sz="4" w:space="0"/>
            </w:tcBorders>
            <w:vAlign w:val="center"/>
          </w:tcPr>
          <w:p w14:paraId="1DF7004C">
            <w:pPr>
              <w:widowControl w:val="0"/>
              <w:jc w:val="center"/>
              <w:rPr>
                <w:rFonts w:ascii="Arial" w:hAnsi="Arial" w:eastAsia="Arial" w:cs="Arial"/>
                <w:b/>
              </w:rPr>
            </w:pPr>
            <w:r>
              <w:rPr>
                <w:rFonts w:ascii="Arial" w:hAnsi="Arial" w:eastAsia="Arial" w:cs="Arial"/>
                <w:b/>
              </w:rPr>
              <w:t>127831</w:t>
            </w:r>
          </w:p>
        </w:tc>
        <w:tc>
          <w:tcPr>
            <w:tcW w:w="3299" w:type="dxa"/>
            <w:tcBorders>
              <w:left w:val="single" w:color="000000" w:sz="4" w:space="0"/>
              <w:bottom w:val="single" w:color="000000" w:sz="4" w:space="0"/>
            </w:tcBorders>
            <w:vAlign w:val="center"/>
          </w:tcPr>
          <w:p w14:paraId="27D32446">
            <w:pPr>
              <w:widowControl w:val="0"/>
              <w:jc w:val="center"/>
              <w:rPr>
                <w:rFonts w:ascii="Arial" w:hAnsi="Arial" w:eastAsia="Arial" w:cs="Arial"/>
              </w:rPr>
            </w:pPr>
            <w:r>
              <w:rPr>
                <w:rFonts w:ascii="Arial" w:hAnsi="Arial" w:eastAsia="Arial" w:cs="Arial"/>
              </w:rPr>
              <w:t>Ensino Fundamental Integral</w:t>
            </w:r>
          </w:p>
        </w:tc>
        <w:tc>
          <w:tcPr>
            <w:tcW w:w="1699" w:type="dxa"/>
            <w:tcBorders>
              <w:left w:val="single" w:color="000000" w:sz="4" w:space="0"/>
              <w:bottom w:val="single" w:color="000000" w:sz="4" w:space="0"/>
            </w:tcBorders>
            <w:vAlign w:val="center"/>
          </w:tcPr>
          <w:p w14:paraId="6A2361E7">
            <w:pPr>
              <w:widowControl w:val="0"/>
              <w:jc w:val="center"/>
              <w:rPr>
                <w:rFonts w:ascii="Arial" w:hAnsi="Arial" w:eastAsia="Arial" w:cs="Arial"/>
              </w:rPr>
            </w:pPr>
            <w:r>
              <w:rPr>
                <w:rFonts w:ascii="Arial" w:hAnsi="Arial" w:eastAsia="Arial" w:cs="Arial"/>
              </w:rPr>
              <w:t>Almoço</w:t>
            </w:r>
          </w:p>
        </w:tc>
        <w:tc>
          <w:tcPr>
            <w:tcW w:w="1426" w:type="dxa"/>
            <w:tcBorders>
              <w:left w:val="single" w:color="000000" w:sz="4" w:space="0"/>
              <w:bottom w:val="single" w:color="000000" w:sz="4" w:space="0"/>
            </w:tcBorders>
            <w:vAlign w:val="center"/>
          </w:tcPr>
          <w:p w14:paraId="6A6FB7E7">
            <w:pPr>
              <w:widowControl w:val="0"/>
              <w:jc w:val="center"/>
              <w:rPr>
                <w:rFonts w:ascii="Arial" w:hAnsi="Arial" w:eastAsia="Arial" w:cs="Arial"/>
              </w:rPr>
            </w:pPr>
            <w:r>
              <w:rPr>
                <w:rFonts w:ascii="Arial" w:hAnsi="Arial" w:eastAsia="Arial" w:cs="Arial"/>
              </w:rPr>
              <w:t>51000</w:t>
            </w:r>
          </w:p>
        </w:tc>
        <w:tc>
          <w:tcPr>
            <w:tcW w:w="850" w:type="dxa"/>
            <w:tcBorders>
              <w:left w:val="single" w:color="000000" w:sz="4" w:space="0"/>
              <w:bottom w:val="single" w:color="000000" w:sz="4" w:space="0"/>
            </w:tcBorders>
            <w:vAlign w:val="center"/>
          </w:tcPr>
          <w:p w14:paraId="5AEF02B7">
            <w:pPr>
              <w:widowControl w:val="0"/>
              <w:jc w:val="center"/>
              <w:rPr>
                <w:rFonts w:ascii="Arial" w:hAnsi="Arial" w:eastAsia="Arial" w:cs="Arial"/>
              </w:rPr>
            </w:pPr>
            <w:r>
              <w:rPr>
                <w:rFonts w:ascii="Arial" w:hAnsi="Arial" w:eastAsia="Arial" w:cs="Arial"/>
              </w:rPr>
              <w:t>R$ 5,98</w:t>
            </w:r>
          </w:p>
        </w:tc>
        <w:tc>
          <w:tcPr>
            <w:tcW w:w="1636" w:type="dxa"/>
            <w:tcBorders>
              <w:left w:val="single" w:color="000000" w:sz="4" w:space="0"/>
              <w:bottom w:val="single" w:color="000000" w:sz="4" w:space="0"/>
              <w:right w:val="single" w:color="000000" w:sz="4" w:space="0"/>
            </w:tcBorders>
            <w:vAlign w:val="center"/>
          </w:tcPr>
          <w:p w14:paraId="1E48129B">
            <w:pPr>
              <w:widowControl w:val="0"/>
              <w:jc w:val="center"/>
              <w:rPr>
                <w:rFonts w:ascii="Arial" w:hAnsi="Arial" w:eastAsia="Arial" w:cs="Arial"/>
              </w:rPr>
            </w:pPr>
            <w:r>
              <w:rPr>
                <w:rFonts w:ascii="Arial" w:hAnsi="Arial" w:eastAsia="Arial" w:cs="Arial"/>
              </w:rPr>
              <w:t>R$ 304.980,00</w:t>
            </w:r>
          </w:p>
        </w:tc>
      </w:tr>
      <w:tr w14:paraId="7FF17EF0">
        <w:tblPrEx>
          <w:tblCellMar>
            <w:top w:w="0" w:type="dxa"/>
            <w:left w:w="108" w:type="dxa"/>
            <w:bottom w:w="0" w:type="dxa"/>
            <w:right w:w="108" w:type="dxa"/>
          </w:tblCellMar>
        </w:tblPrEx>
        <w:trPr>
          <w:trHeight w:val="287" w:hRule="atLeast"/>
        </w:trPr>
        <w:tc>
          <w:tcPr>
            <w:tcW w:w="1064" w:type="dxa"/>
            <w:tcBorders>
              <w:left w:val="single" w:color="000000" w:sz="4" w:space="0"/>
              <w:bottom w:val="single" w:color="000000" w:sz="4" w:space="0"/>
            </w:tcBorders>
            <w:vAlign w:val="center"/>
          </w:tcPr>
          <w:p w14:paraId="36E44494">
            <w:pPr>
              <w:widowControl w:val="0"/>
              <w:jc w:val="center"/>
              <w:rPr>
                <w:rFonts w:ascii="Arial" w:hAnsi="Arial" w:eastAsia="Arial" w:cs="Arial"/>
                <w:b/>
              </w:rPr>
            </w:pPr>
            <w:r>
              <w:rPr>
                <w:rFonts w:ascii="Arial" w:hAnsi="Arial" w:eastAsia="Arial" w:cs="Arial"/>
                <w:b/>
              </w:rPr>
              <w:t>127832</w:t>
            </w:r>
          </w:p>
        </w:tc>
        <w:tc>
          <w:tcPr>
            <w:tcW w:w="3299" w:type="dxa"/>
            <w:tcBorders>
              <w:left w:val="single" w:color="000000" w:sz="4" w:space="0"/>
              <w:bottom w:val="single" w:color="000000" w:sz="4" w:space="0"/>
            </w:tcBorders>
            <w:vAlign w:val="center"/>
          </w:tcPr>
          <w:p w14:paraId="6E27BEAD">
            <w:pPr>
              <w:widowControl w:val="0"/>
              <w:jc w:val="center"/>
              <w:rPr>
                <w:rFonts w:ascii="Arial" w:hAnsi="Arial" w:eastAsia="Arial" w:cs="Arial"/>
              </w:rPr>
            </w:pPr>
            <w:r>
              <w:rPr>
                <w:rFonts w:ascii="Arial" w:hAnsi="Arial" w:eastAsia="Arial" w:cs="Arial"/>
              </w:rPr>
              <w:t>Ensino Fundamental Integral</w:t>
            </w:r>
          </w:p>
        </w:tc>
        <w:tc>
          <w:tcPr>
            <w:tcW w:w="1699" w:type="dxa"/>
            <w:tcBorders>
              <w:left w:val="single" w:color="000000" w:sz="4" w:space="0"/>
              <w:bottom w:val="single" w:color="000000" w:sz="4" w:space="0"/>
            </w:tcBorders>
            <w:vAlign w:val="center"/>
          </w:tcPr>
          <w:p w14:paraId="05CAD5AF">
            <w:pPr>
              <w:widowControl w:val="0"/>
              <w:jc w:val="center"/>
              <w:rPr>
                <w:rFonts w:ascii="Arial" w:hAnsi="Arial" w:eastAsia="Arial" w:cs="Arial"/>
              </w:rPr>
            </w:pPr>
            <w:r>
              <w:rPr>
                <w:rFonts w:ascii="Arial" w:hAnsi="Arial" w:eastAsia="Arial" w:cs="Arial"/>
              </w:rPr>
              <w:t>Lanche</w:t>
            </w:r>
          </w:p>
        </w:tc>
        <w:tc>
          <w:tcPr>
            <w:tcW w:w="1426" w:type="dxa"/>
            <w:tcBorders>
              <w:left w:val="single" w:color="000000" w:sz="4" w:space="0"/>
              <w:bottom w:val="single" w:color="000000" w:sz="4" w:space="0"/>
            </w:tcBorders>
            <w:vAlign w:val="center"/>
          </w:tcPr>
          <w:p w14:paraId="51743E2A">
            <w:pPr>
              <w:widowControl w:val="0"/>
              <w:jc w:val="center"/>
              <w:rPr>
                <w:rFonts w:ascii="Arial" w:hAnsi="Arial" w:eastAsia="Arial" w:cs="Arial"/>
              </w:rPr>
            </w:pPr>
            <w:r>
              <w:rPr>
                <w:rFonts w:ascii="Arial" w:hAnsi="Arial" w:eastAsia="Arial" w:cs="Arial"/>
              </w:rPr>
              <w:t>51000</w:t>
            </w:r>
          </w:p>
        </w:tc>
        <w:tc>
          <w:tcPr>
            <w:tcW w:w="850" w:type="dxa"/>
            <w:tcBorders>
              <w:left w:val="single" w:color="000000" w:sz="4" w:space="0"/>
              <w:bottom w:val="single" w:color="000000" w:sz="4" w:space="0"/>
            </w:tcBorders>
            <w:vAlign w:val="center"/>
          </w:tcPr>
          <w:p w14:paraId="7381B5CF">
            <w:pPr>
              <w:widowControl w:val="0"/>
              <w:jc w:val="center"/>
              <w:rPr>
                <w:rFonts w:ascii="Arial" w:hAnsi="Arial" w:eastAsia="Arial" w:cs="Arial"/>
              </w:rPr>
            </w:pPr>
            <w:r>
              <w:rPr>
                <w:rFonts w:ascii="Arial" w:hAnsi="Arial" w:eastAsia="Arial" w:cs="Arial"/>
              </w:rPr>
              <w:t>R$ 6,02</w:t>
            </w:r>
          </w:p>
        </w:tc>
        <w:tc>
          <w:tcPr>
            <w:tcW w:w="1636" w:type="dxa"/>
            <w:tcBorders>
              <w:left w:val="single" w:color="000000" w:sz="4" w:space="0"/>
              <w:bottom w:val="single" w:color="000000" w:sz="4" w:space="0"/>
              <w:right w:val="single" w:color="000000" w:sz="4" w:space="0"/>
            </w:tcBorders>
            <w:vAlign w:val="center"/>
          </w:tcPr>
          <w:p w14:paraId="5228BD42">
            <w:pPr>
              <w:widowControl w:val="0"/>
              <w:jc w:val="center"/>
              <w:rPr>
                <w:rFonts w:ascii="Arial" w:hAnsi="Arial" w:eastAsia="Arial" w:cs="Arial"/>
              </w:rPr>
            </w:pPr>
            <w:r>
              <w:rPr>
                <w:rFonts w:ascii="Arial" w:hAnsi="Arial" w:eastAsia="Arial" w:cs="Arial"/>
              </w:rPr>
              <w:t>R$ 307.020,00</w:t>
            </w:r>
          </w:p>
        </w:tc>
      </w:tr>
      <w:tr w14:paraId="67C17097">
        <w:tblPrEx>
          <w:tblCellMar>
            <w:top w:w="0" w:type="dxa"/>
            <w:left w:w="108" w:type="dxa"/>
            <w:bottom w:w="0" w:type="dxa"/>
            <w:right w:w="108" w:type="dxa"/>
          </w:tblCellMar>
        </w:tblPrEx>
        <w:trPr>
          <w:trHeight w:val="338" w:hRule="atLeast"/>
        </w:trPr>
        <w:tc>
          <w:tcPr>
            <w:tcW w:w="1064" w:type="dxa"/>
            <w:tcBorders>
              <w:left w:val="single" w:color="000000" w:sz="4" w:space="0"/>
              <w:bottom w:val="single" w:color="000000" w:sz="4" w:space="0"/>
            </w:tcBorders>
            <w:vAlign w:val="center"/>
          </w:tcPr>
          <w:p w14:paraId="6E9FC7F4">
            <w:pPr>
              <w:widowControl w:val="0"/>
              <w:jc w:val="center"/>
              <w:rPr>
                <w:rFonts w:ascii="Arial" w:hAnsi="Arial" w:eastAsia="Arial" w:cs="Arial"/>
                <w:b/>
              </w:rPr>
            </w:pPr>
            <w:r>
              <w:rPr>
                <w:rFonts w:ascii="Arial" w:hAnsi="Arial" w:eastAsia="Arial" w:cs="Arial"/>
                <w:b/>
              </w:rPr>
              <w:t>127833</w:t>
            </w:r>
          </w:p>
        </w:tc>
        <w:tc>
          <w:tcPr>
            <w:tcW w:w="3299" w:type="dxa"/>
            <w:tcBorders>
              <w:left w:val="single" w:color="000000" w:sz="4" w:space="0"/>
              <w:bottom w:val="single" w:color="000000" w:sz="4" w:space="0"/>
            </w:tcBorders>
            <w:vAlign w:val="center"/>
          </w:tcPr>
          <w:p w14:paraId="02C6C4C5">
            <w:pPr>
              <w:widowControl w:val="0"/>
              <w:jc w:val="center"/>
              <w:rPr>
                <w:rFonts w:ascii="Arial" w:hAnsi="Arial" w:eastAsia="Arial" w:cs="Arial"/>
              </w:rPr>
            </w:pPr>
            <w:r>
              <w:rPr>
                <w:rFonts w:ascii="Arial" w:hAnsi="Arial" w:eastAsia="Arial" w:cs="Arial"/>
              </w:rPr>
              <w:t>Ensino Fundamental Integral</w:t>
            </w:r>
          </w:p>
        </w:tc>
        <w:tc>
          <w:tcPr>
            <w:tcW w:w="1699" w:type="dxa"/>
            <w:tcBorders>
              <w:left w:val="single" w:color="000000" w:sz="4" w:space="0"/>
              <w:bottom w:val="single" w:color="000000" w:sz="4" w:space="0"/>
            </w:tcBorders>
            <w:vAlign w:val="center"/>
          </w:tcPr>
          <w:p w14:paraId="1E77670D">
            <w:pPr>
              <w:widowControl w:val="0"/>
              <w:jc w:val="center"/>
              <w:rPr>
                <w:rFonts w:ascii="Arial" w:hAnsi="Arial" w:eastAsia="Arial" w:cs="Arial"/>
              </w:rPr>
            </w:pPr>
            <w:r>
              <w:rPr>
                <w:rFonts w:ascii="Arial" w:hAnsi="Arial" w:eastAsia="Arial" w:cs="Arial"/>
              </w:rPr>
              <w:t>Jantar</w:t>
            </w:r>
          </w:p>
        </w:tc>
        <w:tc>
          <w:tcPr>
            <w:tcW w:w="1426" w:type="dxa"/>
            <w:tcBorders>
              <w:left w:val="single" w:color="000000" w:sz="4" w:space="0"/>
              <w:bottom w:val="single" w:color="000000" w:sz="4" w:space="0"/>
            </w:tcBorders>
            <w:vAlign w:val="center"/>
          </w:tcPr>
          <w:p w14:paraId="65B91B04">
            <w:pPr>
              <w:widowControl w:val="0"/>
              <w:jc w:val="center"/>
              <w:rPr>
                <w:rFonts w:ascii="Arial" w:hAnsi="Arial" w:eastAsia="Arial" w:cs="Arial"/>
              </w:rPr>
            </w:pPr>
            <w:r>
              <w:rPr>
                <w:rFonts w:ascii="Arial" w:hAnsi="Arial" w:eastAsia="Arial" w:cs="Arial"/>
              </w:rPr>
              <w:t>51000</w:t>
            </w:r>
          </w:p>
        </w:tc>
        <w:tc>
          <w:tcPr>
            <w:tcW w:w="850" w:type="dxa"/>
            <w:tcBorders>
              <w:left w:val="single" w:color="000000" w:sz="4" w:space="0"/>
              <w:bottom w:val="single" w:color="000000" w:sz="4" w:space="0"/>
            </w:tcBorders>
            <w:vAlign w:val="center"/>
          </w:tcPr>
          <w:p w14:paraId="094E4944">
            <w:pPr>
              <w:widowControl w:val="0"/>
              <w:jc w:val="center"/>
              <w:rPr>
                <w:rFonts w:ascii="Arial" w:hAnsi="Arial" w:eastAsia="Arial" w:cs="Arial"/>
              </w:rPr>
            </w:pPr>
            <w:r>
              <w:rPr>
                <w:rFonts w:ascii="Arial" w:hAnsi="Arial" w:eastAsia="Arial" w:cs="Arial"/>
              </w:rPr>
              <w:t>R$ 5,98</w:t>
            </w:r>
          </w:p>
        </w:tc>
        <w:tc>
          <w:tcPr>
            <w:tcW w:w="1636" w:type="dxa"/>
            <w:tcBorders>
              <w:left w:val="single" w:color="000000" w:sz="4" w:space="0"/>
              <w:bottom w:val="single" w:color="000000" w:sz="4" w:space="0"/>
              <w:right w:val="single" w:color="000000" w:sz="4" w:space="0"/>
            </w:tcBorders>
            <w:vAlign w:val="center"/>
          </w:tcPr>
          <w:p w14:paraId="1B5D5CE5">
            <w:pPr>
              <w:widowControl w:val="0"/>
              <w:jc w:val="center"/>
              <w:rPr>
                <w:rFonts w:ascii="Arial" w:hAnsi="Arial" w:eastAsia="Arial" w:cs="Arial"/>
              </w:rPr>
            </w:pPr>
            <w:r>
              <w:rPr>
                <w:rFonts w:ascii="Arial" w:hAnsi="Arial" w:eastAsia="Arial" w:cs="Arial"/>
              </w:rPr>
              <w:t>R$ 304.980,00</w:t>
            </w:r>
          </w:p>
        </w:tc>
      </w:tr>
      <w:tr w14:paraId="7087B1C2">
        <w:tblPrEx>
          <w:tblCellMar>
            <w:top w:w="0" w:type="dxa"/>
            <w:left w:w="108" w:type="dxa"/>
            <w:bottom w:w="0" w:type="dxa"/>
            <w:right w:w="108" w:type="dxa"/>
          </w:tblCellMar>
        </w:tblPrEx>
        <w:trPr>
          <w:trHeight w:val="288" w:hRule="atLeast"/>
        </w:trPr>
        <w:tc>
          <w:tcPr>
            <w:tcW w:w="1064" w:type="dxa"/>
            <w:tcBorders>
              <w:left w:val="single" w:color="000000" w:sz="4" w:space="0"/>
              <w:bottom w:val="single" w:color="000000" w:sz="4" w:space="0"/>
            </w:tcBorders>
            <w:vAlign w:val="center"/>
          </w:tcPr>
          <w:p w14:paraId="030941ED">
            <w:pPr>
              <w:widowControl w:val="0"/>
              <w:jc w:val="center"/>
              <w:rPr>
                <w:rFonts w:ascii="Arial" w:hAnsi="Arial" w:eastAsia="Arial" w:cs="Arial"/>
                <w:b/>
              </w:rPr>
            </w:pPr>
            <w:r>
              <w:rPr>
                <w:rFonts w:ascii="Arial" w:hAnsi="Arial" w:eastAsia="Arial" w:cs="Arial"/>
                <w:b/>
              </w:rPr>
              <w:t>127834</w:t>
            </w:r>
          </w:p>
        </w:tc>
        <w:tc>
          <w:tcPr>
            <w:tcW w:w="3299" w:type="dxa"/>
            <w:tcBorders>
              <w:left w:val="single" w:color="000000" w:sz="4" w:space="0"/>
              <w:bottom w:val="single" w:color="000000" w:sz="4" w:space="0"/>
            </w:tcBorders>
            <w:vAlign w:val="center"/>
          </w:tcPr>
          <w:p w14:paraId="1532D83F">
            <w:pPr>
              <w:widowControl w:val="0"/>
              <w:jc w:val="center"/>
              <w:rPr>
                <w:rFonts w:ascii="Arial" w:hAnsi="Arial" w:eastAsia="Arial" w:cs="Arial"/>
              </w:rPr>
            </w:pPr>
            <w:r>
              <w:rPr>
                <w:rFonts w:ascii="Arial" w:hAnsi="Arial" w:eastAsia="Arial" w:cs="Arial"/>
              </w:rPr>
              <w:t>EJA – Educação de Jovens e Adultos</w:t>
            </w:r>
          </w:p>
        </w:tc>
        <w:tc>
          <w:tcPr>
            <w:tcW w:w="1699" w:type="dxa"/>
            <w:tcBorders>
              <w:left w:val="single" w:color="000000" w:sz="4" w:space="0"/>
              <w:bottom w:val="single" w:color="000000" w:sz="4" w:space="0"/>
            </w:tcBorders>
            <w:vAlign w:val="center"/>
          </w:tcPr>
          <w:p w14:paraId="5A9EB6BD">
            <w:pPr>
              <w:widowControl w:val="0"/>
              <w:jc w:val="center"/>
              <w:rPr>
                <w:rFonts w:ascii="Arial" w:hAnsi="Arial" w:eastAsia="Arial" w:cs="Arial"/>
              </w:rPr>
            </w:pPr>
            <w:r>
              <w:rPr>
                <w:rFonts w:ascii="Arial" w:hAnsi="Arial" w:eastAsia="Arial" w:cs="Arial"/>
              </w:rPr>
              <w:t>Lanche Noturno</w:t>
            </w:r>
          </w:p>
        </w:tc>
        <w:tc>
          <w:tcPr>
            <w:tcW w:w="1426" w:type="dxa"/>
            <w:tcBorders>
              <w:left w:val="single" w:color="000000" w:sz="4" w:space="0"/>
              <w:bottom w:val="single" w:color="000000" w:sz="4" w:space="0"/>
            </w:tcBorders>
            <w:vAlign w:val="center"/>
          </w:tcPr>
          <w:p w14:paraId="15D556F1">
            <w:pPr>
              <w:widowControl w:val="0"/>
              <w:jc w:val="center"/>
              <w:rPr>
                <w:rFonts w:ascii="Arial" w:hAnsi="Arial" w:eastAsia="Arial" w:cs="Arial"/>
              </w:rPr>
            </w:pPr>
            <w:r>
              <w:rPr>
                <w:rFonts w:ascii="Arial" w:hAnsi="Arial" w:eastAsia="Arial" w:cs="Arial"/>
              </w:rPr>
              <w:t>79200</w:t>
            </w:r>
          </w:p>
        </w:tc>
        <w:tc>
          <w:tcPr>
            <w:tcW w:w="850" w:type="dxa"/>
            <w:tcBorders>
              <w:left w:val="single" w:color="000000" w:sz="4" w:space="0"/>
              <w:bottom w:val="single" w:color="000000" w:sz="4" w:space="0"/>
            </w:tcBorders>
            <w:vAlign w:val="center"/>
          </w:tcPr>
          <w:p w14:paraId="34750CB4">
            <w:pPr>
              <w:widowControl w:val="0"/>
              <w:jc w:val="center"/>
              <w:rPr>
                <w:rFonts w:ascii="Arial" w:hAnsi="Arial" w:eastAsia="Arial" w:cs="Arial"/>
              </w:rPr>
            </w:pPr>
            <w:r>
              <w:rPr>
                <w:rFonts w:ascii="Arial" w:hAnsi="Arial" w:eastAsia="Arial" w:cs="Arial"/>
              </w:rPr>
              <w:t>R$ 6,13</w:t>
            </w:r>
          </w:p>
        </w:tc>
        <w:tc>
          <w:tcPr>
            <w:tcW w:w="1636" w:type="dxa"/>
            <w:tcBorders>
              <w:left w:val="single" w:color="000000" w:sz="4" w:space="0"/>
              <w:bottom w:val="single" w:color="000000" w:sz="4" w:space="0"/>
              <w:right w:val="single" w:color="000000" w:sz="4" w:space="0"/>
            </w:tcBorders>
            <w:vAlign w:val="center"/>
          </w:tcPr>
          <w:p w14:paraId="0975353A">
            <w:pPr>
              <w:widowControl w:val="0"/>
              <w:jc w:val="center"/>
              <w:rPr>
                <w:rFonts w:ascii="Arial" w:hAnsi="Arial" w:eastAsia="Arial" w:cs="Arial"/>
              </w:rPr>
            </w:pPr>
            <w:r>
              <w:rPr>
                <w:rFonts w:ascii="Arial" w:hAnsi="Arial" w:eastAsia="Arial" w:cs="Arial"/>
              </w:rPr>
              <w:t>R$ 485.496,00</w:t>
            </w:r>
          </w:p>
        </w:tc>
      </w:tr>
      <w:tr w14:paraId="36885343">
        <w:tblPrEx>
          <w:tblCellMar>
            <w:top w:w="0" w:type="dxa"/>
            <w:left w:w="108" w:type="dxa"/>
            <w:bottom w:w="0" w:type="dxa"/>
            <w:right w:w="108" w:type="dxa"/>
          </w:tblCellMar>
        </w:tblPrEx>
        <w:trPr>
          <w:trHeight w:val="262" w:hRule="atLeast"/>
        </w:trPr>
        <w:tc>
          <w:tcPr>
            <w:tcW w:w="1064" w:type="dxa"/>
            <w:tcBorders>
              <w:left w:val="single" w:color="000000" w:sz="4" w:space="0"/>
              <w:bottom w:val="single" w:color="000000" w:sz="4" w:space="0"/>
            </w:tcBorders>
            <w:vAlign w:val="center"/>
          </w:tcPr>
          <w:p w14:paraId="20BB4874">
            <w:pPr>
              <w:widowControl w:val="0"/>
              <w:jc w:val="center"/>
              <w:rPr>
                <w:rFonts w:ascii="Arial" w:hAnsi="Arial" w:eastAsia="Arial" w:cs="Arial"/>
                <w:b/>
              </w:rPr>
            </w:pPr>
            <w:r>
              <w:rPr>
                <w:rFonts w:ascii="Arial" w:hAnsi="Arial" w:eastAsia="Arial" w:cs="Arial"/>
                <w:b/>
              </w:rPr>
              <w:t>127835</w:t>
            </w:r>
          </w:p>
        </w:tc>
        <w:tc>
          <w:tcPr>
            <w:tcW w:w="3299" w:type="dxa"/>
            <w:tcBorders>
              <w:left w:val="single" w:color="000000" w:sz="4" w:space="0"/>
              <w:bottom w:val="single" w:color="000000" w:sz="4" w:space="0"/>
            </w:tcBorders>
            <w:vAlign w:val="center"/>
          </w:tcPr>
          <w:p w14:paraId="4BD7500C">
            <w:pPr>
              <w:widowControl w:val="0"/>
              <w:jc w:val="center"/>
              <w:rPr>
                <w:rFonts w:ascii="Arial" w:hAnsi="Arial" w:eastAsia="Arial" w:cs="Arial"/>
              </w:rPr>
            </w:pPr>
            <w:r>
              <w:rPr>
                <w:rFonts w:ascii="Arial" w:hAnsi="Arial" w:eastAsia="Arial" w:cs="Arial"/>
              </w:rPr>
              <w:t>AEE – Pré-Escola e Fundamental</w:t>
            </w:r>
          </w:p>
        </w:tc>
        <w:tc>
          <w:tcPr>
            <w:tcW w:w="1699" w:type="dxa"/>
            <w:tcBorders>
              <w:left w:val="single" w:color="000000" w:sz="4" w:space="0"/>
              <w:bottom w:val="single" w:color="000000" w:sz="4" w:space="0"/>
            </w:tcBorders>
            <w:vAlign w:val="center"/>
          </w:tcPr>
          <w:p w14:paraId="1E26C842">
            <w:pPr>
              <w:widowControl w:val="0"/>
              <w:jc w:val="center"/>
              <w:rPr>
                <w:rFonts w:ascii="Arial" w:hAnsi="Arial" w:eastAsia="Arial" w:cs="Arial"/>
              </w:rPr>
            </w:pPr>
            <w:r>
              <w:rPr>
                <w:rFonts w:ascii="Arial" w:hAnsi="Arial" w:eastAsia="Arial" w:cs="Arial"/>
              </w:rPr>
              <w:t>Merenda suplementar</w:t>
            </w:r>
          </w:p>
        </w:tc>
        <w:tc>
          <w:tcPr>
            <w:tcW w:w="1426" w:type="dxa"/>
            <w:tcBorders>
              <w:left w:val="single" w:color="000000" w:sz="4" w:space="0"/>
              <w:bottom w:val="single" w:color="000000" w:sz="4" w:space="0"/>
            </w:tcBorders>
            <w:vAlign w:val="center"/>
          </w:tcPr>
          <w:p w14:paraId="50DD5508">
            <w:pPr>
              <w:widowControl w:val="0"/>
              <w:jc w:val="center"/>
              <w:rPr>
                <w:rFonts w:ascii="Arial" w:hAnsi="Arial" w:eastAsia="Arial" w:cs="Arial"/>
              </w:rPr>
            </w:pPr>
            <w:r>
              <w:rPr>
                <w:rFonts w:ascii="Arial" w:hAnsi="Arial" w:eastAsia="Arial" w:cs="Arial"/>
              </w:rPr>
              <w:t>126800</w:t>
            </w:r>
          </w:p>
        </w:tc>
        <w:tc>
          <w:tcPr>
            <w:tcW w:w="850" w:type="dxa"/>
            <w:tcBorders>
              <w:left w:val="single" w:color="000000" w:sz="4" w:space="0"/>
              <w:bottom w:val="single" w:color="000000" w:sz="4" w:space="0"/>
            </w:tcBorders>
            <w:vAlign w:val="center"/>
          </w:tcPr>
          <w:p w14:paraId="5613F191">
            <w:pPr>
              <w:widowControl w:val="0"/>
              <w:jc w:val="center"/>
              <w:rPr>
                <w:rFonts w:ascii="Arial" w:hAnsi="Arial" w:eastAsia="Arial" w:cs="Arial"/>
              </w:rPr>
            </w:pPr>
            <w:r>
              <w:rPr>
                <w:rFonts w:ascii="Arial" w:hAnsi="Arial" w:eastAsia="Arial" w:cs="Arial"/>
              </w:rPr>
              <w:t>R$ 6,28</w:t>
            </w:r>
          </w:p>
        </w:tc>
        <w:tc>
          <w:tcPr>
            <w:tcW w:w="1636" w:type="dxa"/>
            <w:tcBorders>
              <w:left w:val="single" w:color="000000" w:sz="4" w:space="0"/>
              <w:bottom w:val="single" w:color="000000" w:sz="4" w:space="0"/>
              <w:right w:val="single" w:color="000000" w:sz="4" w:space="0"/>
            </w:tcBorders>
            <w:vAlign w:val="center"/>
          </w:tcPr>
          <w:p w14:paraId="56272376">
            <w:pPr>
              <w:widowControl w:val="0"/>
              <w:jc w:val="center"/>
              <w:rPr>
                <w:rFonts w:ascii="Arial" w:hAnsi="Arial" w:eastAsia="Arial" w:cs="Arial"/>
              </w:rPr>
            </w:pPr>
            <w:r>
              <w:rPr>
                <w:rFonts w:ascii="Arial" w:hAnsi="Arial" w:eastAsia="Arial" w:cs="Arial"/>
              </w:rPr>
              <w:t>R$ 796.304,00</w:t>
            </w:r>
          </w:p>
        </w:tc>
      </w:tr>
      <w:tr w14:paraId="3D41A643">
        <w:tblPrEx>
          <w:tblCellMar>
            <w:top w:w="0" w:type="dxa"/>
            <w:left w:w="108" w:type="dxa"/>
            <w:bottom w:w="0" w:type="dxa"/>
            <w:right w:w="108" w:type="dxa"/>
          </w:tblCellMar>
        </w:tblPrEx>
        <w:trPr>
          <w:trHeight w:val="349" w:hRule="atLeast"/>
        </w:trPr>
        <w:tc>
          <w:tcPr>
            <w:tcW w:w="1064" w:type="dxa"/>
            <w:tcBorders>
              <w:left w:val="single" w:color="000000" w:sz="4" w:space="0"/>
              <w:bottom w:val="single" w:color="000000" w:sz="4" w:space="0"/>
            </w:tcBorders>
            <w:vAlign w:val="center"/>
          </w:tcPr>
          <w:p w14:paraId="26EF12AC">
            <w:pPr>
              <w:widowControl w:val="0"/>
              <w:jc w:val="center"/>
              <w:rPr>
                <w:rFonts w:ascii="Arial" w:hAnsi="Arial" w:eastAsia="Arial" w:cs="Arial"/>
                <w:b/>
              </w:rPr>
            </w:pPr>
            <w:r>
              <w:rPr>
                <w:rFonts w:ascii="Arial" w:hAnsi="Arial" w:eastAsia="Arial" w:cs="Arial"/>
                <w:b/>
              </w:rPr>
              <w:t>127836</w:t>
            </w:r>
          </w:p>
        </w:tc>
        <w:tc>
          <w:tcPr>
            <w:tcW w:w="3299" w:type="dxa"/>
            <w:tcBorders>
              <w:left w:val="single" w:color="000000" w:sz="4" w:space="0"/>
              <w:bottom w:val="single" w:color="000000" w:sz="4" w:space="0"/>
            </w:tcBorders>
            <w:vAlign w:val="center"/>
          </w:tcPr>
          <w:p w14:paraId="3CAC2873">
            <w:pPr>
              <w:widowControl w:val="0"/>
              <w:jc w:val="center"/>
              <w:rPr>
                <w:rFonts w:ascii="Arial" w:hAnsi="Arial" w:eastAsia="Arial" w:cs="Arial"/>
              </w:rPr>
            </w:pPr>
            <w:r>
              <w:rPr>
                <w:rFonts w:ascii="Arial" w:hAnsi="Arial" w:eastAsia="Arial" w:cs="Arial"/>
              </w:rPr>
              <w:t>AEE – Creche (matutino)</w:t>
            </w:r>
          </w:p>
        </w:tc>
        <w:tc>
          <w:tcPr>
            <w:tcW w:w="1699" w:type="dxa"/>
            <w:tcBorders>
              <w:left w:val="single" w:color="000000" w:sz="4" w:space="0"/>
              <w:bottom w:val="single" w:color="000000" w:sz="4" w:space="0"/>
            </w:tcBorders>
            <w:vAlign w:val="center"/>
          </w:tcPr>
          <w:p w14:paraId="3398A70F">
            <w:pPr>
              <w:widowControl w:val="0"/>
              <w:jc w:val="center"/>
              <w:rPr>
                <w:rFonts w:ascii="Arial" w:hAnsi="Arial" w:eastAsia="Arial" w:cs="Arial"/>
              </w:rPr>
            </w:pPr>
            <w:r>
              <w:rPr>
                <w:rFonts w:ascii="Arial" w:hAnsi="Arial" w:eastAsia="Arial" w:cs="Arial"/>
              </w:rPr>
              <w:t>Café da Manhã</w:t>
            </w:r>
          </w:p>
        </w:tc>
        <w:tc>
          <w:tcPr>
            <w:tcW w:w="1426" w:type="dxa"/>
            <w:tcBorders>
              <w:left w:val="single" w:color="000000" w:sz="4" w:space="0"/>
              <w:bottom w:val="single" w:color="000000" w:sz="4" w:space="0"/>
            </w:tcBorders>
            <w:vAlign w:val="center"/>
          </w:tcPr>
          <w:p w14:paraId="024DB7C8">
            <w:pPr>
              <w:widowControl w:val="0"/>
              <w:jc w:val="center"/>
              <w:rPr>
                <w:rFonts w:ascii="Arial" w:hAnsi="Arial" w:eastAsia="Arial" w:cs="Arial"/>
              </w:rPr>
            </w:pPr>
            <w:r>
              <w:rPr>
                <w:rFonts w:ascii="Arial" w:hAnsi="Arial" w:eastAsia="Arial" w:cs="Arial"/>
              </w:rPr>
              <w:t>45000</w:t>
            </w:r>
          </w:p>
        </w:tc>
        <w:tc>
          <w:tcPr>
            <w:tcW w:w="850" w:type="dxa"/>
            <w:tcBorders>
              <w:left w:val="single" w:color="000000" w:sz="4" w:space="0"/>
              <w:bottom w:val="single" w:color="000000" w:sz="4" w:space="0"/>
            </w:tcBorders>
            <w:vAlign w:val="center"/>
          </w:tcPr>
          <w:p w14:paraId="7A901226">
            <w:pPr>
              <w:widowControl w:val="0"/>
              <w:jc w:val="center"/>
              <w:rPr>
                <w:rFonts w:ascii="Arial" w:hAnsi="Arial" w:eastAsia="Arial" w:cs="Arial"/>
              </w:rPr>
            </w:pPr>
            <w:r>
              <w:rPr>
                <w:rFonts w:ascii="Arial" w:hAnsi="Arial" w:eastAsia="Arial" w:cs="Arial"/>
              </w:rPr>
              <w:t>R$ 6,43</w:t>
            </w:r>
          </w:p>
        </w:tc>
        <w:tc>
          <w:tcPr>
            <w:tcW w:w="1636" w:type="dxa"/>
            <w:tcBorders>
              <w:left w:val="single" w:color="000000" w:sz="4" w:space="0"/>
              <w:bottom w:val="single" w:color="000000" w:sz="4" w:space="0"/>
              <w:right w:val="single" w:color="000000" w:sz="4" w:space="0"/>
            </w:tcBorders>
            <w:vAlign w:val="center"/>
          </w:tcPr>
          <w:p w14:paraId="0415393E">
            <w:pPr>
              <w:widowControl w:val="0"/>
              <w:jc w:val="center"/>
              <w:rPr>
                <w:rFonts w:ascii="Arial" w:hAnsi="Arial" w:eastAsia="Arial" w:cs="Arial"/>
              </w:rPr>
            </w:pPr>
            <w:r>
              <w:rPr>
                <w:rFonts w:ascii="Arial" w:hAnsi="Arial" w:eastAsia="Arial" w:cs="Arial"/>
              </w:rPr>
              <w:t>R$ 289.350,00</w:t>
            </w:r>
          </w:p>
        </w:tc>
      </w:tr>
      <w:tr w14:paraId="4E28077A">
        <w:tblPrEx>
          <w:tblCellMar>
            <w:top w:w="0" w:type="dxa"/>
            <w:left w:w="108" w:type="dxa"/>
            <w:bottom w:w="0" w:type="dxa"/>
            <w:right w:w="108" w:type="dxa"/>
          </w:tblCellMar>
        </w:tblPrEx>
        <w:trPr>
          <w:trHeight w:val="267" w:hRule="atLeast"/>
        </w:trPr>
        <w:tc>
          <w:tcPr>
            <w:tcW w:w="1064" w:type="dxa"/>
            <w:tcBorders>
              <w:left w:val="single" w:color="000000" w:sz="4" w:space="0"/>
              <w:bottom w:val="single" w:color="000000" w:sz="4" w:space="0"/>
            </w:tcBorders>
            <w:vAlign w:val="center"/>
          </w:tcPr>
          <w:p w14:paraId="1A942EA9">
            <w:pPr>
              <w:widowControl w:val="0"/>
              <w:jc w:val="center"/>
              <w:rPr>
                <w:rFonts w:ascii="Arial" w:hAnsi="Arial" w:eastAsia="Arial" w:cs="Arial"/>
                <w:b/>
              </w:rPr>
            </w:pPr>
            <w:r>
              <w:rPr>
                <w:rFonts w:ascii="Arial" w:hAnsi="Arial" w:eastAsia="Arial" w:cs="Arial"/>
                <w:b/>
              </w:rPr>
              <w:t>127837</w:t>
            </w:r>
          </w:p>
        </w:tc>
        <w:tc>
          <w:tcPr>
            <w:tcW w:w="3299" w:type="dxa"/>
            <w:tcBorders>
              <w:left w:val="single" w:color="000000" w:sz="4" w:space="0"/>
              <w:bottom w:val="single" w:color="000000" w:sz="4" w:space="0"/>
            </w:tcBorders>
            <w:vAlign w:val="center"/>
          </w:tcPr>
          <w:p w14:paraId="41CEC676">
            <w:pPr>
              <w:widowControl w:val="0"/>
              <w:jc w:val="center"/>
              <w:rPr>
                <w:rFonts w:ascii="Arial" w:hAnsi="Arial" w:eastAsia="Arial" w:cs="Arial"/>
              </w:rPr>
            </w:pPr>
            <w:r>
              <w:rPr>
                <w:rFonts w:ascii="Arial" w:hAnsi="Arial" w:eastAsia="Arial" w:cs="Arial"/>
              </w:rPr>
              <w:t>AEE – Creche (matutino)</w:t>
            </w:r>
          </w:p>
        </w:tc>
        <w:tc>
          <w:tcPr>
            <w:tcW w:w="1699" w:type="dxa"/>
            <w:tcBorders>
              <w:left w:val="single" w:color="000000" w:sz="4" w:space="0"/>
              <w:bottom w:val="single" w:color="000000" w:sz="4" w:space="0"/>
            </w:tcBorders>
            <w:vAlign w:val="center"/>
          </w:tcPr>
          <w:p w14:paraId="34A07822">
            <w:pPr>
              <w:widowControl w:val="0"/>
              <w:jc w:val="center"/>
              <w:rPr>
                <w:rFonts w:ascii="Arial" w:hAnsi="Arial" w:eastAsia="Arial" w:cs="Arial"/>
              </w:rPr>
            </w:pPr>
            <w:r>
              <w:rPr>
                <w:rFonts w:ascii="Arial" w:hAnsi="Arial" w:eastAsia="Arial" w:cs="Arial"/>
              </w:rPr>
              <w:t>Almoço</w:t>
            </w:r>
          </w:p>
        </w:tc>
        <w:tc>
          <w:tcPr>
            <w:tcW w:w="1426" w:type="dxa"/>
            <w:tcBorders>
              <w:left w:val="single" w:color="000000" w:sz="4" w:space="0"/>
              <w:bottom w:val="single" w:color="000000" w:sz="4" w:space="0"/>
            </w:tcBorders>
            <w:vAlign w:val="center"/>
          </w:tcPr>
          <w:p w14:paraId="0B2D6CF9">
            <w:pPr>
              <w:widowControl w:val="0"/>
              <w:jc w:val="center"/>
              <w:rPr>
                <w:rFonts w:ascii="Arial" w:hAnsi="Arial" w:eastAsia="Arial" w:cs="Arial"/>
              </w:rPr>
            </w:pPr>
            <w:r>
              <w:rPr>
                <w:rFonts w:ascii="Arial" w:hAnsi="Arial" w:eastAsia="Arial" w:cs="Arial"/>
              </w:rPr>
              <w:t>45000</w:t>
            </w:r>
          </w:p>
        </w:tc>
        <w:tc>
          <w:tcPr>
            <w:tcW w:w="850" w:type="dxa"/>
            <w:tcBorders>
              <w:left w:val="single" w:color="000000" w:sz="4" w:space="0"/>
              <w:bottom w:val="single" w:color="000000" w:sz="4" w:space="0"/>
            </w:tcBorders>
            <w:vAlign w:val="center"/>
          </w:tcPr>
          <w:p w14:paraId="68BA3DE8">
            <w:pPr>
              <w:widowControl w:val="0"/>
              <w:jc w:val="center"/>
              <w:rPr>
                <w:rFonts w:ascii="Arial" w:hAnsi="Arial" w:eastAsia="Arial" w:cs="Arial"/>
              </w:rPr>
            </w:pPr>
            <w:r>
              <w:rPr>
                <w:rFonts w:ascii="Arial" w:hAnsi="Arial" w:eastAsia="Arial" w:cs="Arial"/>
              </w:rPr>
              <w:t>R$ 6,35</w:t>
            </w:r>
          </w:p>
        </w:tc>
        <w:tc>
          <w:tcPr>
            <w:tcW w:w="1636" w:type="dxa"/>
            <w:tcBorders>
              <w:left w:val="single" w:color="000000" w:sz="4" w:space="0"/>
              <w:bottom w:val="single" w:color="000000" w:sz="4" w:space="0"/>
              <w:right w:val="single" w:color="000000" w:sz="4" w:space="0"/>
            </w:tcBorders>
            <w:vAlign w:val="center"/>
          </w:tcPr>
          <w:p w14:paraId="4BE5E8FD">
            <w:pPr>
              <w:widowControl w:val="0"/>
              <w:jc w:val="center"/>
              <w:rPr>
                <w:rFonts w:ascii="Arial" w:hAnsi="Arial" w:eastAsia="Arial" w:cs="Arial"/>
              </w:rPr>
            </w:pPr>
            <w:r>
              <w:rPr>
                <w:rFonts w:ascii="Arial" w:hAnsi="Arial" w:eastAsia="Arial" w:cs="Arial"/>
              </w:rPr>
              <w:t>R$ 285.750,00</w:t>
            </w:r>
          </w:p>
        </w:tc>
      </w:tr>
      <w:tr w14:paraId="085BE38B">
        <w:tblPrEx>
          <w:tblCellMar>
            <w:top w:w="0" w:type="dxa"/>
            <w:left w:w="108" w:type="dxa"/>
            <w:bottom w:w="0" w:type="dxa"/>
            <w:right w:w="108" w:type="dxa"/>
          </w:tblCellMar>
        </w:tblPrEx>
        <w:trPr>
          <w:trHeight w:val="338" w:hRule="atLeast"/>
        </w:trPr>
        <w:tc>
          <w:tcPr>
            <w:tcW w:w="1064" w:type="dxa"/>
            <w:tcBorders>
              <w:left w:val="single" w:color="000000" w:sz="4" w:space="0"/>
              <w:bottom w:val="single" w:color="000000" w:sz="4" w:space="0"/>
            </w:tcBorders>
            <w:vAlign w:val="center"/>
          </w:tcPr>
          <w:p w14:paraId="70B3BDCA">
            <w:pPr>
              <w:widowControl w:val="0"/>
              <w:jc w:val="center"/>
              <w:rPr>
                <w:rFonts w:ascii="Arial" w:hAnsi="Arial" w:eastAsia="Arial" w:cs="Arial"/>
                <w:b/>
              </w:rPr>
            </w:pPr>
            <w:r>
              <w:rPr>
                <w:rFonts w:ascii="Arial" w:hAnsi="Arial" w:eastAsia="Arial" w:cs="Arial"/>
                <w:b/>
              </w:rPr>
              <w:t>127838</w:t>
            </w:r>
          </w:p>
        </w:tc>
        <w:tc>
          <w:tcPr>
            <w:tcW w:w="3299" w:type="dxa"/>
            <w:tcBorders>
              <w:left w:val="single" w:color="000000" w:sz="4" w:space="0"/>
              <w:bottom w:val="single" w:color="000000" w:sz="4" w:space="0"/>
            </w:tcBorders>
            <w:vAlign w:val="center"/>
          </w:tcPr>
          <w:p w14:paraId="3A84F2DB">
            <w:pPr>
              <w:widowControl w:val="0"/>
              <w:jc w:val="center"/>
              <w:rPr>
                <w:rFonts w:ascii="Arial" w:hAnsi="Arial" w:eastAsia="Arial" w:cs="Arial"/>
              </w:rPr>
            </w:pPr>
            <w:r>
              <w:rPr>
                <w:rFonts w:ascii="Arial" w:hAnsi="Arial" w:eastAsia="Arial" w:cs="Arial"/>
              </w:rPr>
              <w:t>AEE – Creche (vespertino)</w:t>
            </w:r>
          </w:p>
        </w:tc>
        <w:tc>
          <w:tcPr>
            <w:tcW w:w="1699" w:type="dxa"/>
            <w:tcBorders>
              <w:left w:val="single" w:color="000000" w:sz="4" w:space="0"/>
              <w:bottom w:val="single" w:color="000000" w:sz="4" w:space="0"/>
            </w:tcBorders>
            <w:vAlign w:val="center"/>
          </w:tcPr>
          <w:p w14:paraId="19659ACC">
            <w:pPr>
              <w:widowControl w:val="0"/>
              <w:jc w:val="center"/>
              <w:rPr>
                <w:rFonts w:ascii="Arial" w:hAnsi="Arial" w:eastAsia="Arial" w:cs="Arial"/>
              </w:rPr>
            </w:pPr>
            <w:r>
              <w:rPr>
                <w:rFonts w:ascii="Arial" w:hAnsi="Arial" w:eastAsia="Arial" w:cs="Arial"/>
              </w:rPr>
              <w:t>Lanche Tarde</w:t>
            </w:r>
          </w:p>
        </w:tc>
        <w:tc>
          <w:tcPr>
            <w:tcW w:w="1426" w:type="dxa"/>
            <w:tcBorders>
              <w:left w:val="single" w:color="000000" w:sz="4" w:space="0"/>
              <w:bottom w:val="single" w:color="000000" w:sz="4" w:space="0"/>
            </w:tcBorders>
            <w:vAlign w:val="center"/>
          </w:tcPr>
          <w:p w14:paraId="69F0326A">
            <w:pPr>
              <w:widowControl w:val="0"/>
              <w:jc w:val="center"/>
              <w:rPr>
                <w:rFonts w:ascii="Arial" w:hAnsi="Arial" w:eastAsia="Arial" w:cs="Arial"/>
              </w:rPr>
            </w:pPr>
            <w:r>
              <w:rPr>
                <w:rFonts w:ascii="Arial" w:hAnsi="Arial" w:eastAsia="Arial" w:cs="Arial"/>
              </w:rPr>
              <w:t>43000</w:t>
            </w:r>
          </w:p>
        </w:tc>
        <w:tc>
          <w:tcPr>
            <w:tcW w:w="850" w:type="dxa"/>
            <w:tcBorders>
              <w:left w:val="single" w:color="000000" w:sz="4" w:space="0"/>
              <w:bottom w:val="single" w:color="000000" w:sz="4" w:space="0"/>
            </w:tcBorders>
            <w:vAlign w:val="center"/>
          </w:tcPr>
          <w:p w14:paraId="3ECAF017">
            <w:pPr>
              <w:widowControl w:val="0"/>
              <w:jc w:val="center"/>
              <w:rPr>
                <w:rFonts w:ascii="Arial" w:hAnsi="Arial" w:eastAsia="Arial" w:cs="Arial"/>
              </w:rPr>
            </w:pPr>
            <w:r>
              <w:rPr>
                <w:rFonts w:ascii="Arial" w:hAnsi="Arial" w:eastAsia="Arial" w:cs="Arial"/>
              </w:rPr>
              <w:t>R$ 6,43</w:t>
            </w:r>
          </w:p>
        </w:tc>
        <w:tc>
          <w:tcPr>
            <w:tcW w:w="1636" w:type="dxa"/>
            <w:tcBorders>
              <w:left w:val="single" w:color="000000" w:sz="4" w:space="0"/>
              <w:bottom w:val="single" w:color="000000" w:sz="4" w:space="0"/>
              <w:right w:val="single" w:color="000000" w:sz="4" w:space="0"/>
            </w:tcBorders>
            <w:vAlign w:val="center"/>
          </w:tcPr>
          <w:p w14:paraId="0A696532">
            <w:pPr>
              <w:widowControl w:val="0"/>
              <w:jc w:val="center"/>
              <w:rPr>
                <w:rFonts w:ascii="Arial" w:hAnsi="Arial" w:eastAsia="Arial" w:cs="Arial"/>
              </w:rPr>
            </w:pPr>
            <w:r>
              <w:rPr>
                <w:rFonts w:ascii="Arial" w:hAnsi="Arial" w:eastAsia="Arial" w:cs="Arial"/>
              </w:rPr>
              <w:t>R$ 276.490,00</w:t>
            </w:r>
          </w:p>
        </w:tc>
      </w:tr>
      <w:tr w14:paraId="6D6CE5D3">
        <w:tblPrEx>
          <w:tblCellMar>
            <w:top w:w="0" w:type="dxa"/>
            <w:left w:w="108" w:type="dxa"/>
            <w:bottom w:w="0" w:type="dxa"/>
            <w:right w:w="108" w:type="dxa"/>
          </w:tblCellMar>
        </w:tblPrEx>
        <w:trPr>
          <w:trHeight w:val="287" w:hRule="atLeast"/>
        </w:trPr>
        <w:tc>
          <w:tcPr>
            <w:tcW w:w="1064" w:type="dxa"/>
            <w:tcBorders>
              <w:left w:val="single" w:color="000000" w:sz="4" w:space="0"/>
              <w:bottom w:val="single" w:color="000000" w:sz="4" w:space="0"/>
            </w:tcBorders>
            <w:vAlign w:val="center"/>
          </w:tcPr>
          <w:p w14:paraId="4834FDB3">
            <w:pPr>
              <w:widowControl w:val="0"/>
              <w:jc w:val="center"/>
              <w:rPr>
                <w:rFonts w:ascii="Arial" w:hAnsi="Arial" w:eastAsia="Arial" w:cs="Arial"/>
                <w:b/>
              </w:rPr>
            </w:pPr>
            <w:r>
              <w:rPr>
                <w:rFonts w:ascii="Arial" w:hAnsi="Arial" w:eastAsia="Arial" w:cs="Arial"/>
                <w:b/>
              </w:rPr>
              <w:t>127839</w:t>
            </w:r>
          </w:p>
        </w:tc>
        <w:tc>
          <w:tcPr>
            <w:tcW w:w="3299" w:type="dxa"/>
            <w:tcBorders>
              <w:left w:val="single" w:color="000000" w:sz="4" w:space="0"/>
              <w:bottom w:val="single" w:color="000000" w:sz="4" w:space="0"/>
            </w:tcBorders>
            <w:vAlign w:val="center"/>
          </w:tcPr>
          <w:p w14:paraId="33F58A54">
            <w:pPr>
              <w:widowControl w:val="0"/>
              <w:jc w:val="center"/>
              <w:rPr>
                <w:rFonts w:ascii="Arial" w:hAnsi="Arial" w:eastAsia="Arial" w:cs="Arial"/>
              </w:rPr>
            </w:pPr>
            <w:r>
              <w:rPr>
                <w:rFonts w:ascii="Arial" w:hAnsi="Arial" w:eastAsia="Arial" w:cs="Arial"/>
              </w:rPr>
              <w:t>AEE – Creche (vespertino)</w:t>
            </w:r>
          </w:p>
        </w:tc>
        <w:tc>
          <w:tcPr>
            <w:tcW w:w="1699" w:type="dxa"/>
            <w:tcBorders>
              <w:left w:val="single" w:color="000000" w:sz="4" w:space="0"/>
              <w:bottom w:val="single" w:color="000000" w:sz="4" w:space="0"/>
            </w:tcBorders>
            <w:vAlign w:val="center"/>
          </w:tcPr>
          <w:p w14:paraId="6DC88B3C">
            <w:pPr>
              <w:widowControl w:val="0"/>
              <w:jc w:val="center"/>
              <w:rPr>
                <w:rFonts w:ascii="Arial" w:hAnsi="Arial" w:eastAsia="Arial" w:cs="Arial"/>
              </w:rPr>
            </w:pPr>
            <w:r>
              <w:rPr>
                <w:rFonts w:ascii="Arial" w:hAnsi="Arial" w:eastAsia="Arial" w:cs="Arial"/>
              </w:rPr>
              <w:t>Jantar</w:t>
            </w:r>
          </w:p>
        </w:tc>
        <w:tc>
          <w:tcPr>
            <w:tcW w:w="1426" w:type="dxa"/>
            <w:tcBorders>
              <w:left w:val="single" w:color="000000" w:sz="4" w:space="0"/>
              <w:bottom w:val="single" w:color="000000" w:sz="4" w:space="0"/>
            </w:tcBorders>
            <w:vAlign w:val="center"/>
          </w:tcPr>
          <w:p w14:paraId="41926B04">
            <w:pPr>
              <w:widowControl w:val="0"/>
              <w:jc w:val="center"/>
              <w:rPr>
                <w:rFonts w:ascii="Arial" w:hAnsi="Arial" w:eastAsia="Arial" w:cs="Arial"/>
              </w:rPr>
            </w:pPr>
            <w:r>
              <w:rPr>
                <w:rFonts w:ascii="Arial" w:hAnsi="Arial" w:eastAsia="Arial" w:cs="Arial"/>
              </w:rPr>
              <w:t>43000</w:t>
            </w:r>
          </w:p>
        </w:tc>
        <w:tc>
          <w:tcPr>
            <w:tcW w:w="850" w:type="dxa"/>
            <w:tcBorders>
              <w:left w:val="single" w:color="000000" w:sz="4" w:space="0"/>
              <w:bottom w:val="single" w:color="000000" w:sz="4" w:space="0"/>
            </w:tcBorders>
            <w:vAlign w:val="center"/>
          </w:tcPr>
          <w:p w14:paraId="292059C9">
            <w:pPr>
              <w:widowControl w:val="0"/>
              <w:jc w:val="center"/>
              <w:rPr>
                <w:rFonts w:ascii="Arial" w:hAnsi="Arial" w:eastAsia="Arial" w:cs="Arial"/>
              </w:rPr>
            </w:pPr>
            <w:r>
              <w:rPr>
                <w:rFonts w:ascii="Arial" w:hAnsi="Arial" w:eastAsia="Arial" w:cs="Arial"/>
              </w:rPr>
              <w:t>R$ 6,35</w:t>
            </w:r>
          </w:p>
        </w:tc>
        <w:tc>
          <w:tcPr>
            <w:tcW w:w="1636" w:type="dxa"/>
            <w:tcBorders>
              <w:left w:val="single" w:color="000000" w:sz="4" w:space="0"/>
              <w:bottom w:val="single" w:color="000000" w:sz="4" w:space="0"/>
              <w:right w:val="single" w:color="000000" w:sz="4" w:space="0"/>
            </w:tcBorders>
            <w:vAlign w:val="center"/>
          </w:tcPr>
          <w:p w14:paraId="59214BFC">
            <w:pPr>
              <w:widowControl w:val="0"/>
              <w:jc w:val="center"/>
              <w:rPr>
                <w:rFonts w:ascii="Arial" w:hAnsi="Arial" w:eastAsia="Arial" w:cs="Arial"/>
              </w:rPr>
            </w:pPr>
            <w:r>
              <w:rPr>
                <w:rFonts w:ascii="Arial" w:hAnsi="Arial" w:eastAsia="Arial" w:cs="Arial"/>
              </w:rPr>
              <w:t>R$ 273.050,00</w:t>
            </w:r>
          </w:p>
        </w:tc>
      </w:tr>
      <w:tr w14:paraId="6EA35B14">
        <w:tblPrEx>
          <w:tblCellMar>
            <w:top w:w="0" w:type="dxa"/>
            <w:left w:w="108" w:type="dxa"/>
            <w:bottom w:w="0" w:type="dxa"/>
            <w:right w:w="108" w:type="dxa"/>
          </w:tblCellMar>
        </w:tblPrEx>
        <w:trPr>
          <w:trHeight w:val="156" w:hRule="atLeast"/>
        </w:trPr>
        <w:tc>
          <w:tcPr>
            <w:tcW w:w="8338" w:type="dxa"/>
            <w:gridSpan w:val="5"/>
            <w:tcBorders>
              <w:left w:val="single" w:color="000000" w:sz="4" w:space="0"/>
              <w:bottom w:val="single" w:color="000000" w:sz="4" w:space="0"/>
            </w:tcBorders>
            <w:shd w:val="clear" w:color="auto" w:fill="DDDDDD"/>
          </w:tcPr>
          <w:p w14:paraId="05B9C358">
            <w:pPr>
              <w:widowControl w:val="0"/>
              <w:spacing w:before="57" w:after="57" w:line="216" w:lineRule="auto"/>
              <w:jc w:val="right"/>
              <w:rPr>
                <w:rFonts w:ascii="Arial" w:hAnsi="Arial" w:eastAsia="Arial" w:cs="Arial"/>
              </w:rPr>
            </w:pPr>
            <w:r>
              <w:rPr>
                <w:rFonts w:ascii="Arial" w:hAnsi="Arial" w:eastAsia="Arial" w:cs="Arial"/>
                <w:b/>
              </w:rPr>
              <w:t>VALOR TOTAL</w:t>
            </w:r>
          </w:p>
        </w:tc>
        <w:tc>
          <w:tcPr>
            <w:tcW w:w="1636" w:type="dxa"/>
            <w:tcBorders>
              <w:left w:val="single" w:color="000000" w:sz="4" w:space="0"/>
              <w:bottom w:val="single" w:color="000000" w:sz="4" w:space="0"/>
              <w:right w:val="single" w:color="000000" w:sz="4" w:space="0"/>
            </w:tcBorders>
            <w:shd w:val="clear" w:color="auto" w:fill="DDDDDD"/>
          </w:tcPr>
          <w:p w14:paraId="4287CBD4">
            <w:pPr>
              <w:widowControl w:val="0"/>
              <w:spacing w:before="57" w:after="57" w:line="216" w:lineRule="auto"/>
              <w:ind w:left="-57" w:right="-113"/>
              <w:jc w:val="center"/>
              <w:rPr>
                <w:rFonts w:ascii="Arial" w:hAnsi="Arial" w:eastAsia="Arial" w:cs="Arial"/>
              </w:rPr>
            </w:pPr>
            <w:r>
              <w:rPr>
                <w:rFonts w:ascii="Arial" w:hAnsi="Arial" w:eastAsia="Arial" w:cs="Arial"/>
                <w:b/>
              </w:rPr>
              <w:t>R$ 54.113.758,00</w:t>
            </w:r>
          </w:p>
        </w:tc>
      </w:tr>
    </w:tbl>
    <w:p w14:paraId="0BEA1105">
      <w:pPr>
        <w:jc w:val="both"/>
        <w:rPr>
          <w:rFonts w:ascii="Arial" w:hAnsi="Arial" w:eastAsia="Arial" w:cs="Arial"/>
        </w:rPr>
      </w:pPr>
    </w:p>
    <w:p w14:paraId="2D9B9EF2">
      <w:pPr>
        <w:jc w:val="both"/>
        <w:rPr>
          <w:rFonts w:ascii="Arial" w:hAnsi="Arial" w:eastAsia="Arial" w:cs="Arial"/>
          <w:color w:val="FF0000"/>
        </w:rPr>
      </w:pPr>
    </w:p>
    <w:p w14:paraId="462D713F">
      <w:pPr>
        <w:widowControl w:val="0"/>
        <w:tabs>
          <w:tab w:val="center" w:pos="4779"/>
          <w:tab w:val="right" w:pos="9198"/>
        </w:tabs>
        <w:jc w:val="both"/>
        <w:rPr>
          <w:rFonts w:ascii="Arial" w:hAnsi="Arial" w:eastAsia="Arial" w:cs="Arial"/>
          <w:b/>
        </w:rPr>
      </w:pPr>
      <w:r>
        <w:rPr>
          <w:rFonts w:ascii="Arial" w:hAnsi="Arial" w:eastAsia="Arial" w:cs="Arial"/>
          <w:b/>
        </w:rPr>
        <w:t>CLÁUSULA SEGUNDA – DA VIGÊNCIA da ARP e do CONTRATO:</w:t>
      </w:r>
    </w:p>
    <w:p w14:paraId="585E54BA">
      <w:pPr>
        <w:widowControl w:val="0"/>
        <w:tabs>
          <w:tab w:val="center" w:pos="4779"/>
          <w:tab w:val="right" w:pos="9198"/>
        </w:tabs>
        <w:jc w:val="both"/>
        <w:rPr>
          <w:rFonts w:ascii="Arial" w:hAnsi="Arial" w:eastAsia="Arial" w:cs="Arial"/>
          <w:b/>
        </w:rPr>
      </w:pPr>
    </w:p>
    <w:p w14:paraId="35E5516B">
      <w:pPr>
        <w:jc w:val="both"/>
      </w:pPr>
      <w:r>
        <w:rPr>
          <w:rFonts w:ascii="Arial" w:hAnsi="Arial" w:eastAsia="Arial" w:cs="Arial"/>
          <w:b/>
        </w:rPr>
        <w:t>2.1.</w:t>
      </w:r>
      <w:r>
        <w:rPr>
          <w:rFonts w:ascii="Arial" w:hAnsi="Arial" w:eastAsia="Arial" w:cs="Arial"/>
        </w:rPr>
        <w:t xml:space="preserve"> A presente ARP terá vigência de 1 (um) ano contado a partir da publicação do seu extrato no Diário Oficial do Município - DIORONDON, prorrogável </w:t>
      </w:r>
      <w:r>
        <w:rPr>
          <w:rFonts w:ascii="Arial" w:hAnsi="Arial" w:eastAsia="Arial" w:cs="Arial"/>
          <w:highlight w:val="white"/>
        </w:rPr>
        <w:t>por igual período, desde que comprovado o preço vantajoso.</w:t>
      </w:r>
    </w:p>
    <w:p w14:paraId="39713449">
      <w:pPr>
        <w:jc w:val="both"/>
        <w:rPr>
          <w:rFonts w:ascii="Arial" w:hAnsi="Arial" w:eastAsia="Arial" w:cs="Arial"/>
          <w:highlight w:val="white"/>
        </w:rPr>
      </w:pPr>
    </w:p>
    <w:p w14:paraId="46EFBA1F">
      <w:pPr>
        <w:jc w:val="both"/>
      </w:pPr>
      <w:r>
        <w:rPr>
          <w:rFonts w:ascii="Arial" w:hAnsi="Arial" w:eastAsia="Arial" w:cs="Arial"/>
          <w:b/>
        </w:rPr>
        <w:t>2.2.</w:t>
      </w:r>
      <w:r>
        <w:rPr>
          <w:rFonts w:ascii="Arial" w:hAnsi="Arial" w:eastAsia="Arial" w:cs="Arial"/>
        </w:rPr>
        <w:t xml:space="preserve"> O contrato decorrente da presente ata terá a vigência, modelo de gestão e demais aspectos alusivos à contratos estipulados, conforme Termo de Referência (anexo I).</w:t>
      </w:r>
    </w:p>
    <w:p w14:paraId="75C41CC9">
      <w:pPr>
        <w:widowControl w:val="0"/>
        <w:tabs>
          <w:tab w:val="center" w:pos="4779"/>
          <w:tab w:val="right" w:pos="9198"/>
        </w:tabs>
        <w:jc w:val="both"/>
        <w:rPr>
          <w:rFonts w:ascii="Arial" w:hAnsi="Arial" w:eastAsia="Arial" w:cs="Arial"/>
          <w:b/>
        </w:rPr>
      </w:pPr>
    </w:p>
    <w:p w14:paraId="7F914FF0">
      <w:pPr>
        <w:widowControl w:val="0"/>
        <w:tabs>
          <w:tab w:val="center" w:pos="4779"/>
          <w:tab w:val="right" w:pos="9198"/>
        </w:tabs>
        <w:jc w:val="both"/>
        <w:rPr>
          <w:rFonts w:ascii="Arial" w:hAnsi="Arial" w:eastAsia="Arial" w:cs="Arial"/>
          <w:b/>
        </w:rPr>
      </w:pPr>
      <w:r>
        <w:rPr>
          <w:rFonts w:ascii="Arial" w:hAnsi="Arial" w:eastAsia="Arial" w:cs="Arial"/>
          <w:b/>
        </w:rPr>
        <w:t>CLÁUSULA TERCEIRA – DO PREÇO REGISTRADO E DA DIFERENÇA PERCENTUAL:</w:t>
      </w:r>
    </w:p>
    <w:p w14:paraId="04B4B363">
      <w:pPr>
        <w:widowControl w:val="0"/>
        <w:tabs>
          <w:tab w:val="center" w:pos="4779"/>
          <w:tab w:val="right" w:pos="9198"/>
        </w:tabs>
        <w:jc w:val="both"/>
        <w:rPr>
          <w:rFonts w:ascii="Arial" w:hAnsi="Arial" w:eastAsia="Arial" w:cs="Arial"/>
        </w:rPr>
      </w:pPr>
    </w:p>
    <w:p w14:paraId="2352808F">
      <w:pPr>
        <w:widowControl w:val="0"/>
        <w:tabs>
          <w:tab w:val="center" w:pos="4779"/>
          <w:tab w:val="right" w:pos="9198"/>
        </w:tabs>
        <w:jc w:val="both"/>
        <w:rPr>
          <w:rFonts w:ascii="Arial" w:hAnsi="Arial" w:eastAsia="Arial" w:cs="Arial"/>
        </w:rPr>
      </w:pPr>
      <w:r>
        <w:rPr>
          <w:rFonts w:ascii="Arial" w:hAnsi="Arial" w:eastAsia="Arial" w:cs="Arial"/>
          <w:b/>
        </w:rPr>
        <w:t>3.1.</w:t>
      </w:r>
      <w:r>
        <w:rPr>
          <w:rFonts w:ascii="Arial" w:hAnsi="Arial" w:eastAsia="Arial" w:cs="Arial"/>
        </w:rPr>
        <w:t xml:space="preserve"> O(s) preço(s), a(s) marca(s), a(s) quantidade(s) e a(s) especificação(ões) do(s) produto(s) a ser(em) fornecido(s) encontram-se indicados no (Anexo II Informações sobre os serviços registrados) desta ARP.</w:t>
      </w:r>
    </w:p>
    <w:p w14:paraId="2F1AAC24">
      <w:pPr>
        <w:widowControl w:val="0"/>
        <w:tabs>
          <w:tab w:val="center" w:pos="4779"/>
          <w:tab w:val="right" w:pos="9198"/>
        </w:tabs>
        <w:jc w:val="both"/>
        <w:rPr>
          <w:rFonts w:ascii="Arial" w:hAnsi="Arial" w:eastAsia="Arial" w:cs="Arial"/>
        </w:rPr>
      </w:pPr>
    </w:p>
    <w:p w14:paraId="2D4AB1C7">
      <w:pPr>
        <w:widowControl w:val="0"/>
        <w:tabs>
          <w:tab w:val="center" w:pos="4779"/>
          <w:tab w:val="right" w:pos="9198"/>
        </w:tabs>
        <w:jc w:val="both"/>
        <w:rPr>
          <w:rFonts w:ascii="Arial" w:hAnsi="Arial" w:eastAsia="Arial" w:cs="Arial"/>
        </w:rPr>
      </w:pPr>
      <w:r>
        <w:rPr>
          <w:rFonts w:ascii="Arial" w:hAnsi="Arial" w:eastAsia="Arial" w:cs="Arial"/>
          <w:b/>
        </w:rPr>
        <w:t>3.2.</w:t>
      </w:r>
      <w:r>
        <w:rPr>
          <w:rFonts w:ascii="Arial" w:hAnsi="Arial" w:eastAsia="Arial" w:cs="Arial"/>
        </w:rPr>
        <w:t xml:space="preserve"> A(s) diferença(s) percentual(is) entre o(s) valor(es) unitário(s) registrado(s) e o(s) valor(es) pesquisado(s) de cada produto, a(s) qual(is) deve(m), preferencialmente, ser(em) mantida(s) durante a vigência desta Ata, também está(ão) especificada(s) no (Anexo II Informações sobre os serviços registrados) desta ARP.</w:t>
      </w:r>
    </w:p>
    <w:p w14:paraId="2592EAD3">
      <w:pPr>
        <w:widowControl w:val="0"/>
        <w:tabs>
          <w:tab w:val="center" w:pos="4779"/>
          <w:tab w:val="right" w:pos="9198"/>
        </w:tabs>
        <w:jc w:val="both"/>
        <w:rPr>
          <w:rFonts w:ascii="Arial" w:hAnsi="Arial" w:eastAsia="Arial" w:cs="Arial"/>
        </w:rPr>
      </w:pPr>
    </w:p>
    <w:p w14:paraId="104757BA">
      <w:pPr>
        <w:widowControl w:val="0"/>
        <w:tabs>
          <w:tab w:val="center" w:pos="4779"/>
          <w:tab w:val="right" w:pos="9198"/>
        </w:tabs>
        <w:jc w:val="both"/>
        <w:rPr>
          <w:rFonts w:ascii="Arial" w:hAnsi="Arial" w:eastAsia="Arial" w:cs="Arial"/>
          <w:b/>
        </w:rPr>
      </w:pPr>
    </w:p>
    <w:p w14:paraId="1BFD4174">
      <w:pPr>
        <w:widowControl w:val="0"/>
        <w:tabs>
          <w:tab w:val="left" w:pos="4127"/>
        </w:tabs>
        <w:jc w:val="both"/>
        <w:rPr>
          <w:rFonts w:ascii="Arial" w:hAnsi="Arial" w:eastAsia="Arial" w:cs="Arial"/>
          <w:b/>
        </w:rPr>
      </w:pPr>
      <w:r>
        <w:rPr>
          <w:rFonts w:ascii="Arial" w:hAnsi="Arial" w:eastAsia="Arial" w:cs="Arial"/>
          <w:b/>
        </w:rPr>
        <w:t>CLÁUSULA QUARTA – DO VALOR:</w:t>
      </w:r>
      <w:r>
        <w:rPr>
          <w:rFonts w:ascii="Arial" w:hAnsi="Arial" w:eastAsia="Arial" w:cs="Arial"/>
          <w:b/>
        </w:rPr>
        <w:tab/>
      </w:r>
    </w:p>
    <w:p w14:paraId="5DC4D289">
      <w:pPr>
        <w:widowControl w:val="0"/>
        <w:tabs>
          <w:tab w:val="center" w:pos="4779"/>
          <w:tab w:val="right" w:pos="9198"/>
        </w:tabs>
        <w:jc w:val="both"/>
        <w:rPr>
          <w:rFonts w:ascii="Arial" w:hAnsi="Arial" w:eastAsia="Arial" w:cs="Arial"/>
          <w:b/>
        </w:rPr>
      </w:pPr>
      <w:r>
        <w:rPr>
          <w:rFonts w:ascii="Arial" w:hAnsi="Arial" w:eastAsia="Arial" w:cs="Arial"/>
          <w:b/>
        </w:rPr>
        <w:t>4.1.</w:t>
      </w:r>
      <w:r>
        <w:rPr>
          <w:rFonts w:ascii="Arial" w:hAnsi="Arial" w:eastAsia="Arial" w:cs="Arial"/>
        </w:rPr>
        <w:t xml:space="preserve"> O valor total estimado para os serviços decorrentes da presente ARP perfaz o montante de </w:t>
      </w:r>
      <w:r>
        <w:rPr>
          <w:rFonts w:ascii="Arial" w:hAnsi="Arial" w:eastAsia="Arial" w:cs="Arial"/>
          <w:b/>
          <w:color w:val="000000"/>
        </w:rPr>
        <w:t xml:space="preserve">R$ </w:t>
      </w:r>
      <w:r>
        <w:rPr>
          <w:rFonts w:ascii="Arial" w:hAnsi="Arial" w:eastAsia="Arial" w:cs="Arial"/>
          <w:b/>
        </w:rPr>
        <w:t>54.113.758,00</w:t>
      </w:r>
      <w:r>
        <w:rPr>
          <w:rFonts w:ascii="Arial" w:hAnsi="Arial" w:eastAsia="Arial" w:cs="Arial"/>
          <w:b/>
          <w:color w:val="000000"/>
        </w:rPr>
        <w:t xml:space="preserve"> (Cinquenta e quatro milhões, cento e treze mil e setecentos e cinquenta e oito reais)</w:t>
      </w:r>
      <w:r>
        <w:rPr>
          <w:rFonts w:ascii="Arial" w:hAnsi="Arial" w:eastAsia="Arial" w:cs="Arial"/>
        </w:rPr>
        <w:t xml:space="preserve"> </w:t>
      </w:r>
    </w:p>
    <w:p w14:paraId="62CDB1FA">
      <w:pPr>
        <w:widowControl w:val="0"/>
        <w:tabs>
          <w:tab w:val="center" w:pos="4779"/>
          <w:tab w:val="right" w:pos="9198"/>
        </w:tabs>
        <w:jc w:val="both"/>
        <w:rPr>
          <w:rFonts w:ascii="Arial" w:hAnsi="Arial" w:eastAsia="Arial" w:cs="Arial"/>
          <w:b/>
        </w:rPr>
      </w:pPr>
    </w:p>
    <w:p w14:paraId="0831A65B">
      <w:pPr>
        <w:widowControl w:val="0"/>
        <w:tabs>
          <w:tab w:val="center" w:pos="4779"/>
          <w:tab w:val="right" w:pos="9198"/>
        </w:tabs>
        <w:jc w:val="both"/>
        <w:rPr>
          <w:rFonts w:ascii="Arial" w:hAnsi="Arial" w:eastAsia="Arial" w:cs="Arial"/>
          <w:b/>
        </w:rPr>
      </w:pPr>
      <w:r>
        <w:rPr>
          <w:rFonts w:ascii="Arial" w:hAnsi="Arial" w:eastAsia="Arial" w:cs="Arial"/>
          <w:b/>
        </w:rPr>
        <w:t>CLÁUSULA QUINTA:</w:t>
      </w:r>
    </w:p>
    <w:p w14:paraId="73C79F10">
      <w:pPr>
        <w:widowControl w:val="0"/>
        <w:tabs>
          <w:tab w:val="center" w:pos="4779"/>
          <w:tab w:val="right" w:pos="9198"/>
        </w:tabs>
        <w:jc w:val="both"/>
        <w:rPr>
          <w:rFonts w:ascii="Arial" w:hAnsi="Arial" w:eastAsia="Arial" w:cs="Arial"/>
          <w:b/>
        </w:rPr>
      </w:pPr>
    </w:p>
    <w:p w14:paraId="4C2E16E2">
      <w:pPr>
        <w:widowControl w:val="0"/>
        <w:tabs>
          <w:tab w:val="center" w:pos="4779"/>
          <w:tab w:val="right" w:pos="9198"/>
        </w:tabs>
        <w:jc w:val="both"/>
        <w:rPr>
          <w:rFonts w:ascii="Arial" w:hAnsi="Arial" w:eastAsia="Arial" w:cs="Arial"/>
          <w:b/>
        </w:rPr>
      </w:pPr>
      <w:r>
        <w:rPr>
          <w:rFonts w:ascii="Arial" w:hAnsi="Arial" w:eastAsia="Arial" w:cs="Arial"/>
          <w:b/>
        </w:rPr>
        <w:t xml:space="preserve">5.1. DO(S) ÓRGÃO(S) PARTICIPANTE(S): </w:t>
      </w:r>
    </w:p>
    <w:p w14:paraId="1F30AF80">
      <w:pPr>
        <w:widowControl w:val="0"/>
        <w:tabs>
          <w:tab w:val="center" w:pos="4779"/>
          <w:tab w:val="right" w:pos="9198"/>
        </w:tabs>
        <w:jc w:val="both"/>
        <w:rPr>
          <w:rFonts w:ascii="Arial" w:hAnsi="Arial" w:eastAsia="Arial" w:cs="Arial"/>
          <w:b/>
        </w:rPr>
      </w:pPr>
    </w:p>
    <w:p w14:paraId="29C97B59">
      <w:pPr>
        <w:widowControl w:val="0"/>
        <w:tabs>
          <w:tab w:val="center" w:pos="4779"/>
          <w:tab w:val="right" w:pos="9198"/>
        </w:tabs>
        <w:jc w:val="both"/>
        <w:rPr>
          <w:rFonts w:ascii="Arial" w:hAnsi="Arial" w:eastAsia="Arial" w:cs="Arial"/>
        </w:rPr>
      </w:pPr>
      <w:r>
        <w:rPr>
          <w:rFonts w:ascii="Arial" w:hAnsi="Arial" w:eastAsia="Arial" w:cs="Arial"/>
          <w:b/>
        </w:rPr>
        <w:t xml:space="preserve">5.1.1. </w:t>
      </w:r>
      <w:r>
        <w:rPr>
          <w:rFonts w:ascii="Arial" w:hAnsi="Arial" w:eastAsia="Arial" w:cs="Arial"/>
        </w:rPr>
        <w:t>A presente ARP é para suprir demandas dos órgãos e entidades municipais, abaixo citados:</w:t>
      </w:r>
    </w:p>
    <w:p w14:paraId="318DC180">
      <w:pPr>
        <w:widowControl w:val="0"/>
        <w:tabs>
          <w:tab w:val="center" w:pos="4779"/>
          <w:tab w:val="right" w:pos="9198"/>
        </w:tabs>
        <w:jc w:val="both"/>
        <w:rPr>
          <w:rFonts w:ascii="Arial" w:hAnsi="Arial" w:eastAsia="Arial" w:cs="Arial"/>
        </w:rPr>
      </w:pPr>
    </w:p>
    <w:tbl>
      <w:tblPr>
        <w:tblStyle w:val="12"/>
        <w:tblW w:w="9918" w:type="dxa"/>
        <w:jc w:val="center"/>
        <w:tblLayout w:type="fixed"/>
        <w:tblCellMar>
          <w:top w:w="0" w:type="dxa"/>
          <w:left w:w="108" w:type="dxa"/>
          <w:bottom w:w="0" w:type="dxa"/>
          <w:right w:w="108" w:type="dxa"/>
        </w:tblCellMar>
      </w:tblPr>
      <w:tblGrid>
        <w:gridCol w:w="5564"/>
        <w:gridCol w:w="4354"/>
      </w:tblGrid>
      <w:tr w14:paraId="0B84E72B">
        <w:tblPrEx>
          <w:tblCellMar>
            <w:top w:w="0" w:type="dxa"/>
            <w:left w:w="108" w:type="dxa"/>
            <w:bottom w:w="0" w:type="dxa"/>
            <w:right w:w="108" w:type="dxa"/>
          </w:tblCellMar>
        </w:tblPrEx>
        <w:trPr>
          <w:trHeight w:val="438" w:hRule="atLeast"/>
          <w:jc w:val="center"/>
        </w:trPr>
        <w:tc>
          <w:tcPr>
            <w:tcW w:w="556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451FDF">
            <w:pPr>
              <w:widowControl w:val="0"/>
              <w:jc w:val="both"/>
              <w:rPr>
                <w:rFonts w:ascii="Arial" w:hAnsi="Arial" w:eastAsia="Arial" w:cs="Arial"/>
              </w:rPr>
            </w:pPr>
            <w:bookmarkStart w:id="60" w:name="_heading=h.7l62t8o2fh6h"/>
            <w:bookmarkEnd w:id="60"/>
            <w:r>
              <w:rPr>
                <w:rFonts w:ascii="Arial" w:hAnsi="Arial" w:eastAsia="Arial" w:cs="Arial"/>
                <w:b/>
                <w:color w:val="000000"/>
              </w:rPr>
              <w:t>Área requisitante</w:t>
            </w:r>
          </w:p>
        </w:tc>
        <w:tc>
          <w:tcPr>
            <w:tcW w:w="4354"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E475B8">
            <w:pPr>
              <w:widowControl w:val="0"/>
              <w:jc w:val="both"/>
              <w:rPr>
                <w:rFonts w:ascii="Arial" w:hAnsi="Arial" w:eastAsia="Arial" w:cs="Arial"/>
              </w:rPr>
            </w:pPr>
            <w:r>
              <w:rPr>
                <w:rFonts w:ascii="Arial" w:hAnsi="Arial" w:eastAsia="Arial" w:cs="Arial"/>
                <w:b/>
                <w:color w:val="000000"/>
              </w:rPr>
              <w:t>Responsável</w:t>
            </w:r>
          </w:p>
        </w:tc>
      </w:tr>
      <w:tr w14:paraId="65C45660">
        <w:tblPrEx>
          <w:tblCellMar>
            <w:top w:w="0" w:type="dxa"/>
            <w:left w:w="108" w:type="dxa"/>
            <w:bottom w:w="0" w:type="dxa"/>
            <w:right w:w="108" w:type="dxa"/>
          </w:tblCellMar>
        </w:tblPrEx>
        <w:trPr>
          <w:trHeight w:val="329" w:hRule="atLeast"/>
          <w:jc w:val="center"/>
        </w:trPr>
        <w:tc>
          <w:tcPr>
            <w:tcW w:w="556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A50F80">
            <w:pPr>
              <w:widowControl w:val="0"/>
              <w:jc w:val="both"/>
              <w:rPr>
                <w:rFonts w:ascii="Arial" w:hAnsi="Arial" w:eastAsia="Arial" w:cs="Arial"/>
              </w:rPr>
            </w:pPr>
            <w:r>
              <w:rPr>
                <w:rFonts w:ascii="Arial" w:hAnsi="Arial" w:eastAsia="Arial" w:cs="Arial"/>
                <w:color w:val="000000"/>
              </w:rPr>
              <w:t>Secretaria Municipal de Educação, Cultura, Esporte e Lazer</w:t>
            </w:r>
          </w:p>
        </w:tc>
        <w:tc>
          <w:tcPr>
            <w:tcW w:w="4354"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5061CA">
            <w:pPr>
              <w:widowControl w:val="0"/>
              <w:jc w:val="both"/>
              <w:rPr>
                <w:rFonts w:ascii="Arial" w:hAnsi="Arial" w:eastAsia="Arial" w:cs="Arial"/>
              </w:rPr>
            </w:pPr>
            <w:r>
              <w:rPr>
                <w:rFonts w:ascii="Arial" w:hAnsi="Arial" w:eastAsia="Arial" w:cs="Arial"/>
                <w:color w:val="000000"/>
              </w:rPr>
              <w:t>Carlos Alberto Pereira Júnior</w:t>
            </w:r>
          </w:p>
        </w:tc>
      </w:tr>
    </w:tbl>
    <w:p w14:paraId="38329278">
      <w:pPr>
        <w:jc w:val="both"/>
        <w:rPr>
          <w:rFonts w:ascii="Arial" w:hAnsi="Arial" w:eastAsia="Arial" w:cs="Arial"/>
          <w:b/>
          <w:color w:val="FF0000"/>
        </w:rPr>
      </w:pPr>
    </w:p>
    <w:p w14:paraId="0729C729">
      <w:pPr>
        <w:jc w:val="both"/>
        <w:rPr>
          <w:rFonts w:ascii="Arial" w:hAnsi="Arial" w:eastAsia="Arial" w:cs="Arial"/>
          <w:b/>
        </w:rPr>
      </w:pPr>
      <w:r>
        <w:rPr>
          <w:rFonts w:ascii="Arial" w:hAnsi="Arial" w:eastAsia="Arial" w:cs="Arial"/>
          <w:b/>
        </w:rPr>
        <w:t>5.2. DA(S) DOTAÇÃO(ÕES) ORÇAMENTÁRIA(S):</w:t>
      </w:r>
    </w:p>
    <w:p w14:paraId="68CA20E5">
      <w:pPr>
        <w:jc w:val="both"/>
        <w:rPr>
          <w:rFonts w:ascii="Arial" w:hAnsi="Arial" w:eastAsia="Arial" w:cs="Arial"/>
          <w:b/>
        </w:rPr>
      </w:pPr>
    </w:p>
    <w:p w14:paraId="2D5CE974">
      <w:pPr>
        <w:jc w:val="both"/>
        <w:rPr>
          <w:rFonts w:ascii="Arial" w:hAnsi="Arial" w:eastAsia="Arial" w:cs="Arial"/>
          <w:b/>
        </w:rPr>
      </w:pPr>
      <w:r>
        <w:rPr>
          <w:rFonts w:ascii="Arial" w:hAnsi="Arial" w:eastAsia="Arial" w:cs="Arial"/>
          <w:b/>
        </w:rPr>
        <w:t xml:space="preserve">5.2.1. </w:t>
      </w:r>
      <w:r>
        <w:rPr>
          <w:rFonts w:ascii="Arial" w:hAnsi="Arial" w:eastAsia="Arial" w:cs="Arial"/>
        </w:rPr>
        <w:t>Na licitação para registro de preços não é necessário indicar a dotação orçamentária ou qualquer outra informação da origem dos recursos orçamentários, que somente serão exigidas para a formalização do contrato ou outro instrumento hábil. (Art. 299, §2º do Decreto Municipal 11.685/2023)</w:t>
      </w:r>
    </w:p>
    <w:p w14:paraId="6074CF12">
      <w:pPr>
        <w:jc w:val="both"/>
        <w:rPr>
          <w:rFonts w:ascii="Arial" w:hAnsi="Arial" w:eastAsia="Arial" w:cs="Arial"/>
          <w:b/>
        </w:rPr>
      </w:pPr>
    </w:p>
    <w:p w14:paraId="7C38CDC3">
      <w:pPr>
        <w:jc w:val="both"/>
        <w:rPr>
          <w:rFonts w:ascii="Arial" w:hAnsi="Arial" w:eastAsia="Arial" w:cs="Arial"/>
          <w:b/>
        </w:rPr>
      </w:pPr>
      <w:r>
        <w:rPr>
          <w:rFonts w:ascii="Arial" w:hAnsi="Arial" w:eastAsia="Arial" w:cs="Arial"/>
          <w:b/>
        </w:rPr>
        <w:t>CLÁUSULA SEXTA – DO SISTEMA DO REGISTRO DE PREÇOS:</w:t>
      </w:r>
    </w:p>
    <w:p w14:paraId="2A3AA515">
      <w:pPr>
        <w:jc w:val="both"/>
        <w:rPr>
          <w:rFonts w:ascii="Arial" w:hAnsi="Arial" w:eastAsia="Arial" w:cs="Arial"/>
        </w:rPr>
      </w:pPr>
    </w:p>
    <w:p w14:paraId="26DBD831">
      <w:pPr>
        <w:jc w:val="both"/>
        <w:rPr>
          <w:rFonts w:ascii="Arial" w:hAnsi="Arial" w:eastAsia="Arial" w:cs="Arial"/>
        </w:rPr>
      </w:pPr>
      <w:r>
        <w:rPr>
          <w:rFonts w:ascii="Arial" w:hAnsi="Arial" w:eastAsia="Arial" w:cs="Arial"/>
          <w:b/>
        </w:rPr>
        <w:t>6.1.</w:t>
      </w:r>
      <w:r>
        <w:rPr>
          <w:rFonts w:ascii="Arial" w:hAnsi="Arial" w:eastAsia="Arial" w:cs="Arial"/>
        </w:rPr>
        <w:t xml:space="preserve"> O Sistema de Registro de Preços regula-se pelas normas e procedimentos previstos na Lei Federal nº 14.133/21, no Decreto Municipal n° 11.685/2023 e nas demais normas complementares.</w:t>
      </w:r>
    </w:p>
    <w:p w14:paraId="5B01A72A">
      <w:pPr>
        <w:jc w:val="both"/>
        <w:rPr>
          <w:rFonts w:ascii="Arial" w:hAnsi="Arial" w:eastAsia="Arial" w:cs="Arial"/>
        </w:rPr>
      </w:pPr>
    </w:p>
    <w:p w14:paraId="6976EE84">
      <w:pPr>
        <w:jc w:val="both"/>
        <w:rPr>
          <w:rFonts w:ascii="Arial" w:hAnsi="Arial" w:eastAsia="Arial" w:cs="Arial"/>
        </w:rPr>
      </w:pPr>
      <w:bookmarkStart w:id="61" w:name="_heading=h.2as799lsyima"/>
      <w:bookmarkEnd w:id="61"/>
      <w:r>
        <w:rPr>
          <w:rFonts w:ascii="Arial" w:hAnsi="Arial" w:eastAsia="Arial" w:cs="Arial"/>
          <w:b/>
        </w:rPr>
        <w:t>6.2.</w:t>
      </w:r>
      <w:r>
        <w:rPr>
          <w:rFonts w:ascii="Arial" w:hAnsi="Arial" w:eastAsia="Arial" w:cs="Arial"/>
        </w:rPr>
        <w:t xml:space="preserve"> Uma vez registrados o(s) preço(s), a Administração poderá convocar o Detentor a prestar os serviços respectivo(s), na forma e condições fixadas no edital, anexos e nesta ARP.</w:t>
      </w:r>
    </w:p>
    <w:p w14:paraId="12A92C40">
      <w:pPr>
        <w:jc w:val="both"/>
        <w:rPr>
          <w:rFonts w:ascii="Arial" w:hAnsi="Arial" w:eastAsia="Arial" w:cs="Arial"/>
        </w:rPr>
      </w:pPr>
    </w:p>
    <w:p w14:paraId="7F13551C">
      <w:pPr>
        <w:jc w:val="both"/>
        <w:rPr>
          <w:rFonts w:ascii="Arial" w:hAnsi="Arial" w:eastAsia="Arial" w:cs="Arial"/>
        </w:rPr>
      </w:pPr>
      <w:r>
        <w:rPr>
          <w:rFonts w:ascii="Arial" w:hAnsi="Arial" w:eastAsia="Arial" w:cs="Arial"/>
          <w:b/>
        </w:rPr>
        <w:t>6.3.</w:t>
      </w:r>
      <w:r>
        <w:rPr>
          <w:rFonts w:ascii="Arial" w:hAnsi="Arial" w:eastAsia="Arial" w:cs="Arial"/>
        </w:rPr>
        <w:t xml:space="preserve"> A existência de preço(s) registrado(s) implicará compromisso de fornecimento nas condições estabelecidas no instrumento convocatório e na sua proposta, mas não obrigará a contratação, facultada a realização de licitação específica para a prestação de serviços pretendida, desde que devidamente motivada.</w:t>
      </w:r>
    </w:p>
    <w:p w14:paraId="23B5066A">
      <w:pPr>
        <w:jc w:val="both"/>
        <w:rPr>
          <w:rFonts w:ascii="Arial" w:hAnsi="Arial" w:eastAsia="Arial" w:cs="Arial"/>
        </w:rPr>
      </w:pPr>
    </w:p>
    <w:p w14:paraId="72C3D211">
      <w:pPr>
        <w:jc w:val="both"/>
        <w:rPr>
          <w:rFonts w:ascii="Arial" w:hAnsi="Arial" w:eastAsia="Arial" w:cs="Arial"/>
        </w:rPr>
      </w:pPr>
      <w:r>
        <w:rPr>
          <w:rFonts w:ascii="Arial" w:hAnsi="Arial" w:eastAsia="Arial" w:cs="Arial"/>
          <w:b/>
        </w:rPr>
        <w:t>6.4.</w:t>
      </w:r>
      <w:r>
        <w:rPr>
          <w:rFonts w:ascii="Arial" w:hAnsi="Arial" w:eastAsia="Arial" w:cs="Arial"/>
        </w:rPr>
        <w:t xml:space="preserve"> É vedada a prestação do(s) serviço(s) por valor(es) superior(es) ao(s) registrado(s) vigente(s).</w:t>
      </w:r>
    </w:p>
    <w:p w14:paraId="5D5ED3E7">
      <w:pPr>
        <w:jc w:val="both"/>
        <w:rPr>
          <w:rFonts w:ascii="Arial" w:hAnsi="Arial" w:eastAsia="Arial" w:cs="Arial"/>
        </w:rPr>
      </w:pPr>
    </w:p>
    <w:p w14:paraId="19F43D55">
      <w:pPr>
        <w:jc w:val="both"/>
        <w:rPr>
          <w:rFonts w:ascii="Arial" w:hAnsi="Arial" w:eastAsia="Arial" w:cs="Arial"/>
        </w:rPr>
      </w:pPr>
      <w:r>
        <w:rPr>
          <w:rFonts w:ascii="Arial" w:hAnsi="Arial" w:eastAsia="Arial" w:cs="Arial"/>
          <w:b/>
        </w:rPr>
        <w:t>6.5.</w:t>
      </w:r>
      <w:r>
        <w:rPr>
          <w:rFonts w:ascii="Arial" w:hAnsi="Arial" w:eastAsia="Arial" w:cs="Arial"/>
        </w:rPr>
        <w:t xml:space="preserve"> O Detentor fica obrigado a atender a todos os pedidos de fornecimento efetuados durante a vigência do Registro de Preços.</w:t>
      </w:r>
    </w:p>
    <w:p w14:paraId="49E19562">
      <w:pPr>
        <w:jc w:val="both"/>
        <w:rPr>
          <w:rFonts w:ascii="Arial" w:hAnsi="Arial" w:eastAsia="Arial" w:cs="Arial"/>
        </w:rPr>
      </w:pPr>
    </w:p>
    <w:p w14:paraId="6E2CB095">
      <w:pPr>
        <w:jc w:val="both"/>
        <w:rPr>
          <w:rFonts w:ascii="Arial" w:hAnsi="Arial" w:eastAsia="Arial" w:cs="Arial"/>
        </w:rPr>
      </w:pPr>
      <w:r>
        <w:rPr>
          <w:rFonts w:ascii="Arial" w:hAnsi="Arial" w:eastAsia="Arial" w:cs="Arial"/>
          <w:b/>
        </w:rPr>
        <w:t>6.6</w:t>
      </w:r>
      <w:r>
        <w:rPr>
          <w:rFonts w:ascii="Arial" w:hAnsi="Arial" w:eastAsia="Arial" w:cs="Arial"/>
        </w:rPr>
        <w:t>. O Detentor deverá garantir a qualidade do(s) produto(s) entregue(s) mesmo após o vencimento da ARP.</w:t>
      </w:r>
    </w:p>
    <w:p w14:paraId="437F381E">
      <w:pPr>
        <w:jc w:val="both"/>
        <w:rPr>
          <w:rFonts w:ascii="Arial" w:hAnsi="Arial" w:eastAsia="Arial" w:cs="Arial"/>
        </w:rPr>
      </w:pPr>
    </w:p>
    <w:p w14:paraId="0298B7A3">
      <w:pPr>
        <w:jc w:val="both"/>
        <w:rPr>
          <w:rFonts w:ascii="Arial" w:hAnsi="Arial" w:eastAsia="Arial" w:cs="Arial"/>
          <w:b/>
        </w:rPr>
      </w:pPr>
      <w:r>
        <w:rPr>
          <w:rFonts w:ascii="Arial" w:hAnsi="Arial" w:eastAsia="Arial" w:cs="Arial"/>
          <w:b/>
        </w:rPr>
        <w:t>CLÁUSULA SÉTIMA – DA EXECUÇÃO DA ATA:</w:t>
      </w:r>
    </w:p>
    <w:p w14:paraId="37C9886F">
      <w:pPr>
        <w:jc w:val="both"/>
        <w:rPr>
          <w:rFonts w:ascii="Arial" w:hAnsi="Arial" w:eastAsia="Arial" w:cs="Arial"/>
        </w:rPr>
      </w:pPr>
    </w:p>
    <w:p w14:paraId="4983E836">
      <w:pPr>
        <w:jc w:val="both"/>
        <w:rPr>
          <w:rFonts w:ascii="Arial" w:hAnsi="Arial" w:eastAsia="Arial" w:cs="Arial"/>
        </w:rPr>
      </w:pPr>
      <w:r>
        <w:rPr>
          <w:rFonts w:ascii="Arial" w:hAnsi="Arial" w:eastAsia="Arial" w:cs="Arial"/>
          <w:b/>
        </w:rPr>
        <w:t>7.1.</w:t>
      </w:r>
      <w:r>
        <w:rPr>
          <w:rFonts w:ascii="Arial" w:hAnsi="Arial" w:eastAsia="Arial" w:cs="Arial"/>
        </w:rPr>
        <w:t xml:space="preserve"> A contratação do objeto licitado será efetivada mediante formalização de contrato, vinculado à presente Ata de Registro de Preços e em conformidade com a legislação pertinente, bem como Decreto Municipal nº 11.685/2023.</w:t>
      </w:r>
    </w:p>
    <w:p w14:paraId="647040F2">
      <w:pPr>
        <w:jc w:val="both"/>
        <w:rPr>
          <w:rFonts w:ascii="Arial" w:hAnsi="Arial" w:eastAsia="Arial" w:cs="Arial"/>
        </w:rPr>
      </w:pPr>
      <w:r>
        <w:rPr>
          <w:rFonts w:ascii="Arial" w:hAnsi="Arial" w:eastAsia="Arial" w:cs="Arial"/>
          <w:b/>
        </w:rPr>
        <w:t>7.2.</w:t>
      </w:r>
      <w:r>
        <w:rPr>
          <w:rFonts w:ascii="Arial" w:hAnsi="Arial" w:eastAsia="Arial" w:cs="Arial"/>
        </w:rPr>
        <w:t xml:space="preserve"> Após autorização, a Gerência ................. ou equivalente de cada um dos Órgãos Participantes do Registro encaminhará Nota de Empenho ou outro instrumento equivalente ao Detentor da ARP, via e-mail ou outro meio de comunicação eficaz.</w:t>
      </w:r>
    </w:p>
    <w:p w14:paraId="4178823E">
      <w:pPr>
        <w:jc w:val="both"/>
        <w:rPr>
          <w:rFonts w:ascii="Arial" w:hAnsi="Arial" w:eastAsia="Arial" w:cs="Arial"/>
        </w:rPr>
      </w:pPr>
      <w:r>
        <w:rPr>
          <w:rFonts w:ascii="Arial" w:hAnsi="Arial" w:eastAsia="Arial" w:cs="Arial"/>
          <w:b/>
        </w:rPr>
        <w:t>7.2.1.</w:t>
      </w:r>
      <w:r>
        <w:rPr>
          <w:rFonts w:ascii="Arial" w:hAnsi="Arial" w:eastAsia="Arial" w:cs="Arial"/>
        </w:rPr>
        <w:t xml:space="preserve"> A comprovação de que o Detentor recebeu a Nota de Empenho ou outro instrumento equivalente deverá ocorrer via e-mail ou outro meio de comunicação eficaz.</w:t>
      </w:r>
    </w:p>
    <w:p w14:paraId="472967CE">
      <w:pPr>
        <w:jc w:val="both"/>
        <w:rPr>
          <w:rFonts w:ascii="Arial" w:hAnsi="Arial" w:eastAsia="Arial" w:cs="Arial"/>
        </w:rPr>
      </w:pPr>
    </w:p>
    <w:p w14:paraId="1A80172A">
      <w:pPr>
        <w:jc w:val="both"/>
        <w:rPr>
          <w:rFonts w:ascii="Arial" w:hAnsi="Arial" w:eastAsia="Arial" w:cs="Arial"/>
        </w:rPr>
      </w:pPr>
      <w:r>
        <w:rPr>
          <w:rFonts w:ascii="Arial" w:hAnsi="Arial" w:eastAsia="Arial" w:cs="Arial"/>
          <w:b/>
        </w:rPr>
        <w:t>7.3.</w:t>
      </w:r>
      <w:r>
        <w:rPr>
          <w:rFonts w:ascii="Arial" w:hAnsi="Arial" w:eastAsia="Arial" w:cs="Arial"/>
        </w:rPr>
        <w:t xml:space="preserve"> Na hipótese de as Gerências ................. não conseguirem um meio eficaz para envio da Nota de Empenho ou outro instrumento equivalente ao Detentor, deverá ser publicado um aviso no Diário Oficial do Município - DIORONDON, para que o Detentor retire a Nota de Empenho ou outro instrumento hábil no prazo máximo de 03 (três) dias úteis contados da convocação.</w:t>
      </w:r>
    </w:p>
    <w:p w14:paraId="3F056B1E">
      <w:pPr>
        <w:jc w:val="both"/>
        <w:rPr>
          <w:rFonts w:ascii="Arial" w:hAnsi="Arial" w:eastAsia="Arial" w:cs="Arial"/>
        </w:rPr>
      </w:pPr>
    </w:p>
    <w:p w14:paraId="4DEB34F7">
      <w:pPr>
        <w:jc w:val="both"/>
        <w:rPr>
          <w:rFonts w:ascii="Arial" w:hAnsi="Arial" w:eastAsia="Arial" w:cs="Arial"/>
        </w:rPr>
      </w:pPr>
      <w:r>
        <w:rPr>
          <w:rFonts w:ascii="Arial" w:hAnsi="Arial" w:eastAsia="Arial" w:cs="Arial"/>
          <w:b/>
        </w:rPr>
        <w:t>7.4.</w:t>
      </w:r>
      <w:r>
        <w:rPr>
          <w:rFonts w:ascii="Arial" w:hAnsi="Arial" w:eastAsia="Arial" w:cs="Arial"/>
        </w:rPr>
        <w:t xml:space="preserve"> A critério da Gerência solicitante, quando se fizer necessária a verificação da qualidade e do atendimento às legislações específicas pertinentes, a Administração determinará as análises necessárias e prazos para a entrega do(s) produto(s), com ônus para o Detentor, ficando suspenso o pagamento da Nota Fiscal/Fatura correspondente.</w:t>
      </w:r>
    </w:p>
    <w:p w14:paraId="535BC41E">
      <w:pPr>
        <w:jc w:val="both"/>
        <w:rPr>
          <w:rFonts w:ascii="Arial" w:hAnsi="Arial" w:eastAsia="Arial" w:cs="Arial"/>
          <w:b/>
        </w:rPr>
      </w:pPr>
    </w:p>
    <w:p w14:paraId="027F8B51">
      <w:pPr>
        <w:jc w:val="both"/>
        <w:rPr>
          <w:rFonts w:ascii="Arial" w:hAnsi="Arial" w:eastAsia="Arial" w:cs="Arial"/>
          <w:b/>
        </w:rPr>
      </w:pPr>
      <w:r>
        <w:rPr>
          <w:rFonts w:ascii="Arial" w:hAnsi="Arial" w:eastAsia="Arial" w:cs="Arial"/>
          <w:b/>
        </w:rPr>
        <w:t>CLÁUSULA OITAVA – DOS PRAZOS, CONDIÇÕES DE ENTREGA, ACONDICIONAMENTO E TRANSPORTE</w:t>
      </w:r>
    </w:p>
    <w:p w14:paraId="721062C9">
      <w:pPr>
        <w:jc w:val="both"/>
        <w:rPr>
          <w:rFonts w:ascii="Arial" w:hAnsi="Arial" w:eastAsia="Arial" w:cs="Arial"/>
        </w:rPr>
      </w:pPr>
    </w:p>
    <w:p w14:paraId="79AABA58">
      <w:pPr>
        <w:jc w:val="both"/>
        <w:rPr>
          <w:rFonts w:ascii="Arial" w:hAnsi="Arial" w:eastAsia="Arial" w:cs="Arial"/>
        </w:rPr>
      </w:pPr>
      <w:r>
        <w:rPr>
          <w:rFonts w:ascii="Arial" w:hAnsi="Arial" w:eastAsia="Arial" w:cs="Arial"/>
          <w:b/>
        </w:rPr>
        <w:t>8.1.</w:t>
      </w:r>
      <w:r>
        <w:rPr>
          <w:rFonts w:ascii="Arial" w:hAnsi="Arial" w:eastAsia="Arial" w:cs="Arial"/>
        </w:rPr>
        <w:t xml:space="preserve"> As regras referentes aos prazos, condições de entrega, acondimento, transporte e os locais de entrega, constam no Termo de Referência. </w:t>
      </w:r>
    </w:p>
    <w:p w14:paraId="25BBC685">
      <w:pPr>
        <w:jc w:val="both"/>
        <w:rPr>
          <w:rFonts w:ascii="Arial" w:hAnsi="Arial" w:eastAsia="Arial" w:cs="Arial"/>
          <w:b/>
        </w:rPr>
      </w:pPr>
    </w:p>
    <w:p w14:paraId="2FBB9C3B">
      <w:pPr>
        <w:jc w:val="both"/>
        <w:rPr>
          <w:rFonts w:ascii="Arial" w:hAnsi="Arial" w:eastAsia="Arial" w:cs="Arial"/>
          <w:b/>
        </w:rPr>
      </w:pPr>
      <w:r>
        <w:rPr>
          <w:rFonts w:ascii="Arial" w:hAnsi="Arial" w:eastAsia="Arial" w:cs="Arial"/>
          <w:b/>
        </w:rPr>
        <w:t>CLÁUSULA NONA – DA PRESTAÇÃO DOS SERVIÇOS</w:t>
      </w:r>
    </w:p>
    <w:p w14:paraId="4B655AF3">
      <w:pPr>
        <w:jc w:val="both"/>
        <w:rPr>
          <w:rFonts w:ascii="Arial" w:hAnsi="Arial" w:eastAsia="Arial" w:cs="Arial"/>
        </w:rPr>
      </w:pPr>
    </w:p>
    <w:p w14:paraId="0A5EFC1D">
      <w:pPr>
        <w:jc w:val="both"/>
        <w:rPr>
          <w:rFonts w:ascii="Arial" w:hAnsi="Arial" w:eastAsia="Arial" w:cs="Arial"/>
        </w:rPr>
      </w:pPr>
      <w:r>
        <w:rPr>
          <w:rFonts w:ascii="Arial" w:hAnsi="Arial" w:eastAsia="Arial" w:cs="Arial"/>
          <w:b/>
        </w:rPr>
        <w:t>9.1.</w:t>
      </w:r>
      <w:r>
        <w:rPr>
          <w:rFonts w:ascii="Arial" w:hAnsi="Arial" w:eastAsia="Arial" w:cs="Arial"/>
        </w:rPr>
        <w:t xml:space="preserve"> As regras referentes à prestação do(s) serviço(s) constam no Termo de Referência.</w:t>
      </w:r>
    </w:p>
    <w:p w14:paraId="78FAA439">
      <w:pPr>
        <w:jc w:val="both"/>
        <w:rPr>
          <w:rFonts w:ascii="Arial" w:hAnsi="Arial" w:eastAsia="Arial" w:cs="Arial"/>
        </w:rPr>
      </w:pPr>
    </w:p>
    <w:p w14:paraId="427B07AF">
      <w:pPr>
        <w:jc w:val="both"/>
        <w:rPr>
          <w:rFonts w:ascii="Arial" w:hAnsi="Arial" w:eastAsia="Arial" w:cs="Arial"/>
          <w:b/>
        </w:rPr>
      </w:pPr>
      <w:r>
        <w:rPr>
          <w:rFonts w:ascii="Arial" w:hAnsi="Arial" w:eastAsia="Arial" w:cs="Arial"/>
          <w:b/>
        </w:rPr>
        <w:t>CLÁUSULA DÉCIMA – DAS CONDIÇÕES DE PAGAMENTO:</w:t>
      </w:r>
    </w:p>
    <w:p w14:paraId="04E28A7C">
      <w:pPr>
        <w:jc w:val="both"/>
        <w:rPr>
          <w:rFonts w:ascii="Arial" w:hAnsi="Arial" w:eastAsia="Arial" w:cs="Arial"/>
        </w:rPr>
      </w:pPr>
    </w:p>
    <w:p w14:paraId="01E77C96">
      <w:pPr>
        <w:jc w:val="both"/>
        <w:rPr>
          <w:rFonts w:ascii="Arial" w:hAnsi="Arial" w:eastAsia="Arial" w:cs="Arial"/>
        </w:rPr>
      </w:pPr>
      <w:r>
        <w:rPr>
          <w:rFonts w:ascii="Arial" w:hAnsi="Arial" w:eastAsia="Arial" w:cs="Arial"/>
          <w:b/>
        </w:rPr>
        <w:t>10.1.</w:t>
      </w:r>
      <w:r>
        <w:rPr>
          <w:rFonts w:ascii="Arial" w:hAnsi="Arial" w:eastAsia="Arial" w:cs="Arial"/>
        </w:rPr>
        <w:t xml:space="preserve"> As regras referentes às condições de pagamento constam no Termo de Referência.</w:t>
      </w:r>
    </w:p>
    <w:p w14:paraId="28A32930">
      <w:pPr>
        <w:jc w:val="both"/>
        <w:rPr>
          <w:rFonts w:ascii="Arial" w:hAnsi="Arial" w:eastAsia="Arial" w:cs="Arial"/>
        </w:rPr>
      </w:pPr>
    </w:p>
    <w:p w14:paraId="166FCDBD">
      <w:pPr>
        <w:jc w:val="both"/>
        <w:rPr>
          <w:rFonts w:ascii="Arial" w:hAnsi="Arial" w:eastAsia="Arial" w:cs="Arial"/>
          <w:b/>
        </w:rPr>
      </w:pPr>
      <w:r>
        <w:rPr>
          <w:rFonts w:ascii="Arial" w:hAnsi="Arial" w:eastAsia="Arial" w:cs="Arial"/>
          <w:b/>
        </w:rPr>
        <w:t>CLÁUSULA DÉCIMA PRIMEIRA – DA ALTERAÇÃO DE MARCA E DE PREÇO:</w:t>
      </w:r>
    </w:p>
    <w:p w14:paraId="5A349816">
      <w:pPr>
        <w:jc w:val="both"/>
        <w:rPr>
          <w:b/>
        </w:rPr>
      </w:pPr>
    </w:p>
    <w:p w14:paraId="2EBB6853">
      <w:pPr>
        <w:jc w:val="both"/>
      </w:pPr>
      <w:r>
        <w:rPr>
          <w:rFonts w:ascii="Arial" w:hAnsi="Arial" w:eastAsia="Arial" w:cs="Arial"/>
          <w:b/>
        </w:rPr>
        <w:t>11.1.</w:t>
      </w:r>
      <w:r>
        <w:rPr>
          <w:rFonts w:ascii="Arial" w:hAnsi="Arial" w:eastAsia="Arial" w:cs="Arial"/>
        </w:rPr>
        <w:t xml:space="preserve">  A ARP poderá ser alterada mediante a substituição de marca nas seguintes condições:</w:t>
      </w:r>
    </w:p>
    <w:p w14:paraId="669DF3F1">
      <w:pPr>
        <w:jc w:val="both"/>
        <w:rPr>
          <w:rFonts w:ascii="Arial" w:hAnsi="Arial" w:eastAsia="Arial" w:cs="Arial"/>
        </w:rPr>
      </w:pPr>
      <w:r>
        <w:t> </w:t>
      </w:r>
    </w:p>
    <w:p w14:paraId="54A462CE">
      <w:pPr>
        <w:jc w:val="both"/>
        <w:rPr>
          <w:rFonts w:ascii="Arial" w:hAnsi="Arial" w:eastAsia="Arial" w:cs="Arial"/>
        </w:rPr>
      </w:pPr>
      <w:r>
        <w:rPr>
          <w:rFonts w:ascii="Arial" w:hAnsi="Arial" w:eastAsia="Arial" w:cs="Arial"/>
          <w:b/>
        </w:rPr>
        <w:t xml:space="preserve">I </w:t>
      </w:r>
      <w:r>
        <w:rPr>
          <w:rFonts w:ascii="Arial" w:hAnsi="Arial" w:eastAsia="Arial" w:cs="Arial"/>
        </w:rPr>
        <w:t>- Por solicitação do Órgão ou da Entidade Gerenciadora, se comprovado que a marca não mais atende às especificações exigidas ou se encontra fora da legislação aplicável;</w:t>
      </w:r>
    </w:p>
    <w:p w14:paraId="416F5526">
      <w:pPr>
        <w:jc w:val="both"/>
        <w:rPr>
          <w:rFonts w:ascii="Arial" w:hAnsi="Arial" w:eastAsia="Arial" w:cs="Arial"/>
        </w:rPr>
      </w:pPr>
    </w:p>
    <w:p w14:paraId="67226440">
      <w:pPr>
        <w:jc w:val="both"/>
        <w:rPr>
          <w:rFonts w:ascii="Arial" w:hAnsi="Arial" w:eastAsia="Arial" w:cs="Arial"/>
        </w:rPr>
      </w:pPr>
      <w:r>
        <w:rPr>
          <w:rFonts w:ascii="Arial" w:hAnsi="Arial" w:eastAsia="Arial" w:cs="Arial"/>
          <w:b/>
        </w:rPr>
        <w:t>II</w:t>
      </w:r>
      <w:r>
        <w:rPr>
          <w:rFonts w:ascii="Arial" w:hAnsi="Arial" w:eastAsia="Arial" w:cs="Arial"/>
        </w:rPr>
        <w:t xml:space="preserve"> - Por requerimento do Detentor, que deve ser apreciado pelo Órgão ou Entidade Gerenciadora, em hipótese que comprove a impossibilidade de fornecimento.</w:t>
      </w:r>
    </w:p>
    <w:p w14:paraId="2D6CD619">
      <w:pPr>
        <w:jc w:val="both"/>
        <w:rPr>
          <w:rFonts w:ascii="Arial" w:hAnsi="Arial" w:eastAsia="Arial" w:cs="Arial"/>
        </w:rPr>
      </w:pPr>
      <w:r>
        <w:t> </w:t>
      </w:r>
    </w:p>
    <w:p w14:paraId="435E57AC">
      <w:pPr>
        <w:jc w:val="both"/>
        <w:rPr>
          <w:rFonts w:ascii="Arial" w:hAnsi="Arial" w:eastAsia="Arial" w:cs="Arial"/>
        </w:rPr>
      </w:pPr>
      <w:r>
        <w:rPr>
          <w:rFonts w:ascii="Arial" w:hAnsi="Arial" w:eastAsia="Arial" w:cs="Arial"/>
          <w:b/>
        </w:rPr>
        <w:t>11.1.1.</w:t>
      </w:r>
      <w:r>
        <w:rPr>
          <w:rFonts w:ascii="Arial" w:hAnsi="Arial" w:eastAsia="Arial" w:cs="Arial"/>
        </w:rPr>
        <w:t xml:space="preserve"> O Órgão ou Entidade Gerenciadora somente poderá aquiescer com a substituição requerida pelo Detentor se comprovadamente houver igualdade de condições ou vantagem para o interesse público.</w:t>
      </w:r>
    </w:p>
    <w:p w14:paraId="15562C1E">
      <w:pPr>
        <w:jc w:val="both"/>
        <w:rPr>
          <w:rFonts w:ascii="Arial" w:hAnsi="Arial" w:eastAsia="Arial" w:cs="Arial"/>
          <w:b/>
        </w:rPr>
      </w:pPr>
    </w:p>
    <w:p w14:paraId="25E72B14">
      <w:pPr>
        <w:jc w:val="both"/>
        <w:rPr>
          <w:rFonts w:ascii="Arial" w:hAnsi="Arial" w:eastAsia="Arial" w:cs="Arial"/>
        </w:rPr>
      </w:pPr>
      <w:r>
        <w:rPr>
          <w:rFonts w:ascii="Arial" w:hAnsi="Arial" w:eastAsia="Arial" w:cs="Arial"/>
          <w:b/>
        </w:rPr>
        <w:t>11.1.2.</w:t>
      </w:r>
      <w:r>
        <w:rPr>
          <w:rFonts w:ascii="Arial" w:hAnsi="Arial" w:eastAsia="Arial" w:cs="Arial"/>
        </w:rPr>
        <w:t xml:space="preserve"> A substituição de marca implicará em nova análise do produto, conforme previsto no edital, anexos e na legislação aplicável. </w:t>
      </w:r>
    </w:p>
    <w:p w14:paraId="306C703D">
      <w:pPr>
        <w:jc w:val="both"/>
        <w:rPr>
          <w:rFonts w:ascii="Arial" w:hAnsi="Arial" w:eastAsia="Arial" w:cs="Arial"/>
        </w:rPr>
      </w:pPr>
    </w:p>
    <w:p w14:paraId="4B1AA30F">
      <w:pPr>
        <w:jc w:val="both"/>
        <w:rPr>
          <w:rFonts w:ascii="Arial" w:hAnsi="Arial" w:eastAsia="Arial" w:cs="Arial"/>
        </w:rPr>
      </w:pPr>
      <w:r>
        <w:rPr>
          <w:rFonts w:ascii="Arial" w:hAnsi="Arial" w:eastAsia="Arial" w:cs="Arial"/>
          <w:b/>
        </w:rPr>
        <w:t>11.1.3.</w:t>
      </w:r>
      <w:r>
        <w:rPr>
          <w:rFonts w:ascii="Arial" w:hAnsi="Arial" w:eastAsia="Arial" w:cs="Arial"/>
        </w:rPr>
        <w:t xml:space="preserve"> A substituição de marca deverá ser publicada obrigatoriamente no DIORONDON.</w:t>
      </w:r>
    </w:p>
    <w:p w14:paraId="57EE5A8D">
      <w:pPr>
        <w:jc w:val="both"/>
        <w:rPr>
          <w:rFonts w:ascii="Arial" w:hAnsi="Arial" w:eastAsia="Arial" w:cs="Arial"/>
          <w:color w:val="FF0000"/>
        </w:rPr>
      </w:pPr>
    </w:p>
    <w:p w14:paraId="6E14C6D6">
      <w:pPr>
        <w:jc w:val="both"/>
        <w:rPr>
          <w:rFonts w:ascii="Arial" w:hAnsi="Arial" w:eastAsia="Arial" w:cs="Arial"/>
          <w:b/>
        </w:rPr>
      </w:pPr>
      <w:r>
        <w:rPr>
          <w:rFonts w:ascii="Arial" w:hAnsi="Arial" w:eastAsia="Arial" w:cs="Arial"/>
          <w:b/>
        </w:rPr>
        <w:t>CLÁUSULA DÉCIMA SEGUNDA – DA PESQUISA DE PREÇOS:</w:t>
      </w:r>
    </w:p>
    <w:p w14:paraId="2E1CE3FF">
      <w:pPr>
        <w:jc w:val="both"/>
        <w:rPr>
          <w:rFonts w:ascii="Arial" w:hAnsi="Arial" w:eastAsia="Arial" w:cs="Arial"/>
        </w:rPr>
      </w:pPr>
    </w:p>
    <w:p w14:paraId="256388FA">
      <w:pPr>
        <w:jc w:val="both"/>
        <w:rPr>
          <w:rFonts w:ascii="Arial" w:hAnsi="Arial" w:eastAsia="Arial" w:cs="Arial"/>
        </w:rPr>
      </w:pPr>
      <w:r>
        <w:rPr>
          <w:rFonts w:ascii="Arial" w:hAnsi="Arial" w:eastAsia="Arial" w:cs="Arial"/>
          <w:b/>
        </w:rPr>
        <w:t>12.1.</w:t>
      </w:r>
      <w:r>
        <w:rPr>
          <w:rFonts w:ascii="Arial" w:hAnsi="Arial" w:eastAsia="Arial" w:cs="Arial"/>
        </w:rPr>
        <w:t xml:space="preserve"> Os requisitos que utilizamos para a realização de pesquisa de preços com intenção na aquisição do objeto deste Termo Referencial está seguindo o contexto das normativas estabelecidas pela Lei 14.133/2021 e pela Instrução Normativa 65/2021 SEGES/ME. Para tal descrevemos abaixo cada um dos requisitos que compõem a estimativa de preços levantadas e suas formas de cotação.</w:t>
      </w:r>
    </w:p>
    <w:p w14:paraId="768AA267">
      <w:pPr>
        <w:jc w:val="both"/>
        <w:rPr>
          <w:rFonts w:ascii="Arial" w:hAnsi="Arial" w:eastAsia="Arial" w:cs="Arial"/>
        </w:rPr>
      </w:pPr>
    </w:p>
    <w:p w14:paraId="3F85437A">
      <w:pPr>
        <w:jc w:val="both"/>
        <w:rPr>
          <w:rFonts w:ascii="Arial" w:hAnsi="Arial" w:eastAsia="Arial" w:cs="Arial"/>
        </w:rPr>
      </w:pPr>
      <w:r>
        <w:rPr>
          <w:rFonts w:ascii="Arial" w:hAnsi="Arial" w:eastAsia="Arial" w:cs="Arial"/>
          <w:b/>
        </w:rPr>
        <w:t>12.2.</w:t>
      </w:r>
      <w:r>
        <w:rPr>
          <w:rFonts w:ascii="Arial" w:hAnsi="Arial" w:eastAsia="Arial" w:cs="Arial"/>
        </w:rPr>
        <w:t xml:space="preserve"> A estimativa dos valores unitários citados neste Termo Referencial bem como o valor total global da aquisição de bens de consumo e permanentes (constam em planilhas no item II dos Quantitativos); foram obtidos através de pesquisa de preços onde utilizamos como métodos e fonte de pesquisas as seguintes ferramentas: item justificado nos autos do processo administrativo</w:t>
      </w:r>
    </w:p>
    <w:p w14:paraId="767A751C">
      <w:pPr>
        <w:jc w:val="both"/>
        <w:rPr>
          <w:rFonts w:ascii="Arial" w:hAnsi="Arial" w:eastAsia="Arial" w:cs="Arial"/>
        </w:rPr>
      </w:pPr>
    </w:p>
    <w:p w14:paraId="52EBB28D">
      <w:pPr>
        <w:jc w:val="both"/>
        <w:rPr>
          <w:rFonts w:ascii="Arial" w:hAnsi="Arial" w:eastAsia="Arial" w:cs="Arial"/>
        </w:rPr>
      </w:pPr>
      <w:r>
        <w:rPr>
          <w:rFonts w:ascii="Arial" w:hAnsi="Arial" w:eastAsia="Arial" w:cs="Arial"/>
          <w:b/>
        </w:rPr>
        <w:t>12.3.</w:t>
      </w:r>
      <w:r>
        <w:rPr>
          <w:rFonts w:ascii="Arial" w:hAnsi="Arial" w:eastAsia="Arial" w:cs="Arial"/>
        </w:rPr>
        <w:t xml:space="preserve"> A identificação do(a) responsável pela pesquisa preços consta com os seguintes dados: nome completo; cargo bem como o número de matrícula em todas páginas com os orçamentos que compõem este termo referencial.</w:t>
      </w:r>
    </w:p>
    <w:p w14:paraId="372D9CF8">
      <w:pPr>
        <w:jc w:val="both"/>
        <w:rPr>
          <w:rFonts w:ascii="Arial" w:hAnsi="Arial" w:eastAsia="Arial" w:cs="Arial"/>
          <w:b/>
          <w:color w:val="FF0000"/>
        </w:rPr>
      </w:pPr>
    </w:p>
    <w:p w14:paraId="6BEBB673">
      <w:pPr>
        <w:jc w:val="both"/>
        <w:rPr>
          <w:rFonts w:ascii="Arial" w:hAnsi="Arial" w:eastAsia="Arial" w:cs="Arial"/>
          <w:b/>
        </w:rPr>
      </w:pPr>
      <w:r>
        <w:rPr>
          <w:rFonts w:ascii="Arial" w:hAnsi="Arial" w:eastAsia="Arial" w:cs="Arial"/>
          <w:b/>
        </w:rPr>
        <w:t>CLÁUSULA DÉCIMA TERCEIRA – DAS OBRIGAÇÕES DO ÓRGÃO DETENTOR DA ATA:</w:t>
      </w:r>
    </w:p>
    <w:p w14:paraId="4CC34A3F">
      <w:pPr>
        <w:jc w:val="both"/>
        <w:rPr>
          <w:rFonts w:ascii="Arial" w:hAnsi="Arial" w:eastAsia="Arial" w:cs="Arial"/>
        </w:rPr>
      </w:pPr>
    </w:p>
    <w:p w14:paraId="7B041F16">
      <w:pPr>
        <w:jc w:val="both"/>
        <w:rPr>
          <w:rFonts w:ascii="Arial" w:hAnsi="Arial" w:eastAsia="Arial" w:cs="Arial"/>
        </w:rPr>
      </w:pPr>
      <w:r>
        <w:rPr>
          <w:rFonts w:ascii="Arial" w:hAnsi="Arial" w:eastAsia="Arial" w:cs="Arial"/>
          <w:b/>
        </w:rPr>
        <w:t>13.1.</w:t>
      </w:r>
      <w:r>
        <w:rPr>
          <w:rFonts w:ascii="Arial" w:hAnsi="Arial" w:eastAsia="Arial" w:cs="Arial"/>
        </w:rPr>
        <w:t xml:space="preserve"> As obrigações do Órgão e do Detentor da Ata constam no Termo de Referência.</w:t>
      </w:r>
    </w:p>
    <w:p w14:paraId="682984C7">
      <w:pPr>
        <w:jc w:val="both"/>
        <w:rPr>
          <w:rFonts w:ascii="Arial" w:hAnsi="Arial" w:eastAsia="Arial" w:cs="Arial"/>
          <w:b/>
        </w:rPr>
      </w:pPr>
    </w:p>
    <w:p w14:paraId="1BD7B4D1">
      <w:pPr>
        <w:jc w:val="both"/>
        <w:rPr>
          <w:rFonts w:ascii="Arial" w:hAnsi="Arial" w:eastAsia="Arial" w:cs="Arial"/>
          <w:b/>
        </w:rPr>
      </w:pPr>
      <w:r>
        <w:rPr>
          <w:rFonts w:ascii="Arial" w:hAnsi="Arial" w:eastAsia="Arial" w:cs="Arial"/>
          <w:b/>
        </w:rPr>
        <w:t>CLÁUSULA DÉCIMA QUARTA – DO CANCELAMENTO DO REGISTRO DE PREÇOS:</w:t>
      </w:r>
    </w:p>
    <w:p w14:paraId="3D406654">
      <w:pPr>
        <w:jc w:val="both"/>
        <w:rPr>
          <w:rFonts w:ascii="Arial" w:hAnsi="Arial" w:eastAsia="Arial" w:cs="Arial"/>
        </w:rPr>
      </w:pPr>
    </w:p>
    <w:p w14:paraId="6AA28B64">
      <w:pPr>
        <w:jc w:val="both"/>
        <w:rPr>
          <w:rFonts w:ascii="Arial" w:hAnsi="Arial" w:eastAsia="Arial" w:cs="Arial"/>
        </w:rPr>
      </w:pPr>
      <w:r>
        <w:rPr>
          <w:rFonts w:ascii="Arial" w:hAnsi="Arial" w:eastAsia="Arial" w:cs="Arial"/>
          <w:b/>
        </w:rPr>
        <w:t>14.1.</w:t>
      </w:r>
      <w:r>
        <w:rPr>
          <w:rFonts w:ascii="Arial" w:hAnsi="Arial" w:eastAsia="Arial" w:cs="Arial"/>
        </w:rPr>
        <w:t xml:space="preserve"> O Órgão ou Entidade Gerenciadora poderá cancelar o registro de preços do Detentor, total ou parcialmente, observados o contraditório e a ampla defesa, nos seguintes casos:</w:t>
      </w:r>
    </w:p>
    <w:p w14:paraId="78CA6439">
      <w:pPr>
        <w:jc w:val="both"/>
        <w:rPr>
          <w:rFonts w:ascii="Arial" w:hAnsi="Arial" w:eastAsia="Arial" w:cs="Arial"/>
        </w:rPr>
      </w:pPr>
    </w:p>
    <w:p w14:paraId="0773EA4D">
      <w:pPr>
        <w:jc w:val="both"/>
        <w:rPr>
          <w:rFonts w:ascii="Arial" w:hAnsi="Arial" w:eastAsia="Arial" w:cs="Arial"/>
        </w:rPr>
      </w:pPr>
      <w:r>
        <w:rPr>
          <w:rFonts w:ascii="Arial" w:hAnsi="Arial" w:eastAsia="Arial" w:cs="Arial"/>
        </w:rPr>
        <w:t>I – Descumprimento parcial ou total, por parte do detentor, das condições da ARP;</w:t>
      </w:r>
    </w:p>
    <w:p w14:paraId="04F04EBD">
      <w:pPr>
        <w:jc w:val="both"/>
        <w:rPr>
          <w:rFonts w:ascii="Arial" w:hAnsi="Arial" w:eastAsia="Arial" w:cs="Arial"/>
        </w:rPr>
      </w:pPr>
    </w:p>
    <w:p w14:paraId="12095612">
      <w:pPr>
        <w:jc w:val="both"/>
        <w:rPr>
          <w:rFonts w:ascii="Arial" w:hAnsi="Arial" w:eastAsia="Arial" w:cs="Arial"/>
        </w:rPr>
      </w:pPr>
      <w:r>
        <w:rPr>
          <w:rFonts w:ascii="Arial" w:hAnsi="Arial" w:eastAsia="Arial" w:cs="Arial"/>
          <w:b/>
        </w:rPr>
        <w:t xml:space="preserve">II </w:t>
      </w:r>
      <w:r>
        <w:rPr>
          <w:rFonts w:ascii="Arial" w:hAnsi="Arial" w:eastAsia="Arial" w:cs="Arial"/>
        </w:rPr>
        <w:t>– Quando o detentor não atender à convocação para firmar as obrigações contratuais decorrentes do registro de preços, não retirar ou não aceitar o instrumento equivalente no prazo estabelecido pelo órgão ou entidade gerenciadora;</w:t>
      </w:r>
    </w:p>
    <w:p w14:paraId="0B37A6DE">
      <w:pPr>
        <w:jc w:val="both"/>
        <w:rPr>
          <w:rFonts w:ascii="Arial" w:hAnsi="Arial" w:eastAsia="Arial" w:cs="Arial"/>
        </w:rPr>
      </w:pPr>
    </w:p>
    <w:p w14:paraId="71093A35">
      <w:pPr>
        <w:jc w:val="both"/>
        <w:rPr>
          <w:rFonts w:ascii="Arial" w:hAnsi="Arial" w:eastAsia="Arial" w:cs="Arial"/>
        </w:rPr>
      </w:pPr>
      <w:r>
        <w:rPr>
          <w:rFonts w:ascii="Arial" w:hAnsi="Arial" w:eastAsia="Arial" w:cs="Arial"/>
          <w:b/>
        </w:rPr>
        <w:t xml:space="preserve">III </w:t>
      </w:r>
      <w:r>
        <w:rPr>
          <w:rFonts w:ascii="Arial" w:hAnsi="Arial" w:eastAsia="Arial" w:cs="Arial"/>
        </w:rPr>
        <w:t>– Nas hipóteses de inexecução parcial ou total do contrato decorrente da ARP;</w:t>
      </w:r>
    </w:p>
    <w:p w14:paraId="0A0AFFDD">
      <w:pPr>
        <w:jc w:val="both"/>
        <w:rPr>
          <w:rFonts w:ascii="Arial" w:hAnsi="Arial" w:eastAsia="Arial" w:cs="Arial"/>
        </w:rPr>
      </w:pPr>
    </w:p>
    <w:p w14:paraId="63067775">
      <w:pPr>
        <w:jc w:val="both"/>
        <w:rPr>
          <w:rFonts w:ascii="Arial" w:hAnsi="Arial" w:eastAsia="Arial" w:cs="Arial"/>
        </w:rPr>
      </w:pPr>
      <w:r>
        <w:rPr>
          <w:rFonts w:ascii="Arial" w:hAnsi="Arial" w:eastAsia="Arial" w:cs="Arial"/>
          <w:b/>
        </w:rPr>
        <w:t xml:space="preserve">IV </w:t>
      </w:r>
      <w:r>
        <w:rPr>
          <w:rFonts w:ascii="Arial" w:hAnsi="Arial" w:eastAsia="Arial" w:cs="Arial"/>
        </w:rPr>
        <w:t>– Nas hipóteses dos preços registrados não estiverem compatíveis com os praticados no mercado e o detentor se recusar a adequá-los na forma solicitada pelo órgão ou pela entidade gerenciadora, prevista no edital e na ARP, observado o disposto nos arts. 309 e 310 do Decreto Municipal nº 11.685/2023;</w:t>
      </w:r>
    </w:p>
    <w:p w14:paraId="0A21A9DC">
      <w:pPr>
        <w:jc w:val="both"/>
        <w:rPr>
          <w:rFonts w:ascii="Arial" w:hAnsi="Arial" w:eastAsia="Arial" w:cs="Arial"/>
        </w:rPr>
      </w:pPr>
    </w:p>
    <w:p w14:paraId="487E150B">
      <w:pPr>
        <w:jc w:val="both"/>
        <w:rPr>
          <w:rFonts w:ascii="Arial" w:hAnsi="Arial" w:eastAsia="Arial" w:cs="Arial"/>
        </w:rPr>
      </w:pPr>
      <w:r>
        <w:rPr>
          <w:rFonts w:ascii="Arial" w:hAnsi="Arial" w:eastAsia="Arial" w:cs="Arial"/>
          <w:b/>
        </w:rPr>
        <w:t xml:space="preserve">V </w:t>
      </w:r>
      <w:r>
        <w:rPr>
          <w:rFonts w:ascii="Arial" w:hAnsi="Arial" w:eastAsia="Arial" w:cs="Arial"/>
        </w:rPr>
        <w:t>– Por razões de interesse público, reduzida a termo no processo;</w:t>
      </w:r>
    </w:p>
    <w:p w14:paraId="27FA22B6">
      <w:pPr>
        <w:jc w:val="both"/>
        <w:rPr>
          <w:rFonts w:ascii="Arial" w:hAnsi="Arial" w:eastAsia="Arial" w:cs="Arial"/>
        </w:rPr>
      </w:pPr>
    </w:p>
    <w:p w14:paraId="4212602E">
      <w:pPr>
        <w:jc w:val="both"/>
        <w:rPr>
          <w:rFonts w:ascii="Arial" w:hAnsi="Arial" w:eastAsia="Arial" w:cs="Arial"/>
        </w:rPr>
      </w:pPr>
      <w:r>
        <w:rPr>
          <w:rFonts w:ascii="Arial" w:hAnsi="Arial" w:eastAsia="Arial" w:cs="Arial"/>
          <w:b/>
        </w:rPr>
        <w:t>VI</w:t>
      </w:r>
      <w:r>
        <w:rPr>
          <w:rFonts w:ascii="Arial" w:hAnsi="Arial" w:eastAsia="Arial" w:cs="Arial"/>
        </w:rPr>
        <w:t xml:space="preserve"> – Por fato superveniente, decorrente de caso de força maior, caso fortuito ou fato do príncipe ou em decorrência de fatos imprevisíveis ou previsíveis de consequências incalculáveis, que inviabilizem a execução das obrigações previstas na ata, devidamente demonstrado;</w:t>
      </w:r>
    </w:p>
    <w:p w14:paraId="5600AA2A">
      <w:pPr>
        <w:jc w:val="both"/>
        <w:rPr>
          <w:rFonts w:ascii="Arial" w:hAnsi="Arial" w:eastAsia="Arial" w:cs="Arial"/>
        </w:rPr>
      </w:pPr>
    </w:p>
    <w:p w14:paraId="728CE4D9">
      <w:pPr>
        <w:jc w:val="both"/>
        <w:rPr>
          <w:rFonts w:ascii="Arial" w:hAnsi="Arial" w:eastAsia="Arial" w:cs="Arial"/>
        </w:rPr>
      </w:pPr>
      <w:r>
        <w:rPr>
          <w:rFonts w:ascii="Arial" w:hAnsi="Arial" w:eastAsia="Arial" w:cs="Arial"/>
          <w:b/>
        </w:rPr>
        <w:t>VII</w:t>
      </w:r>
      <w:r>
        <w:rPr>
          <w:rFonts w:ascii="Arial" w:hAnsi="Arial" w:eastAsia="Arial" w:cs="Arial"/>
        </w:rPr>
        <w:t xml:space="preserve"> – Quando o detentor for suspenso ou impedido de licitar e contratar com a administração municipal;</w:t>
      </w:r>
    </w:p>
    <w:p w14:paraId="22343FA3">
      <w:pPr>
        <w:jc w:val="both"/>
        <w:rPr>
          <w:rFonts w:ascii="Arial" w:hAnsi="Arial" w:eastAsia="Arial" w:cs="Arial"/>
        </w:rPr>
      </w:pPr>
    </w:p>
    <w:p w14:paraId="497A0BC8">
      <w:pPr>
        <w:jc w:val="both"/>
        <w:rPr>
          <w:rFonts w:ascii="Arial" w:hAnsi="Arial" w:eastAsia="Arial" w:cs="Arial"/>
        </w:rPr>
      </w:pPr>
      <w:r>
        <w:rPr>
          <w:rFonts w:ascii="Arial" w:hAnsi="Arial" w:eastAsia="Arial" w:cs="Arial"/>
          <w:b/>
        </w:rPr>
        <w:t>VIII</w:t>
      </w:r>
      <w:r>
        <w:rPr>
          <w:rFonts w:ascii="Arial" w:hAnsi="Arial" w:eastAsia="Arial" w:cs="Arial"/>
        </w:rPr>
        <w:t xml:space="preserve"> – Quando o detentor for declarado inidôneo para licitar ou contratar com a administração pública;</w:t>
      </w:r>
    </w:p>
    <w:p w14:paraId="6A22E101">
      <w:pPr>
        <w:jc w:val="both"/>
        <w:rPr>
          <w:rFonts w:ascii="Arial" w:hAnsi="Arial" w:eastAsia="Arial" w:cs="Arial"/>
        </w:rPr>
      </w:pPr>
    </w:p>
    <w:p w14:paraId="571ECC09">
      <w:pPr>
        <w:jc w:val="both"/>
        <w:rPr>
          <w:rFonts w:ascii="Arial" w:hAnsi="Arial" w:eastAsia="Arial" w:cs="Arial"/>
        </w:rPr>
      </w:pPr>
      <w:r>
        <w:rPr>
          <w:rFonts w:ascii="Arial" w:hAnsi="Arial" w:eastAsia="Arial" w:cs="Arial"/>
          <w:b/>
        </w:rPr>
        <w:t>IX</w:t>
      </w:r>
      <w:r>
        <w:rPr>
          <w:rFonts w:ascii="Arial" w:hAnsi="Arial" w:eastAsia="Arial" w:cs="Arial"/>
        </w:rPr>
        <w:t xml:space="preserve"> – Amigavelmente, por acordo entre as partes, reduzida a termo no processo, desde que haja conveniência para a administração;</w:t>
      </w:r>
    </w:p>
    <w:p w14:paraId="53866BF4">
      <w:pPr>
        <w:jc w:val="both"/>
        <w:rPr>
          <w:rFonts w:ascii="Arial" w:hAnsi="Arial" w:eastAsia="Arial" w:cs="Arial"/>
        </w:rPr>
      </w:pPr>
    </w:p>
    <w:p w14:paraId="66E8650D">
      <w:pPr>
        <w:jc w:val="both"/>
        <w:rPr>
          <w:rFonts w:ascii="Arial" w:hAnsi="Arial" w:eastAsia="Arial" w:cs="Arial"/>
        </w:rPr>
      </w:pPr>
      <w:r>
        <w:rPr>
          <w:rFonts w:ascii="Arial" w:hAnsi="Arial" w:eastAsia="Arial" w:cs="Arial"/>
          <w:b/>
        </w:rPr>
        <w:t>X</w:t>
      </w:r>
      <w:r>
        <w:rPr>
          <w:rFonts w:ascii="Arial" w:hAnsi="Arial" w:eastAsia="Arial" w:cs="Arial"/>
        </w:rPr>
        <w:t xml:space="preserve"> – Por ordem judicial.</w:t>
      </w:r>
    </w:p>
    <w:p w14:paraId="7C7995C3">
      <w:pPr>
        <w:jc w:val="both"/>
        <w:rPr>
          <w:rFonts w:ascii="Arial" w:hAnsi="Arial" w:eastAsia="Arial" w:cs="Arial"/>
        </w:rPr>
      </w:pPr>
    </w:p>
    <w:p w14:paraId="5F734536">
      <w:pPr>
        <w:jc w:val="both"/>
        <w:rPr>
          <w:rFonts w:ascii="Arial" w:hAnsi="Arial" w:eastAsia="Arial" w:cs="Arial"/>
        </w:rPr>
      </w:pPr>
      <w:r>
        <w:rPr>
          <w:rFonts w:ascii="Arial" w:hAnsi="Arial" w:eastAsia="Arial" w:cs="Arial"/>
          <w:b/>
        </w:rPr>
        <w:t xml:space="preserve">XI </w:t>
      </w:r>
      <w:r>
        <w:rPr>
          <w:rFonts w:ascii="Arial" w:hAnsi="Arial" w:eastAsia="Arial" w:cs="Arial"/>
        </w:rPr>
        <w:t>- No caso de alteração social ou modificação da finalidade ou da estrutura da empresa que restrinja sua capacidade de concluir o contrato.</w:t>
      </w:r>
    </w:p>
    <w:p w14:paraId="64330DB2">
      <w:pPr>
        <w:jc w:val="both"/>
        <w:rPr>
          <w:rFonts w:ascii="Arial" w:hAnsi="Arial" w:eastAsia="Arial" w:cs="Arial"/>
        </w:rPr>
      </w:pPr>
    </w:p>
    <w:p w14:paraId="15A140C8">
      <w:pPr>
        <w:jc w:val="both"/>
        <w:rPr>
          <w:rFonts w:ascii="Arial" w:hAnsi="Arial" w:eastAsia="Arial" w:cs="Arial"/>
        </w:rPr>
      </w:pPr>
      <w:r>
        <w:rPr>
          <w:rFonts w:ascii="Arial" w:hAnsi="Arial" w:eastAsia="Arial" w:cs="Arial"/>
          <w:b/>
        </w:rPr>
        <w:t>XII</w:t>
      </w:r>
      <w:r>
        <w:rPr>
          <w:rFonts w:ascii="Arial" w:hAnsi="Arial" w:eastAsia="Arial" w:cs="Arial"/>
        </w:rPr>
        <w:t xml:space="preserve"> - Nos casos em que o Detentor estiver envolvido em casos de corrupção, nos termos da Lei Federal nº 12.846, de 1º de agosto de 2013. </w:t>
      </w:r>
    </w:p>
    <w:p w14:paraId="663EE756">
      <w:pPr>
        <w:jc w:val="both"/>
        <w:rPr>
          <w:rFonts w:ascii="Arial" w:hAnsi="Arial" w:eastAsia="Arial" w:cs="Arial"/>
        </w:rPr>
      </w:pPr>
    </w:p>
    <w:p w14:paraId="163DAE4E">
      <w:pPr>
        <w:jc w:val="both"/>
        <w:rPr>
          <w:rFonts w:ascii="Arial" w:hAnsi="Arial" w:eastAsia="Arial" w:cs="Arial"/>
        </w:rPr>
      </w:pPr>
      <w:r>
        <w:rPr>
          <w:rFonts w:ascii="Arial" w:hAnsi="Arial" w:eastAsia="Arial" w:cs="Arial"/>
          <w:b/>
        </w:rPr>
        <w:t>XIII</w:t>
      </w:r>
      <w:r>
        <w:rPr>
          <w:rFonts w:ascii="Arial" w:hAnsi="Arial" w:eastAsia="Arial" w:cs="Arial"/>
        </w:rPr>
        <w:t xml:space="preserve"> – No caso de não cumprimento da regra referente à subcontratação prevista no Termo de Referência.</w:t>
      </w:r>
    </w:p>
    <w:p w14:paraId="57549491">
      <w:pPr>
        <w:jc w:val="both"/>
        <w:rPr>
          <w:rFonts w:ascii="Arial" w:hAnsi="Arial" w:eastAsia="Arial" w:cs="Arial"/>
        </w:rPr>
      </w:pPr>
    </w:p>
    <w:p w14:paraId="62D45B49">
      <w:pPr>
        <w:jc w:val="both"/>
        <w:rPr>
          <w:rFonts w:ascii="Arial" w:hAnsi="Arial" w:eastAsia="Arial" w:cs="Arial"/>
        </w:rPr>
      </w:pPr>
      <w:r>
        <w:rPr>
          <w:rFonts w:ascii="Arial" w:hAnsi="Arial" w:eastAsia="Arial" w:cs="Arial"/>
          <w:b/>
        </w:rPr>
        <w:t>14.2.</w:t>
      </w:r>
      <w:r>
        <w:rPr>
          <w:rFonts w:ascii="Arial" w:hAnsi="Arial" w:eastAsia="Arial" w:cs="Arial"/>
        </w:rPr>
        <w:tab/>
      </w:r>
      <w:r>
        <w:rPr>
          <w:rFonts w:ascii="Arial" w:hAnsi="Arial" w:eastAsia="Arial" w:cs="Arial"/>
        </w:rPr>
        <w:t>A notificação do Órgão ou Entidade Gerenciadora para o cancelamento do preço registrado será enviada diretamente ao Detentor da ARP por ofício, correspondência eletrônica ou por outro meio eficaz, e no caso da ausência do recebimento, a notificação será publicada no DIORONDON.</w:t>
      </w:r>
    </w:p>
    <w:p w14:paraId="07BEECD8">
      <w:pPr>
        <w:jc w:val="both"/>
        <w:rPr>
          <w:rFonts w:ascii="Arial" w:hAnsi="Arial" w:eastAsia="Arial" w:cs="Arial"/>
        </w:rPr>
      </w:pPr>
      <w:r>
        <w:rPr>
          <w:rFonts w:ascii="Arial" w:hAnsi="Arial" w:eastAsia="Arial" w:cs="Arial"/>
          <w:b/>
        </w:rPr>
        <w:t>14.3.</w:t>
      </w:r>
      <w:r>
        <w:rPr>
          <w:rFonts w:ascii="Arial" w:hAnsi="Arial" w:eastAsia="Arial" w:cs="Arial"/>
        </w:rPr>
        <w:t xml:space="preserve"> A solicitação do Detentor para cancelamento do registro de preço deverá ser formulada por escrito, assegurando-se o fornecimento do bem registrado por prazo mínimo de quarenta e cinco dias, contado a partir da comprovação do recebimento da solicitação do cancelamento, salvo na hipótese da impossibilidade de seu cumprimento, devidamente justificada e aprovada pelo Órgão ou Entidade Gerenciadora.</w:t>
      </w:r>
    </w:p>
    <w:p w14:paraId="4290CE78">
      <w:pPr>
        <w:jc w:val="both"/>
        <w:rPr>
          <w:rFonts w:ascii="Arial" w:hAnsi="Arial" w:eastAsia="Arial" w:cs="Arial"/>
        </w:rPr>
      </w:pPr>
    </w:p>
    <w:p w14:paraId="484DADAE">
      <w:pPr>
        <w:jc w:val="both"/>
        <w:rPr>
          <w:rFonts w:ascii="Arial" w:hAnsi="Arial" w:eastAsia="Arial" w:cs="Arial"/>
        </w:rPr>
      </w:pPr>
      <w:r>
        <w:rPr>
          <w:rFonts w:ascii="Arial" w:hAnsi="Arial" w:eastAsia="Arial" w:cs="Arial"/>
          <w:b/>
        </w:rPr>
        <w:t>14.4.</w:t>
      </w:r>
      <w:r>
        <w:rPr>
          <w:rFonts w:ascii="Arial" w:hAnsi="Arial" w:eastAsia="Arial" w:cs="Arial"/>
        </w:rPr>
        <w:tab/>
      </w:r>
      <w:r>
        <w:rPr>
          <w:rFonts w:ascii="Arial" w:hAnsi="Arial" w:eastAsia="Arial" w:cs="Arial"/>
        </w:rPr>
        <w:t>O Detentor poderá solicitar o cancelamento do seu preço registrado na ocorrência de fato superveniente decorrente de caso fortuito ou de força maior, devidamente comprovados, bem como nas hipóteses compreendidas na legislação aplicável a que venham comprometer o fornecimento do bem.</w:t>
      </w:r>
    </w:p>
    <w:p w14:paraId="670CCF1D">
      <w:pPr>
        <w:jc w:val="both"/>
        <w:rPr>
          <w:rFonts w:ascii="Arial" w:hAnsi="Arial" w:eastAsia="Arial" w:cs="Arial"/>
        </w:rPr>
      </w:pPr>
    </w:p>
    <w:p w14:paraId="717282BE">
      <w:pPr>
        <w:jc w:val="both"/>
        <w:rPr>
          <w:rFonts w:ascii="Arial" w:hAnsi="Arial" w:eastAsia="Arial" w:cs="Arial"/>
        </w:rPr>
      </w:pPr>
      <w:r>
        <w:rPr>
          <w:rFonts w:ascii="Arial" w:hAnsi="Arial" w:eastAsia="Arial" w:cs="Arial"/>
          <w:b/>
        </w:rPr>
        <w:t>14.5.</w:t>
      </w:r>
      <w:r>
        <w:rPr>
          <w:rFonts w:ascii="Arial" w:hAnsi="Arial" w:eastAsia="Arial" w:cs="Arial"/>
        </w:rPr>
        <w:tab/>
      </w:r>
      <w:r>
        <w:rPr>
          <w:rFonts w:ascii="Arial" w:hAnsi="Arial" w:eastAsia="Arial" w:cs="Arial"/>
        </w:rPr>
        <w:t>O cancelamento da ARP não afasta a possibilidade de aplicação de sanções, observadas as competências previstas no Decreto Municipal nº 11.685/2023.</w:t>
      </w:r>
    </w:p>
    <w:p w14:paraId="510EB2DA">
      <w:pPr>
        <w:jc w:val="both"/>
        <w:rPr>
          <w:rFonts w:ascii="Arial" w:hAnsi="Arial" w:eastAsia="Arial" w:cs="Arial"/>
        </w:rPr>
      </w:pPr>
    </w:p>
    <w:p w14:paraId="3BF02A8A">
      <w:pPr>
        <w:jc w:val="both"/>
        <w:rPr>
          <w:rFonts w:ascii="Arial" w:hAnsi="Arial" w:eastAsia="Arial" w:cs="Arial"/>
        </w:rPr>
      </w:pPr>
      <w:r>
        <w:rPr>
          <w:rFonts w:ascii="Arial" w:hAnsi="Arial" w:eastAsia="Arial" w:cs="Arial"/>
          <w:b/>
        </w:rPr>
        <w:t>14.6.</w:t>
      </w:r>
      <w:r>
        <w:rPr>
          <w:rFonts w:ascii="Arial" w:hAnsi="Arial" w:eastAsia="Arial" w:cs="Arial"/>
        </w:rPr>
        <w:t xml:space="preserve"> O cancelamento do Registro, nas hipóteses previstas, será formalizado por despacho da Autoridade Superior do Órgão ou Entidade Gerenciadora e publicado no DIORONDON</w:t>
      </w:r>
    </w:p>
    <w:p w14:paraId="079CC5B4">
      <w:pPr>
        <w:jc w:val="both"/>
        <w:rPr>
          <w:rFonts w:ascii="Arial" w:hAnsi="Arial" w:eastAsia="Arial" w:cs="Arial"/>
        </w:rPr>
      </w:pPr>
    </w:p>
    <w:p w14:paraId="24594E81">
      <w:pPr>
        <w:jc w:val="both"/>
        <w:rPr>
          <w:rFonts w:ascii="Arial" w:hAnsi="Arial" w:eastAsia="Arial" w:cs="Arial"/>
        </w:rPr>
      </w:pPr>
      <w:r>
        <w:rPr>
          <w:rFonts w:ascii="Arial" w:hAnsi="Arial" w:eastAsia="Arial" w:cs="Arial"/>
          <w:b/>
        </w:rPr>
        <w:t>CLÁUSULA DÉCIMA QUINTA –</w:t>
      </w:r>
      <w:r>
        <w:rPr>
          <w:rFonts w:ascii="Arial" w:hAnsi="Arial" w:eastAsia="Arial" w:cs="Arial"/>
        </w:rPr>
        <w:t xml:space="preserve"> DA POSSIBILIDADE DE ADESÃO POR ÓRGÃOS OU ENTIDADES NÃO PARTICIPANTES (“CARONA”)</w:t>
      </w:r>
    </w:p>
    <w:p w14:paraId="1125629D">
      <w:pPr>
        <w:spacing w:before="240" w:after="240"/>
        <w:jc w:val="both"/>
        <w:rPr>
          <w:rFonts w:ascii="Arial" w:hAnsi="Arial" w:eastAsia="Arial" w:cs="Arial"/>
        </w:rPr>
      </w:pPr>
      <w:r>
        <w:rPr>
          <w:rFonts w:ascii="Arial" w:hAnsi="Arial" w:eastAsia="Arial" w:cs="Arial"/>
        </w:rPr>
        <w:t xml:space="preserve">Nos termos do artigo 86, inciso III, da Lei nº 14.133/2021, </w:t>
      </w:r>
      <w:r>
        <w:rPr>
          <w:rFonts w:ascii="Arial" w:hAnsi="Arial" w:eastAsia="Arial" w:cs="Arial"/>
          <w:b/>
        </w:rPr>
        <w:t>fica autorizada a adesão à Ata de Registro de Preços por órgãos ou entidades da Administração Pública que não tenham participado do respectivo processo licitatório</w:t>
      </w:r>
      <w:r>
        <w:rPr>
          <w:rFonts w:ascii="Arial" w:hAnsi="Arial" w:eastAsia="Arial" w:cs="Arial"/>
        </w:rPr>
        <w:t>, mediante prévia justificativa da vantajosidade da contratação, observados os seguintes critérios:</w:t>
      </w:r>
    </w:p>
    <w:p w14:paraId="6244D9E7">
      <w:pPr>
        <w:spacing w:before="240" w:after="240"/>
        <w:jc w:val="both"/>
        <w:rPr>
          <w:rFonts w:ascii="Arial" w:hAnsi="Arial" w:eastAsia="Arial" w:cs="Arial"/>
        </w:rPr>
      </w:pPr>
      <w:r>
        <w:rPr>
          <w:rFonts w:ascii="Arial" w:hAnsi="Arial" w:eastAsia="Arial" w:cs="Arial"/>
          <w:b/>
        </w:rPr>
        <w:t>15.1.</w:t>
      </w:r>
      <w:r>
        <w:rPr>
          <w:rFonts w:ascii="Arial" w:hAnsi="Arial" w:eastAsia="Arial" w:cs="Arial"/>
        </w:rPr>
        <w:t xml:space="preserve"> A adesão (“carona”) somente poderá ocorrer </w:t>
      </w:r>
      <w:r>
        <w:rPr>
          <w:rFonts w:ascii="Arial" w:hAnsi="Arial" w:eastAsia="Arial" w:cs="Arial"/>
          <w:b/>
        </w:rPr>
        <w:t>durante a vigência da Ata de Registro de Preços</w:t>
      </w:r>
      <w:r>
        <w:rPr>
          <w:rFonts w:ascii="Arial" w:hAnsi="Arial" w:eastAsia="Arial" w:cs="Arial"/>
        </w:rPr>
        <w:t>, respeitados os quantitativos máximos registrados, incluídas eventuais contratações decorrentes de adesões.</w:t>
      </w:r>
    </w:p>
    <w:p w14:paraId="06686DF4">
      <w:pPr>
        <w:spacing w:before="240" w:after="240"/>
        <w:jc w:val="both"/>
        <w:rPr>
          <w:rFonts w:ascii="Arial" w:hAnsi="Arial" w:eastAsia="Arial" w:cs="Arial"/>
        </w:rPr>
      </w:pPr>
      <w:r>
        <w:rPr>
          <w:rFonts w:ascii="Arial" w:hAnsi="Arial" w:eastAsia="Arial" w:cs="Arial"/>
          <w:b/>
        </w:rPr>
        <w:t>15.2.</w:t>
      </w:r>
      <w:r>
        <w:rPr>
          <w:rFonts w:ascii="Arial" w:hAnsi="Arial" w:eastAsia="Arial" w:cs="Arial"/>
        </w:rPr>
        <w:t xml:space="preserve"> O órgão ou entidade não participante deverá </w:t>
      </w:r>
      <w:r>
        <w:rPr>
          <w:rFonts w:ascii="Arial" w:hAnsi="Arial" w:eastAsia="Arial" w:cs="Arial"/>
          <w:b/>
        </w:rPr>
        <w:t>consultar previamente a Administração Gerenciadora</w:t>
      </w:r>
      <w:r>
        <w:rPr>
          <w:rFonts w:ascii="Arial" w:hAnsi="Arial" w:eastAsia="Arial" w:cs="Arial"/>
        </w:rPr>
        <w:t>, que avaliará a viabilidade e a conveniência da adesão, com base em manifestação técnica e jurídica.</w:t>
      </w:r>
    </w:p>
    <w:p w14:paraId="6F4EE6DB">
      <w:pPr>
        <w:spacing w:before="240" w:after="240"/>
        <w:jc w:val="both"/>
        <w:rPr>
          <w:rFonts w:ascii="Arial" w:hAnsi="Arial" w:eastAsia="Arial" w:cs="Arial"/>
        </w:rPr>
      </w:pPr>
      <w:r>
        <w:rPr>
          <w:rFonts w:ascii="Arial" w:hAnsi="Arial" w:eastAsia="Arial" w:cs="Arial"/>
          <w:b/>
        </w:rPr>
        <w:t>15.3.</w:t>
      </w:r>
      <w:r>
        <w:rPr>
          <w:rFonts w:ascii="Arial" w:hAnsi="Arial" w:eastAsia="Arial" w:cs="Arial"/>
        </w:rPr>
        <w:t xml:space="preserve"> A adjudicatária deverá manifestar </w:t>
      </w:r>
      <w:r>
        <w:rPr>
          <w:rFonts w:ascii="Arial" w:hAnsi="Arial" w:eastAsia="Arial" w:cs="Arial"/>
          <w:b/>
        </w:rPr>
        <w:t>aceite formal</w:t>
      </w:r>
      <w:r>
        <w:rPr>
          <w:rFonts w:ascii="Arial" w:hAnsi="Arial" w:eastAsia="Arial" w:cs="Arial"/>
        </w:rPr>
        <w:t xml:space="preserve"> quanto à adesão, observando os preços e as condições constantes na Ata de Registro de Preços original.</w:t>
      </w:r>
    </w:p>
    <w:p w14:paraId="40FB48C2">
      <w:pPr>
        <w:spacing w:before="240" w:after="240"/>
        <w:jc w:val="both"/>
        <w:rPr>
          <w:rFonts w:ascii="Arial" w:hAnsi="Arial" w:eastAsia="Arial" w:cs="Arial"/>
        </w:rPr>
      </w:pPr>
      <w:r>
        <w:rPr>
          <w:rFonts w:ascii="Arial" w:hAnsi="Arial" w:eastAsia="Arial" w:cs="Arial"/>
          <w:b/>
        </w:rPr>
        <w:t>15.4.</w:t>
      </w:r>
      <w:r>
        <w:rPr>
          <w:rFonts w:ascii="Arial" w:hAnsi="Arial" w:eastAsia="Arial" w:cs="Arial"/>
        </w:rPr>
        <w:t xml:space="preserve"> O quantitativo total decorrente das adesões </w:t>
      </w:r>
      <w:r>
        <w:rPr>
          <w:rFonts w:ascii="Arial" w:hAnsi="Arial" w:eastAsia="Arial" w:cs="Arial"/>
          <w:b/>
        </w:rPr>
        <w:t>não poderá exceder ao quíntuplo</w:t>
      </w:r>
      <w:r>
        <w:rPr>
          <w:rFonts w:ascii="Arial" w:hAnsi="Arial" w:eastAsia="Arial" w:cs="Arial"/>
        </w:rPr>
        <w:t xml:space="preserve"> do quantitativo registrado para cada item, conforme limite fixado no §4º e §6º do art. 86 da lei 14.133/2021, aplicável subsidiariamente até a edição de norma específica pelo ente federativo, salvo disposição diversa expressamente justificada no processo.</w:t>
      </w:r>
    </w:p>
    <w:p w14:paraId="03231538">
      <w:pPr>
        <w:spacing w:before="240" w:after="240"/>
        <w:jc w:val="both"/>
        <w:rPr>
          <w:rFonts w:ascii="Arial" w:hAnsi="Arial" w:eastAsia="Arial" w:cs="Arial"/>
          <w:b/>
        </w:rPr>
      </w:pPr>
      <w:r>
        <w:rPr>
          <w:rFonts w:ascii="Arial" w:hAnsi="Arial" w:eastAsia="Arial" w:cs="Arial"/>
          <w:b/>
        </w:rPr>
        <w:t>15.5.</w:t>
      </w:r>
      <w:r>
        <w:rPr>
          <w:rFonts w:ascii="Arial" w:hAnsi="Arial" w:eastAsia="Arial" w:cs="Arial"/>
        </w:rPr>
        <w:t xml:space="preserve"> Cada adesão deverá ser formalizada por meio de </w:t>
      </w:r>
      <w:r>
        <w:rPr>
          <w:rFonts w:ascii="Arial" w:hAnsi="Arial" w:eastAsia="Arial" w:cs="Arial"/>
          <w:b/>
        </w:rPr>
        <w:t>instrumento próprio de contratação direta</w:t>
      </w:r>
      <w:r>
        <w:rPr>
          <w:rFonts w:ascii="Arial" w:hAnsi="Arial" w:eastAsia="Arial" w:cs="Arial"/>
        </w:rPr>
        <w:t xml:space="preserve"> entre o órgão não participante e o fornecedor registrado, cabendo àquele a integral responsabilidade pelo acompanhamento e fiscalização da execução contratual.</w:t>
      </w:r>
    </w:p>
    <w:p w14:paraId="73F1B78B">
      <w:pPr>
        <w:jc w:val="both"/>
        <w:rPr>
          <w:rFonts w:ascii="Arial" w:hAnsi="Arial" w:eastAsia="Arial" w:cs="Arial"/>
          <w:b/>
        </w:rPr>
      </w:pPr>
    </w:p>
    <w:p w14:paraId="1B1B442A">
      <w:pPr>
        <w:jc w:val="both"/>
        <w:rPr>
          <w:rFonts w:ascii="Arial" w:hAnsi="Arial" w:eastAsia="Arial" w:cs="Arial"/>
          <w:b/>
        </w:rPr>
      </w:pPr>
      <w:r>
        <w:rPr>
          <w:rFonts w:ascii="Arial" w:hAnsi="Arial" w:eastAsia="Arial" w:cs="Arial"/>
          <w:b/>
        </w:rPr>
        <w:t>CLÁUSULA DÉCIMA SEXTA – DA PROTEÇÃO E TRANSMISSÃO DE INFORMAÇÃO, DADOS PESSOAIS E/OU BASE DE DADOS:</w:t>
      </w:r>
    </w:p>
    <w:p w14:paraId="0012C29F">
      <w:pPr>
        <w:jc w:val="both"/>
        <w:rPr>
          <w:rFonts w:ascii="Arial" w:hAnsi="Arial" w:eastAsia="Arial" w:cs="Arial"/>
        </w:rPr>
      </w:pPr>
    </w:p>
    <w:p w14:paraId="6AC10C8D">
      <w:pPr>
        <w:jc w:val="both"/>
        <w:rPr>
          <w:rFonts w:ascii="Arial" w:hAnsi="Arial" w:eastAsia="Arial" w:cs="Arial"/>
        </w:rPr>
      </w:pPr>
      <w:r>
        <w:rPr>
          <w:rFonts w:ascii="Arial" w:hAnsi="Arial" w:eastAsia="Arial" w:cs="Arial"/>
          <w:b/>
        </w:rPr>
        <w:t>16.1.</w:t>
      </w:r>
      <w:r>
        <w:rPr>
          <w:rFonts w:ascii="Arial" w:hAnsi="Arial" w:eastAsia="Arial" w:cs="Arial"/>
        </w:rPr>
        <w:t xml:space="preserve"> O Detentor obriga-se ao dever de proteção, confidencialidade e sigilo de toda informação, dados pessoais e/ou base de dados a que tenha acesso, inclusive em razão de licenciamento ou da operação dos programas/sistemas, nos termos da Lei nº 13.709/2018, suas alterações e regulamentações posteriores, durante o cumprimento do objeto descrito no presente instrumento contratual.</w:t>
      </w:r>
    </w:p>
    <w:p w14:paraId="0B0B5F4F">
      <w:pPr>
        <w:jc w:val="both"/>
        <w:rPr>
          <w:rFonts w:ascii="Arial" w:hAnsi="Arial" w:eastAsia="Arial" w:cs="Arial"/>
        </w:rPr>
      </w:pPr>
      <w:r>
        <w:rPr>
          <w:rFonts w:ascii="Arial" w:hAnsi="Arial" w:eastAsia="Arial" w:cs="Arial"/>
        </w:rPr>
        <w:t> </w:t>
      </w:r>
    </w:p>
    <w:p w14:paraId="4E5411E5">
      <w:pPr>
        <w:jc w:val="both"/>
        <w:rPr>
          <w:rFonts w:ascii="Arial" w:hAnsi="Arial" w:eastAsia="Arial" w:cs="Arial"/>
        </w:rPr>
      </w:pPr>
      <w:r>
        <w:rPr>
          <w:rFonts w:ascii="Arial" w:hAnsi="Arial" w:eastAsia="Arial" w:cs="Arial"/>
          <w:b/>
        </w:rPr>
        <w:t>16.1.1.</w:t>
      </w:r>
      <w:r>
        <w:rPr>
          <w:rFonts w:ascii="Arial" w:hAnsi="Arial" w:eastAsia="Arial" w:cs="Arial"/>
        </w:rPr>
        <w:t xml:space="preserve"> O Detentor obriga-se a implementar medidas técnicas e administrativas suficientes visando a segurança, a proteção, a confidencialidade e o sigilo de toda informação, dados pessoais e/ou base de dados a que tenha acesso a fim de evitar acessos não autorizados, acidentes, vazamentos acidentais ou ilícitos que causem destruição, perda, alteração, comunicação ou qualquer outra forma de tratamento não previstos.</w:t>
      </w:r>
    </w:p>
    <w:p w14:paraId="0A3F60E0">
      <w:pPr>
        <w:jc w:val="both"/>
        <w:rPr>
          <w:rFonts w:ascii="Arial" w:hAnsi="Arial" w:eastAsia="Arial" w:cs="Arial"/>
        </w:rPr>
      </w:pPr>
      <w:r>
        <w:rPr>
          <w:rFonts w:ascii="Arial" w:hAnsi="Arial" w:eastAsia="Arial" w:cs="Arial"/>
        </w:rPr>
        <w:t> </w:t>
      </w:r>
    </w:p>
    <w:p w14:paraId="3C742D51">
      <w:pPr>
        <w:jc w:val="both"/>
        <w:rPr>
          <w:rFonts w:ascii="Arial" w:hAnsi="Arial" w:eastAsia="Arial" w:cs="Arial"/>
        </w:rPr>
      </w:pPr>
      <w:r>
        <w:rPr>
          <w:rFonts w:ascii="Arial" w:hAnsi="Arial" w:eastAsia="Arial" w:cs="Arial"/>
          <w:b/>
        </w:rPr>
        <w:t>16.1.2.</w:t>
      </w:r>
      <w:r>
        <w:rPr>
          <w:rFonts w:ascii="Arial" w:hAnsi="Arial" w:eastAsia="Arial" w:cs="Arial"/>
        </w:rPr>
        <w:t xml:space="preserve"> O Detentor deve assegurar-se de que todos os seus colaboradores, consultores e/ou prestadores de serviços que, no exercício das suas atividades, tenham acesso e/ou conhecimento da informação e/ou dos dados pessoais, respeitem o dever de proteção, confidencialidade e sigilo.</w:t>
      </w:r>
    </w:p>
    <w:p w14:paraId="4FFB6241">
      <w:pPr>
        <w:jc w:val="both"/>
        <w:rPr>
          <w:rFonts w:ascii="Arial" w:hAnsi="Arial" w:eastAsia="Arial" w:cs="Arial"/>
        </w:rPr>
      </w:pPr>
      <w:r>
        <w:rPr>
          <w:rFonts w:ascii="Arial" w:hAnsi="Arial" w:eastAsia="Arial" w:cs="Arial"/>
        </w:rPr>
        <w:t> </w:t>
      </w:r>
    </w:p>
    <w:p w14:paraId="79F52BAE">
      <w:pPr>
        <w:jc w:val="both"/>
        <w:rPr>
          <w:rFonts w:ascii="Arial" w:hAnsi="Arial" w:eastAsia="Arial" w:cs="Arial"/>
        </w:rPr>
      </w:pPr>
      <w:r>
        <w:rPr>
          <w:rFonts w:ascii="Arial" w:hAnsi="Arial" w:eastAsia="Arial" w:cs="Arial"/>
          <w:b/>
        </w:rPr>
        <w:t>16.1.3.</w:t>
      </w:r>
      <w:r>
        <w:rPr>
          <w:rFonts w:ascii="Arial" w:hAnsi="Arial" w:eastAsia="Arial" w:cs="Arial"/>
        </w:rPr>
        <w:t xml:space="preserve"> O Detentor não poderá utilizar-se de informação, dados pessoais e/ou base de dados a que tenha acesso, para fins distintos ao cumprimento do objeto deste instrumento contratual.</w:t>
      </w:r>
    </w:p>
    <w:p w14:paraId="4D99AAC5">
      <w:pPr>
        <w:jc w:val="both"/>
        <w:rPr>
          <w:rFonts w:ascii="Arial" w:hAnsi="Arial" w:eastAsia="Arial" w:cs="Arial"/>
        </w:rPr>
      </w:pPr>
      <w:r>
        <w:rPr>
          <w:rFonts w:ascii="Arial" w:hAnsi="Arial" w:eastAsia="Arial" w:cs="Arial"/>
        </w:rPr>
        <w:t> </w:t>
      </w:r>
    </w:p>
    <w:p w14:paraId="1B392B73">
      <w:pPr>
        <w:jc w:val="both"/>
        <w:rPr>
          <w:rFonts w:ascii="Arial" w:hAnsi="Arial" w:eastAsia="Arial" w:cs="Arial"/>
        </w:rPr>
      </w:pPr>
      <w:r>
        <w:rPr>
          <w:rFonts w:ascii="Arial" w:hAnsi="Arial" w:eastAsia="Arial" w:cs="Arial"/>
          <w:b/>
        </w:rPr>
        <w:t>16.1.4.</w:t>
      </w:r>
      <w:r>
        <w:rPr>
          <w:rFonts w:ascii="Arial" w:hAnsi="Arial" w:eastAsia="Arial" w:cs="Arial"/>
        </w:rPr>
        <w:tab/>
      </w:r>
      <w:r>
        <w:rPr>
          <w:rFonts w:ascii="Arial" w:hAnsi="Arial" w:eastAsia="Arial" w:cs="Arial"/>
        </w:rPr>
        <w:t>O Detentor não poderá disponibilizar e/ou transmitir a terceiros, sem prévia autorização escrita, informação, dados pessoais e/ou base de dados a que tenha acesso em razão do cumprimento do objeto deste instrumento contratual. </w:t>
      </w:r>
    </w:p>
    <w:p w14:paraId="7B44931F">
      <w:pPr>
        <w:jc w:val="both"/>
        <w:rPr>
          <w:rFonts w:ascii="Arial" w:hAnsi="Arial" w:eastAsia="Arial" w:cs="Arial"/>
        </w:rPr>
      </w:pPr>
    </w:p>
    <w:p w14:paraId="10CCFCE2">
      <w:pPr>
        <w:jc w:val="both"/>
        <w:rPr>
          <w:rFonts w:ascii="Arial" w:hAnsi="Arial" w:eastAsia="Arial" w:cs="Arial"/>
        </w:rPr>
      </w:pPr>
      <w:r>
        <w:rPr>
          <w:rFonts w:ascii="Arial" w:hAnsi="Arial" w:eastAsia="Arial" w:cs="Arial"/>
          <w:b/>
        </w:rPr>
        <w:t>16.1.4.1.</w:t>
      </w:r>
      <w:r>
        <w:rPr>
          <w:rFonts w:ascii="Arial" w:hAnsi="Arial" w:eastAsia="Arial" w:cs="Arial"/>
        </w:rPr>
        <w:t xml:space="preserve"> O Detentor obriga-se a fornecer informação, dados pessoais e/ou base de dados estritamente necessários caso quando da transmissão autorizada a terceiros durante o cumprimento do objeto descrito neste instrumento contratual.</w:t>
      </w:r>
    </w:p>
    <w:p w14:paraId="230E1DE1">
      <w:pPr>
        <w:jc w:val="both"/>
        <w:rPr>
          <w:rFonts w:ascii="Arial" w:hAnsi="Arial" w:eastAsia="Arial" w:cs="Arial"/>
        </w:rPr>
      </w:pPr>
    </w:p>
    <w:p w14:paraId="6F9D07EB">
      <w:pPr>
        <w:jc w:val="both"/>
        <w:rPr>
          <w:rFonts w:ascii="Arial" w:hAnsi="Arial" w:eastAsia="Arial" w:cs="Arial"/>
        </w:rPr>
      </w:pPr>
      <w:r>
        <w:rPr>
          <w:rFonts w:ascii="Arial" w:hAnsi="Arial" w:eastAsia="Arial" w:cs="Arial"/>
          <w:b/>
        </w:rPr>
        <w:t>16.1.5.</w:t>
      </w:r>
      <w:r>
        <w:rPr>
          <w:rFonts w:ascii="Arial" w:hAnsi="Arial" w:eastAsia="Arial" w:cs="Arial"/>
        </w:rPr>
        <w:t xml:space="preserve"> O Detentor fica obrigado a devolver todos os documentos, registros e cópias que contenham informação, dados pessoais e/ou base de dados a que tenha tido acesso durante a execução do cumprimento do objeto deste instrumento contratual no prazo de 30 (trinta) dias corridos contados da rescisão contratual, restando autorizada a conservação apenas nas hipóteses legalmente previstas.</w:t>
      </w:r>
    </w:p>
    <w:p w14:paraId="7645B1A3">
      <w:pPr>
        <w:jc w:val="both"/>
        <w:rPr>
          <w:rFonts w:ascii="Arial" w:hAnsi="Arial" w:eastAsia="Arial" w:cs="Arial"/>
        </w:rPr>
      </w:pPr>
      <w:r>
        <w:rPr>
          <w:rFonts w:ascii="Arial" w:hAnsi="Arial" w:eastAsia="Arial" w:cs="Arial"/>
        </w:rPr>
        <w:t> </w:t>
      </w:r>
    </w:p>
    <w:p w14:paraId="6ABCB060">
      <w:pPr>
        <w:jc w:val="both"/>
        <w:rPr>
          <w:rFonts w:ascii="Arial" w:hAnsi="Arial" w:eastAsia="Arial" w:cs="Arial"/>
        </w:rPr>
      </w:pPr>
      <w:r>
        <w:rPr>
          <w:rFonts w:ascii="Arial" w:hAnsi="Arial" w:eastAsia="Arial" w:cs="Arial"/>
          <w:b/>
        </w:rPr>
        <w:t>16.1.5.1.</w:t>
      </w:r>
      <w:r>
        <w:rPr>
          <w:rFonts w:ascii="Arial" w:hAnsi="Arial" w:eastAsia="Arial" w:cs="Arial"/>
        </w:rPr>
        <w:t xml:space="preserve"> Ao Detentor não será permitido deter cópias ou backups, informação, dados pessoais e/ou base de dados a que tenha tido acesso durante a execução do cumprimento do objeto deste instrumento contratual.</w:t>
      </w:r>
    </w:p>
    <w:p w14:paraId="63C73DF2">
      <w:pPr>
        <w:jc w:val="both"/>
        <w:rPr>
          <w:rFonts w:ascii="Arial" w:hAnsi="Arial" w:eastAsia="Arial" w:cs="Arial"/>
        </w:rPr>
      </w:pPr>
    </w:p>
    <w:p w14:paraId="6DA05C68">
      <w:pPr>
        <w:jc w:val="both"/>
        <w:rPr>
          <w:rFonts w:ascii="Arial" w:hAnsi="Arial" w:eastAsia="Arial" w:cs="Arial"/>
        </w:rPr>
      </w:pPr>
      <w:r>
        <w:rPr>
          <w:rFonts w:ascii="Arial" w:hAnsi="Arial" w:eastAsia="Arial" w:cs="Arial"/>
          <w:b/>
        </w:rPr>
        <w:t>16.1.5.1.1.</w:t>
      </w:r>
      <w:r>
        <w:rPr>
          <w:rFonts w:ascii="Arial" w:hAnsi="Arial" w:eastAsia="Arial" w:cs="Arial"/>
        </w:rPr>
        <w:t xml:space="preserve"> O Detentor deverá eliminar os dados pessoais a que tiver conhecimento ou posse em razão do cumprimento do objeto deste instrumento contratual tão logo não haja necessidade de realizar seu tratamento.</w:t>
      </w:r>
    </w:p>
    <w:p w14:paraId="3C05E669">
      <w:pPr>
        <w:jc w:val="both"/>
        <w:rPr>
          <w:rFonts w:ascii="Arial" w:hAnsi="Arial" w:eastAsia="Arial" w:cs="Arial"/>
        </w:rPr>
      </w:pPr>
      <w:r>
        <w:rPr>
          <w:rFonts w:ascii="Arial" w:hAnsi="Arial" w:eastAsia="Arial" w:cs="Arial"/>
        </w:rPr>
        <w:t> </w:t>
      </w:r>
    </w:p>
    <w:p w14:paraId="496521E3">
      <w:pPr>
        <w:jc w:val="both"/>
        <w:rPr>
          <w:rFonts w:ascii="Arial" w:hAnsi="Arial" w:eastAsia="Arial" w:cs="Arial"/>
        </w:rPr>
      </w:pPr>
      <w:r>
        <w:rPr>
          <w:rFonts w:ascii="Arial" w:hAnsi="Arial" w:eastAsia="Arial" w:cs="Arial"/>
          <w:b/>
        </w:rPr>
        <w:t>16.1.6.</w:t>
      </w:r>
      <w:r>
        <w:rPr>
          <w:rFonts w:ascii="Arial" w:hAnsi="Arial" w:eastAsia="Arial" w:cs="Arial"/>
        </w:rPr>
        <w:tab/>
      </w:r>
      <w:r>
        <w:rPr>
          <w:rFonts w:ascii="Arial" w:hAnsi="Arial" w:eastAsia="Arial" w:cs="Arial"/>
        </w:rPr>
        <w:t>O Detentor deverá notificar, imediatamente, o Órgão ou Entidade Gerenciadora/Órgãos Participantes no caso de vazamento, perda parcial ou total de informação, dados pessoais e/ou base de dados.</w:t>
      </w:r>
    </w:p>
    <w:p w14:paraId="47D1CFD7">
      <w:pPr>
        <w:jc w:val="both"/>
        <w:rPr>
          <w:rFonts w:ascii="Arial" w:hAnsi="Arial" w:eastAsia="Arial" w:cs="Arial"/>
        </w:rPr>
      </w:pPr>
      <w:r>
        <w:rPr>
          <w:rFonts w:ascii="Arial" w:hAnsi="Arial" w:eastAsia="Arial" w:cs="Arial"/>
        </w:rPr>
        <w:t> </w:t>
      </w:r>
    </w:p>
    <w:p w14:paraId="571F44CB">
      <w:pPr>
        <w:jc w:val="both"/>
        <w:rPr>
          <w:rFonts w:ascii="Arial" w:hAnsi="Arial" w:eastAsia="Arial" w:cs="Arial"/>
        </w:rPr>
      </w:pPr>
      <w:r>
        <w:rPr>
          <w:rFonts w:ascii="Arial" w:hAnsi="Arial" w:eastAsia="Arial" w:cs="Arial"/>
          <w:b/>
        </w:rPr>
        <w:t xml:space="preserve">16.1.6.1 </w:t>
      </w:r>
      <w:r>
        <w:rPr>
          <w:rFonts w:ascii="Arial" w:hAnsi="Arial" w:eastAsia="Arial" w:cs="Arial"/>
        </w:rPr>
        <w:t>A notificação não eximirá o Detentor das obrigações e/ou sanções que possam incidir em razão da perda de informação, dados pessoais e/ou base de dados.</w:t>
      </w:r>
    </w:p>
    <w:p w14:paraId="659F09D8">
      <w:pPr>
        <w:jc w:val="both"/>
        <w:rPr>
          <w:rFonts w:ascii="Arial" w:hAnsi="Arial" w:eastAsia="Arial" w:cs="Arial"/>
        </w:rPr>
      </w:pPr>
      <w:r>
        <w:rPr>
          <w:rFonts w:ascii="Arial" w:hAnsi="Arial" w:eastAsia="Arial" w:cs="Arial"/>
        </w:rPr>
        <w:t> </w:t>
      </w:r>
    </w:p>
    <w:p w14:paraId="2149851A">
      <w:pPr>
        <w:jc w:val="both"/>
        <w:rPr>
          <w:rFonts w:ascii="Arial" w:hAnsi="Arial" w:eastAsia="Arial" w:cs="Arial"/>
        </w:rPr>
      </w:pPr>
      <w:r>
        <w:rPr>
          <w:rFonts w:ascii="Arial" w:hAnsi="Arial" w:eastAsia="Arial" w:cs="Arial"/>
          <w:b/>
        </w:rPr>
        <w:t>16.1.6.2.</w:t>
      </w:r>
      <w:r>
        <w:rPr>
          <w:rFonts w:ascii="Arial" w:hAnsi="Arial" w:eastAsia="Arial" w:cs="Arial"/>
        </w:rPr>
        <w:t xml:space="preserve"> O Detentor que descumprir nos termos da Lei nº 13.709/2018 suas alterações e regulamentações posteriores, durante ou após a execução do objeto descrito no presente instrumento contratual fica obrigado a assumir total responsabilidade e ao ressarcimento por todo e qualquer dano e/ou prejuízo sofrido, incluindo sanções aplicadas pela autoridade competente.</w:t>
      </w:r>
    </w:p>
    <w:p w14:paraId="1C8403EC">
      <w:pPr>
        <w:jc w:val="both"/>
        <w:rPr>
          <w:rFonts w:ascii="Arial" w:hAnsi="Arial" w:eastAsia="Arial" w:cs="Arial"/>
        </w:rPr>
      </w:pPr>
      <w:r>
        <w:rPr>
          <w:rFonts w:ascii="Arial" w:hAnsi="Arial" w:eastAsia="Arial" w:cs="Arial"/>
          <w:b/>
        </w:rPr>
        <w:t>16.1.7.</w:t>
      </w:r>
      <w:r>
        <w:rPr>
          <w:rFonts w:ascii="Arial" w:hAnsi="Arial" w:eastAsia="Arial" w:cs="Arial"/>
        </w:rPr>
        <w:t xml:space="preserve"> O Detentor fica obrigado a manter preposto para comunicação com o Órgão ou Entidade Gerenciadora/ para os assuntos pertinentes à Lei nº 13.709/2018 suas alterações e regulamentações posteriores.</w:t>
      </w:r>
    </w:p>
    <w:p w14:paraId="0F974789">
      <w:pPr>
        <w:jc w:val="both"/>
        <w:rPr>
          <w:rFonts w:ascii="Arial" w:hAnsi="Arial" w:eastAsia="Arial" w:cs="Arial"/>
        </w:rPr>
      </w:pPr>
      <w:r>
        <w:rPr>
          <w:rFonts w:ascii="Arial" w:hAnsi="Arial" w:eastAsia="Arial" w:cs="Arial"/>
        </w:rPr>
        <w:t> </w:t>
      </w:r>
    </w:p>
    <w:p w14:paraId="399FFB3B">
      <w:pPr>
        <w:jc w:val="both"/>
        <w:rPr>
          <w:rFonts w:ascii="Arial" w:hAnsi="Arial" w:eastAsia="Arial" w:cs="Arial"/>
        </w:rPr>
      </w:pPr>
      <w:r>
        <w:rPr>
          <w:rFonts w:ascii="Arial" w:hAnsi="Arial" w:eastAsia="Arial" w:cs="Arial"/>
          <w:b/>
        </w:rPr>
        <w:t>16.1.8.</w:t>
      </w:r>
      <w:r>
        <w:rPr>
          <w:rFonts w:ascii="Arial" w:hAnsi="Arial" w:eastAsia="Arial" w:cs="Arial"/>
        </w:rPr>
        <w:t xml:space="preserve"> O dever de sigilo e confidencialidade, e as demais obrigações descritas na presente cláusula, permanecerão em vigor após a extinção das relações entre o Detentor e o Órgão ou Entidade Gerenciadora/Órgãos Participantes, bem como, entre o Detentor e os seus colaboradores, subcontratados, consultores e/ou prestadores de serviços sob pena das sanções previstas na Lei nº 13.709/2018, suas alterações e regulamentações posteriores, salvo decisão judicial contrária.</w:t>
      </w:r>
    </w:p>
    <w:p w14:paraId="4975E392">
      <w:pPr>
        <w:jc w:val="both"/>
        <w:rPr>
          <w:rFonts w:ascii="Arial" w:hAnsi="Arial" w:eastAsia="Arial" w:cs="Arial"/>
        </w:rPr>
      </w:pPr>
    </w:p>
    <w:p w14:paraId="4AA82969">
      <w:pPr>
        <w:jc w:val="both"/>
        <w:rPr>
          <w:rFonts w:ascii="Arial" w:hAnsi="Arial" w:eastAsia="Arial" w:cs="Arial"/>
        </w:rPr>
      </w:pPr>
      <w:r>
        <w:rPr>
          <w:rFonts w:ascii="Arial" w:hAnsi="Arial" w:eastAsia="Arial" w:cs="Arial"/>
          <w:b/>
        </w:rPr>
        <w:t>16.1.9</w:t>
      </w:r>
      <w:r>
        <w:rPr>
          <w:rFonts w:ascii="Arial" w:hAnsi="Arial" w:eastAsia="Arial" w:cs="Arial"/>
        </w:rPr>
        <w:t>. O não cumprimento de quaisquer das obrigações descritas nesta cláusula sujeitará o Detentor a processo administrativo para apuração de responsabilidade e, consequente, sanção, sem prejuízo de outras cominações cíveis e penais.</w:t>
      </w:r>
    </w:p>
    <w:p w14:paraId="30498506">
      <w:pPr>
        <w:jc w:val="both"/>
        <w:rPr>
          <w:rFonts w:ascii="Arial" w:hAnsi="Arial" w:eastAsia="Arial" w:cs="Arial"/>
          <w:b/>
        </w:rPr>
      </w:pPr>
    </w:p>
    <w:p w14:paraId="0F8115E4">
      <w:pPr>
        <w:jc w:val="both"/>
        <w:rPr>
          <w:rFonts w:ascii="Arial" w:hAnsi="Arial" w:eastAsia="Arial" w:cs="Arial"/>
          <w:b/>
        </w:rPr>
      </w:pPr>
      <w:r>
        <w:rPr>
          <w:rFonts w:ascii="Arial" w:hAnsi="Arial" w:eastAsia="Arial" w:cs="Arial"/>
          <w:b/>
        </w:rPr>
        <w:t>CLÁUSULA DÉCIMA SÉTIMA - DAS SANÇÕES ADMINISTRATIVAS:</w:t>
      </w:r>
    </w:p>
    <w:p w14:paraId="66319614">
      <w:pPr>
        <w:jc w:val="both"/>
        <w:rPr>
          <w:rFonts w:ascii="Arial" w:hAnsi="Arial" w:eastAsia="Arial" w:cs="Arial"/>
        </w:rPr>
      </w:pPr>
    </w:p>
    <w:p w14:paraId="17577DB2">
      <w:pPr>
        <w:jc w:val="both"/>
        <w:rPr>
          <w:rFonts w:ascii="Arial" w:hAnsi="Arial" w:eastAsia="Arial" w:cs="Arial"/>
        </w:rPr>
      </w:pPr>
      <w:bookmarkStart w:id="62" w:name="_heading=h.qpoc72q1vn6h"/>
      <w:bookmarkEnd w:id="62"/>
      <w:r>
        <w:rPr>
          <w:rFonts w:ascii="Arial" w:hAnsi="Arial" w:eastAsia="Arial" w:cs="Arial"/>
          <w:b/>
        </w:rPr>
        <w:t>17.1.</w:t>
      </w:r>
      <w:r>
        <w:rPr>
          <w:rFonts w:ascii="Arial" w:hAnsi="Arial" w:eastAsia="Arial" w:cs="Arial"/>
        </w:rPr>
        <w:t xml:space="preserve"> O descumprimento das obrigações assumidas caracterizará a inadimplência do Detentor, sujeitando-o às seguintes penalidades, na forma do Decreto nº 11.685/2023:</w:t>
      </w:r>
    </w:p>
    <w:p w14:paraId="127DD5E1">
      <w:pPr>
        <w:jc w:val="both"/>
        <w:rPr>
          <w:rFonts w:ascii="Arial" w:hAnsi="Arial" w:eastAsia="Arial" w:cs="Arial"/>
        </w:rPr>
      </w:pPr>
    </w:p>
    <w:p w14:paraId="0082E5C5">
      <w:pPr>
        <w:jc w:val="both"/>
        <w:rPr>
          <w:rFonts w:ascii="Arial" w:hAnsi="Arial" w:eastAsia="Arial" w:cs="Arial"/>
        </w:rPr>
      </w:pPr>
      <w:r>
        <w:rPr>
          <w:rFonts w:ascii="Arial" w:hAnsi="Arial" w:eastAsia="Arial" w:cs="Arial"/>
          <w:b/>
        </w:rPr>
        <w:t>17.1.1.</w:t>
      </w:r>
      <w:r>
        <w:rPr>
          <w:rFonts w:ascii="Arial" w:hAnsi="Arial" w:eastAsia="Arial" w:cs="Arial"/>
        </w:rPr>
        <w:t xml:space="preserve"> Advertência;</w:t>
      </w:r>
    </w:p>
    <w:p w14:paraId="38B55F8E">
      <w:pPr>
        <w:jc w:val="both"/>
        <w:rPr>
          <w:rFonts w:ascii="Arial" w:hAnsi="Arial" w:eastAsia="Arial" w:cs="Arial"/>
        </w:rPr>
      </w:pPr>
    </w:p>
    <w:p w14:paraId="211F8BC7">
      <w:pPr>
        <w:jc w:val="both"/>
        <w:rPr>
          <w:rFonts w:ascii="Arial" w:hAnsi="Arial" w:eastAsia="Arial" w:cs="Arial"/>
        </w:rPr>
      </w:pPr>
      <w:r>
        <w:rPr>
          <w:rFonts w:ascii="Arial" w:hAnsi="Arial" w:eastAsia="Arial" w:cs="Arial"/>
          <w:b/>
        </w:rPr>
        <w:t>17.1.2.</w:t>
      </w:r>
      <w:r>
        <w:rPr>
          <w:rFonts w:ascii="Arial" w:hAnsi="Arial" w:eastAsia="Arial" w:cs="Arial"/>
        </w:rPr>
        <w:t xml:space="preserve"> Multas nos seguintes percentuais:</w:t>
      </w:r>
    </w:p>
    <w:p w14:paraId="52421148">
      <w:pPr>
        <w:jc w:val="both"/>
        <w:rPr>
          <w:rFonts w:ascii="Arial" w:hAnsi="Arial" w:eastAsia="Arial" w:cs="Arial"/>
        </w:rPr>
      </w:pPr>
    </w:p>
    <w:p w14:paraId="4B9DD5A4">
      <w:pPr>
        <w:jc w:val="both"/>
        <w:rPr>
          <w:rFonts w:ascii="Arial" w:hAnsi="Arial" w:eastAsia="Arial" w:cs="Arial"/>
        </w:rPr>
      </w:pPr>
      <w:r>
        <w:rPr>
          <w:rFonts w:ascii="Arial" w:hAnsi="Arial" w:eastAsia="Arial" w:cs="Arial"/>
          <w:b/>
        </w:rPr>
        <w:t>a)</w:t>
      </w:r>
      <w:r>
        <w:rPr>
          <w:rFonts w:ascii="Arial" w:hAnsi="Arial" w:eastAsia="Arial" w:cs="Arial"/>
        </w:rPr>
        <w:t xml:space="preserve"> multa moratória de 0,5% (cinco décimos por cento) por dia de atraso na entrega de material ou execução de serviços, recaindo o cálculo sobre o valor da parcela inadimplida, até o limite de 30% (trinta por cento) do contrato ou do instrumento equivalente.</w:t>
      </w:r>
    </w:p>
    <w:p w14:paraId="0119D04B">
      <w:pPr>
        <w:jc w:val="both"/>
        <w:rPr>
          <w:rFonts w:ascii="Arial" w:hAnsi="Arial" w:eastAsia="Arial" w:cs="Arial"/>
        </w:rPr>
      </w:pPr>
    </w:p>
    <w:p w14:paraId="56588D4F">
      <w:pPr>
        <w:jc w:val="both"/>
        <w:rPr>
          <w:rFonts w:ascii="Arial" w:hAnsi="Arial" w:eastAsia="Arial" w:cs="Arial"/>
        </w:rPr>
      </w:pPr>
      <w:r>
        <w:rPr>
          <w:rFonts w:ascii="Arial" w:hAnsi="Arial" w:eastAsia="Arial" w:cs="Arial"/>
          <w:b/>
        </w:rPr>
        <w:t>b)</w:t>
      </w:r>
      <w:r>
        <w:rPr>
          <w:rFonts w:ascii="Arial" w:hAnsi="Arial" w:eastAsia="Arial" w:cs="Arial"/>
        </w:rPr>
        <w:t xml:space="preserve"> multa compensatória de até 3% (três por cento) sobre o valor de referência ao contratado que retardar o procedimento de contratação, descumprir preceito normativo ou obrigações assumidas.</w:t>
      </w:r>
    </w:p>
    <w:p w14:paraId="1E31F528">
      <w:pPr>
        <w:jc w:val="both"/>
        <w:rPr>
          <w:rFonts w:ascii="Arial" w:hAnsi="Arial" w:eastAsia="Arial" w:cs="Arial"/>
        </w:rPr>
      </w:pPr>
    </w:p>
    <w:p w14:paraId="7D96BC38">
      <w:pPr>
        <w:jc w:val="both"/>
        <w:rPr>
          <w:rFonts w:ascii="Arial" w:hAnsi="Arial" w:eastAsia="Arial" w:cs="Arial"/>
        </w:rPr>
      </w:pPr>
      <w:r>
        <w:rPr>
          <w:rFonts w:ascii="Arial" w:hAnsi="Arial" w:eastAsia="Arial" w:cs="Arial"/>
          <w:b/>
        </w:rPr>
        <w:t>c)</w:t>
      </w:r>
      <w:r>
        <w:rPr>
          <w:rFonts w:ascii="Arial" w:hAnsi="Arial" w:eastAsia="Arial" w:cs="Arial"/>
        </w:rPr>
        <w:t xml:space="preserve"> multa compensatória de até 5% (cinco por cento) sobre o valor da parcela inadimplida ao contratado que entregar o objeto contratual em desacordo com as especificações, condições e qualidade contratadas ou com irregularidades ou defeitos ocultos que o tornem impróprio para o fim a que se destina.</w:t>
      </w:r>
    </w:p>
    <w:p w14:paraId="1ABFB57E">
      <w:pPr>
        <w:jc w:val="both"/>
        <w:rPr>
          <w:rFonts w:ascii="Arial" w:hAnsi="Arial" w:eastAsia="Arial" w:cs="Arial"/>
        </w:rPr>
      </w:pPr>
    </w:p>
    <w:p w14:paraId="47A27412">
      <w:pPr>
        <w:jc w:val="both"/>
        <w:rPr>
          <w:rFonts w:ascii="Arial" w:hAnsi="Arial" w:eastAsia="Arial" w:cs="Arial"/>
        </w:rPr>
      </w:pPr>
      <w:r>
        <w:rPr>
          <w:rFonts w:ascii="Arial" w:hAnsi="Arial" w:eastAsia="Arial" w:cs="Arial"/>
          <w:b/>
        </w:rPr>
        <w:t>d)</w:t>
      </w:r>
      <w:r>
        <w:rPr>
          <w:rFonts w:ascii="Arial" w:hAnsi="Arial" w:eastAsia="Arial" w:cs="Arial"/>
        </w:rPr>
        <w:t xml:space="preserve"> multa compensatória de até 30% (trinta por cento) do valor do contrato em razão do cometimento das infrações administrativas previstas no Decreto Municipal nº 11.685/2023</w:t>
      </w:r>
    </w:p>
    <w:p w14:paraId="3E4BB373">
      <w:pPr>
        <w:jc w:val="both"/>
        <w:rPr>
          <w:rFonts w:ascii="Arial" w:hAnsi="Arial" w:eastAsia="Arial" w:cs="Arial"/>
        </w:rPr>
      </w:pPr>
    </w:p>
    <w:p w14:paraId="7930259B">
      <w:pPr>
        <w:jc w:val="both"/>
        <w:rPr>
          <w:rFonts w:ascii="Arial" w:hAnsi="Arial" w:eastAsia="Arial" w:cs="Arial"/>
        </w:rPr>
      </w:pPr>
      <w:r>
        <w:rPr>
          <w:rFonts w:ascii="Arial" w:hAnsi="Arial" w:eastAsia="Arial" w:cs="Arial"/>
          <w:b/>
        </w:rPr>
        <w:t>17.1.3.</w:t>
      </w:r>
      <w:r>
        <w:rPr>
          <w:rFonts w:ascii="Arial" w:hAnsi="Arial" w:eastAsia="Arial" w:cs="Arial"/>
        </w:rPr>
        <w:t xml:space="preserve"> Impedimento de licitar e contratar;</w:t>
      </w:r>
    </w:p>
    <w:p w14:paraId="471F9B8D">
      <w:pPr>
        <w:jc w:val="both"/>
        <w:rPr>
          <w:rFonts w:ascii="Arial" w:hAnsi="Arial" w:eastAsia="Arial" w:cs="Arial"/>
        </w:rPr>
      </w:pPr>
    </w:p>
    <w:p w14:paraId="229F4DF6">
      <w:pPr>
        <w:jc w:val="both"/>
        <w:rPr>
          <w:rFonts w:ascii="Arial" w:hAnsi="Arial" w:eastAsia="Arial" w:cs="Arial"/>
        </w:rPr>
      </w:pPr>
      <w:r>
        <w:rPr>
          <w:rFonts w:ascii="Arial" w:hAnsi="Arial" w:eastAsia="Arial" w:cs="Arial"/>
          <w:b/>
        </w:rPr>
        <w:t>17.1.4.</w:t>
      </w:r>
      <w:r>
        <w:rPr>
          <w:rFonts w:ascii="Arial" w:hAnsi="Arial" w:eastAsia="Arial" w:cs="Arial"/>
        </w:rPr>
        <w:t xml:space="preserve"> Declaração de inidoneidade para licitar e contratar.</w:t>
      </w:r>
    </w:p>
    <w:p w14:paraId="547E92C2">
      <w:pPr>
        <w:jc w:val="both"/>
        <w:rPr>
          <w:rFonts w:ascii="Arial" w:hAnsi="Arial" w:eastAsia="Arial" w:cs="Arial"/>
        </w:rPr>
      </w:pPr>
      <w:r>
        <w:rPr>
          <w:rFonts w:ascii="Arial" w:hAnsi="Arial" w:eastAsia="Arial" w:cs="Arial"/>
          <w:b/>
        </w:rPr>
        <w:t>17.2.</w:t>
      </w:r>
      <w:r>
        <w:rPr>
          <w:rFonts w:ascii="Arial" w:hAnsi="Arial" w:eastAsia="Arial" w:cs="Arial"/>
        </w:rPr>
        <w:t xml:space="preserve"> A multa moratória pode ser aplicada cumulativamente com as demais multas previstas.</w:t>
      </w:r>
    </w:p>
    <w:p w14:paraId="16D105C1">
      <w:pPr>
        <w:jc w:val="both"/>
        <w:rPr>
          <w:rFonts w:ascii="Arial" w:hAnsi="Arial" w:eastAsia="Arial" w:cs="Arial"/>
        </w:rPr>
      </w:pPr>
    </w:p>
    <w:p w14:paraId="6BD67874">
      <w:pPr>
        <w:jc w:val="both"/>
        <w:rPr>
          <w:rFonts w:ascii="Arial" w:hAnsi="Arial" w:eastAsia="Arial" w:cs="Arial"/>
        </w:rPr>
      </w:pPr>
      <w:r>
        <w:rPr>
          <w:rFonts w:ascii="Arial" w:hAnsi="Arial" w:eastAsia="Arial" w:cs="Arial"/>
          <w:b/>
        </w:rPr>
        <w:t>17.3.</w:t>
      </w:r>
      <w:r>
        <w:rPr>
          <w:rFonts w:ascii="Arial" w:hAnsi="Arial" w:eastAsia="Arial" w:cs="Arial"/>
        </w:rPr>
        <w:t xml:space="preserve"> As penalidades de advertência e multa serão aplicadas pelo Diretor competente.</w:t>
      </w:r>
    </w:p>
    <w:p w14:paraId="1DD7F4F3">
      <w:pPr>
        <w:jc w:val="both"/>
        <w:rPr>
          <w:rFonts w:ascii="Arial" w:hAnsi="Arial" w:eastAsia="Arial" w:cs="Arial"/>
        </w:rPr>
      </w:pPr>
    </w:p>
    <w:p w14:paraId="00DCDD08">
      <w:pPr>
        <w:jc w:val="both"/>
        <w:rPr>
          <w:rFonts w:ascii="Arial" w:hAnsi="Arial" w:eastAsia="Arial" w:cs="Arial"/>
        </w:rPr>
      </w:pPr>
      <w:r>
        <w:rPr>
          <w:rFonts w:ascii="Arial" w:hAnsi="Arial" w:eastAsia="Arial" w:cs="Arial"/>
          <w:b/>
        </w:rPr>
        <w:t>17.4.</w:t>
      </w:r>
      <w:r>
        <w:rPr>
          <w:rFonts w:ascii="Arial" w:hAnsi="Arial" w:eastAsia="Arial" w:cs="Arial"/>
        </w:rPr>
        <w:t xml:space="preserve"> A penalidade de impedimento de licitar e contratar será aplicada pelo Secretário Municipal ou ocupante de cargo equivalente, nos demais órgãos e entidades da administração direta ou indireta.</w:t>
      </w:r>
    </w:p>
    <w:p w14:paraId="34182BB6">
      <w:pPr>
        <w:jc w:val="both"/>
        <w:rPr>
          <w:rFonts w:ascii="Arial" w:hAnsi="Arial" w:eastAsia="Arial" w:cs="Arial"/>
        </w:rPr>
      </w:pPr>
    </w:p>
    <w:p w14:paraId="1E51BA9D">
      <w:pPr>
        <w:jc w:val="both"/>
        <w:rPr>
          <w:rFonts w:ascii="Arial" w:hAnsi="Arial" w:eastAsia="Arial" w:cs="Arial"/>
        </w:rPr>
      </w:pPr>
      <w:r>
        <w:rPr>
          <w:rFonts w:ascii="Arial" w:hAnsi="Arial" w:eastAsia="Arial" w:cs="Arial"/>
          <w:b/>
        </w:rPr>
        <w:t>17.5.</w:t>
      </w:r>
      <w:r>
        <w:rPr>
          <w:rFonts w:ascii="Arial" w:hAnsi="Arial" w:eastAsia="Arial" w:cs="Arial"/>
        </w:rPr>
        <w:t xml:space="preserve"> A penalidade de declaração de inidoneidade será aplicada pelo Secretário ou autoridade ata da entidade, nos demais órgãos e entidades da administração direta ou indireta.</w:t>
      </w:r>
    </w:p>
    <w:p w14:paraId="4070E1AE">
      <w:pPr>
        <w:jc w:val="both"/>
        <w:rPr>
          <w:rFonts w:ascii="Arial" w:hAnsi="Arial" w:eastAsia="Arial" w:cs="Arial"/>
        </w:rPr>
      </w:pPr>
    </w:p>
    <w:p w14:paraId="458E9ABA">
      <w:pPr>
        <w:jc w:val="both"/>
        <w:rPr>
          <w:rFonts w:ascii="Arial" w:hAnsi="Arial" w:eastAsia="Arial" w:cs="Arial"/>
        </w:rPr>
      </w:pPr>
      <w:r>
        <w:rPr>
          <w:rFonts w:ascii="Arial" w:hAnsi="Arial" w:eastAsia="Arial" w:cs="Arial"/>
          <w:b/>
        </w:rPr>
        <w:t>17.6.</w:t>
      </w:r>
      <w:r>
        <w:rPr>
          <w:rFonts w:ascii="Arial" w:hAnsi="Arial" w:eastAsia="Arial" w:cs="Arial"/>
        </w:rPr>
        <w:t xml:space="preserve"> A notificada poderá apresentar defesa escrita, no prazo de 15 (quinze) dias úteis, cujo termo inicial será:</w:t>
      </w:r>
    </w:p>
    <w:p w14:paraId="0AD2B0E2">
      <w:pPr>
        <w:jc w:val="both"/>
        <w:rPr>
          <w:rFonts w:ascii="Arial" w:hAnsi="Arial" w:eastAsia="Arial" w:cs="Arial"/>
        </w:rPr>
      </w:pPr>
    </w:p>
    <w:p w14:paraId="4FD88360">
      <w:pPr>
        <w:jc w:val="both"/>
        <w:rPr>
          <w:rFonts w:ascii="Arial" w:hAnsi="Arial" w:eastAsia="Arial" w:cs="Arial"/>
        </w:rPr>
      </w:pPr>
      <w:r>
        <w:rPr>
          <w:rFonts w:ascii="Arial" w:hAnsi="Arial" w:eastAsia="Arial" w:cs="Arial"/>
          <w:b/>
        </w:rPr>
        <w:t>a)</w:t>
      </w:r>
      <w:r>
        <w:rPr>
          <w:rFonts w:ascii="Arial" w:hAnsi="Arial" w:eastAsia="Arial" w:cs="Arial"/>
        </w:rPr>
        <w:t xml:space="preserve"> o primeiro dia após a confirmação do recebimento da notificação por e-mail;</w:t>
      </w:r>
    </w:p>
    <w:p w14:paraId="4034D955">
      <w:pPr>
        <w:jc w:val="both"/>
        <w:rPr>
          <w:rFonts w:ascii="Arial" w:hAnsi="Arial" w:eastAsia="Arial" w:cs="Arial"/>
        </w:rPr>
      </w:pPr>
    </w:p>
    <w:p w14:paraId="46827B74">
      <w:pPr>
        <w:jc w:val="both"/>
        <w:rPr>
          <w:rFonts w:ascii="Arial" w:hAnsi="Arial" w:eastAsia="Arial" w:cs="Arial"/>
        </w:rPr>
      </w:pPr>
      <w:r>
        <w:rPr>
          <w:rFonts w:ascii="Arial" w:hAnsi="Arial" w:eastAsia="Arial" w:cs="Arial"/>
          <w:b/>
        </w:rPr>
        <w:t>b)</w:t>
      </w:r>
      <w:r>
        <w:rPr>
          <w:rFonts w:ascii="Arial" w:hAnsi="Arial" w:eastAsia="Arial" w:cs="Arial"/>
        </w:rPr>
        <w:t xml:space="preserve"> o primeiro dia após a juntada ao processo do Aviso de Recebimento da correspondência em que a notificação foi enviada;</w:t>
      </w:r>
    </w:p>
    <w:p w14:paraId="16C6E85C">
      <w:pPr>
        <w:jc w:val="both"/>
        <w:rPr>
          <w:rFonts w:ascii="Arial" w:hAnsi="Arial" w:eastAsia="Arial" w:cs="Arial"/>
        </w:rPr>
      </w:pPr>
    </w:p>
    <w:p w14:paraId="67CCD561">
      <w:pPr>
        <w:jc w:val="both"/>
        <w:rPr>
          <w:rFonts w:ascii="Arial" w:hAnsi="Arial" w:eastAsia="Arial" w:cs="Arial"/>
        </w:rPr>
      </w:pPr>
      <w:r>
        <w:rPr>
          <w:rFonts w:ascii="Arial" w:hAnsi="Arial" w:eastAsia="Arial" w:cs="Arial"/>
          <w:b/>
        </w:rPr>
        <w:t>c)</w:t>
      </w:r>
      <w:r>
        <w:rPr>
          <w:rFonts w:ascii="Arial" w:hAnsi="Arial" w:eastAsia="Arial" w:cs="Arial"/>
        </w:rPr>
        <w:t xml:space="preserve"> o primeiro dia após o fim do prazo de 5 (cinco) dias, quando a notificação for publicada no DIORONDON.</w:t>
      </w:r>
    </w:p>
    <w:p w14:paraId="3822E0C7">
      <w:pPr>
        <w:jc w:val="both"/>
        <w:rPr>
          <w:rFonts w:ascii="Arial" w:hAnsi="Arial" w:eastAsia="Arial" w:cs="Arial"/>
        </w:rPr>
      </w:pPr>
    </w:p>
    <w:p w14:paraId="2D15F368">
      <w:pPr>
        <w:jc w:val="both"/>
        <w:rPr>
          <w:rFonts w:ascii="Arial" w:hAnsi="Arial" w:eastAsia="Arial" w:cs="Arial"/>
        </w:rPr>
      </w:pPr>
      <w:r>
        <w:rPr>
          <w:rFonts w:ascii="Arial" w:hAnsi="Arial" w:eastAsia="Arial" w:cs="Arial"/>
          <w:b/>
        </w:rPr>
        <w:t>17.7.</w:t>
      </w:r>
      <w:r>
        <w:rPr>
          <w:rFonts w:ascii="Arial" w:hAnsi="Arial" w:eastAsia="Arial" w:cs="Arial"/>
        </w:rPr>
        <w:t xml:space="preserve"> No caso de aplicação das penalidades de advertência, multa ou impedimento de licitar e contratar será concedido prazo de 15 (quinze) dias para apresentação de recurso a contar da publicação da decisão condenatória no DIORONDON.</w:t>
      </w:r>
    </w:p>
    <w:p w14:paraId="3E27B0B4">
      <w:pPr>
        <w:jc w:val="both"/>
        <w:rPr>
          <w:rFonts w:ascii="Arial" w:hAnsi="Arial" w:eastAsia="Arial" w:cs="Arial"/>
        </w:rPr>
      </w:pPr>
    </w:p>
    <w:p w14:paraId="13B2ADA7">
      <w:pPr>
        <w:jc w:val="both"/>
        <w:rPr>
          <w:rFonts w:ascii="Arial" w:hAnsi="Arial" w:eastAsia="Arial" w:cs="Arial"/>
        </w:rPr>
      </w:pPr>
      <w:r>
        <w:rPr>
          <w:rFonts w:ascii="Arial" w:hAnsi="Arial" w:eastAsia="Arial" w:cs="Arial"/>
          <w:b/>
        </w:rPr>
        <w:t>17.8.</w:t>
      </w:r>
      <w:r>
        <w:rPr>
          <w:rFonts w:ascii="Arial" w:hAnsi="Arial" w:eastAsia="Arial" w:cs="Arial"/>
        </w:rPr>
        <w:t xml:space="preserve"> Da aplicação de sanção de declaração de inidoneidade para licitar ou contratar caberá apenas pedido de reconsideração, que deverá ser apresentado no prazo de 15 (quinze) dias úteis, contado da data da publicação da decisão no DIORONDON.</w:t>
      </w:r>
    </w:p>
    <w:p w14:paraId="48BCA55A">
      <w:pPr>
        <w:jc w:val="both"/>
        <w:rPr>
          <w:rFonts w:ascii="Arial" w:hAnsi="Arial" w:eastAsia="Arial" w:cs="Arial"/>
        </w:rPr>
      </w:pPr>
    </w:p>
    <w:p w14:paraId="082044B1">
      <w:pPr>
        <w:jc w:val="both"/>
        <w:rPr>
          <w:rFonts w:ascii="Arial" w:hAnsi="Arial" w:eastAsia="Arial" w:cs="Arial"/>
        </w:rPr>
      </w:pPr>
      <w:r>
        <w:rPr>
          <w:rFonts w:ascii="Arial" w:hAnsi="Arial" w:eastAsia="Arial" w:cs="Arial"/>
          <w:b/>
        </w:rPr>
        <w:t>17.9.</w:t>
      </w:r>
      <w:r>
        <w:rPr>
          <w:rFonts w:ascii="Arial" w:hAnsi="Arial" w:eastAsia="Arial" w:cs="Arial"/>
        </w:rPr>
        <w:t xml:space="preserve"> As sanções de advertência, impedimento de licitar e contratar e declaração de inidoneidade para licitar ou contratar poderão ser aplicadas, cumulativamente ou não, à penalidade de multa.</w:t>
      </w:r>
    </w:p>
    <w:p w14:paraId="58F7E95B">
      <w:pPr>
        <w:jc w:val="both"/>
        <w:rPr>
          <w:rFonts w:ascii="Arial" w:hAnsi="Arial" w:eastAsia="Arial" w:cs="Arial"/>
        </w:rPr>
      </w:pPr>
    </w:p>
    <w:p w14:paraId="39C02499">
      <w:pPr>
        <w:jc w:val="both"/>
        <w:rPr>
          <w:rFonts w:ascii="Arial" w:hAnsi="Arial" w:eastAsia="Arial" w:cs="Arial"/>
        </w:rPr>
      </w:pPr>
      <w:r>
        <w:rPr>
          <w:rFonts w:ascii="Arial" w:hAnsi="Arial" w:eastAsia="Arial" w:cs="Arial"/>
          <w:b/>
        </w:rPr>
        <w:t>17.10.</w:t>
      </w:r>
      <w:r>
        <w:rPr>
          <w:rFonts w:ascii="Arial" w:hAnsi="Arial" w:eastAsia="Arial" w:cs="Arial"/>
        </w:rPr>
        <w:t xml:space="preserve"> O recurso e o pedido de reconsideração terão efeito suspensivo do ato ou da decisão recorrida até que sobrevenha decisão final da autoridade competente.</w:t>
      </w:r>
    </w:p>
    <w:p w14:paraId="1B48C193">
      <w:pPr>
        <w:jc w:val="both"/>
        <w:rPr>
          <w:rFonts w:ascii="Arial" w:hAnsi="Arial" w:eastAsia="Arial" w:cs="Arial"/>
        </w:rPr>
      </w:pPr>
    </w:p>
    <w:p w14:paraId="5136DC86">
      <w:pPr>
        <w:jc w:val="both"/>
        <w:rPr>
          <w:rFonts w:ascii="Arial" w:hAnsi="Arial" w:eastAsia="Arial" w:cs="Arial"/>
        </w:rPr>
      </w:pPr>
      <w:r>
        <w:rPr>
          <w:rFonts w:ascii="Arial" w:hAnsi="Arial" w:eastAsia="Arial" w:cs="Arial"/>
          <w:b/>
        </w:rPr>
        <w:t xml:space="preserve">17.11. </w:t>
      </w:r>
      <w:r>
        <w:rPr>
          <w:rFonts w:ascii="Arial" w:hAnsi="Arial" w:eastAsia="Arial" w:cs="Arial"/>
        </w:rPr>
        <w:t xml:space="preserve">A aplicação das sanções previstas não exclui, em hipótese alguma, a obrigação de reparação integral dos danos causados, aplicando-se no que couber o disposto na Lei 14.133/2021 e Decreto Municipal 11.685/2023. </w:t>
      </w:r>
    </w:p>
    <w:p w14:paraId="40B6DC64">
      <w:pPr>
        <w:jc w:val="both"/>
        <w:rPr>
          <w:rFonts w:ascii="Arial" w:hAnsi="Arial" w:eastAsia="Arial" w:cs="Arial"/>
        </w:rPr>
      </w:pPr>
    </w:p>
    <w:p w14:paraId="4231CEC1">
      <w:pPr>
        <w:jc w:val="both"/>
        <w:rPr>
          <w:rFonts w:ascii="Arial" w:hAnsi="Arial" w:eastAsia="Arial" w:cs="Arial"/>
          <w:b/>
        </w:rPr>
      </w:pPr>
      <w:r>
        <w:rPr>
          <w:rFonts w:ascii="Arial" w:hAnsi="Arial" w:eastAsia="Arial" w:cs="Arial"/>
          <w:b/>
        </w:rPr>
        <w:t>18. CLÁUSULA DÉCIMA OITAVA – DAS DISPOSIÇÕES FINAIS</w:t>
      </w:r>
    </w:p>
    <w:p w14:paraId="0BD5A792">
      <w:pPr>
        <w:jc w:val="both"/>
        <w:rPr>
          <w:rFonts w:ascii="Arial" w:hAnsi="Arial" w:eastAsia="Arial" w:cs="Arial"/>
        </w:rPr>
      </w:pPr>
    </w:p>
    <w:p w14:paraId="1E8A3D45">
      <w:pPr>
        <w:jc w:val="both"/>
        <w:rPr>
          <w:rFonts w:ascii="Arial" w:hAnsi="Arial" w:eastAsia="Arial" w:cs="Arial"/>
        </w:rPr>
      </w:pPr>
      <w:r>
        <w:rPr>
          <w:rFonts w:ascii="Arial" w:hAnsi="Arial" w:eastAsia="Arial" w:cs="Arial"/>
          <w:b/>
        </w:rPr>
        <w:t>18.1.</w:t>
      </w:r>
      <w:r>
        <w:rPr>
          <w:rFonts w:ascii="Arial" w:hAnsi="Arial" w:eastAsia="Arial" w:cs="Arial"/>
        </w:rPr>
        <w:t xml:space="preserve"> Aplicam-se aos serviços/produtos todas as normas e exigências do Código de Defesa do Consumidor.  </w:t>
      </w:r>
    </w:p>
    <w:p w14:paraId="385D4081">
      <w:pPr>
        <w:jc w:val="both"/>
        <w:rPr>
          <w:rFonts w:ascii="Arial" w:hAnsi="Arial" w:eastAsia="Arial" w:cs="Arial"/>
        </w:rPr>
      </w:pPr>
    </w:p>
    <w:p w14:paraId="6C8076CB">
      <w:pPr>
        <w:jc w:val="both"/>
        <w:rPr>
          <w:rFonts w:ascii="Arial" w:hAnsi="Arial" w:eastAsia="Arial" w:cs="Arial"/>
        </w:rPr>
      </w:pPr>
      <w:r>
        <w:rPr>
          <w:rFonts w:ascii="Arial" w:hAnsi="Arial" w:eastAsia="Arial" w:cs="Arial"/>
          <w:b/>
        </w:rPr>
        <w:t>18.2.</w:t>
      </w:r>
      <w:r>
        <w:rPr>
          <w:rFonts w:ascii="Arial" w:hAnsi="Arial" w:eastAsia="Arial" w:cs="Arial"/>
        </w:rPr>
        <w:t xml:space="preserve"> A tolerância do Município com qualquer atraso ou inadimplência por parte do Detentor não importará de forma alguma em alteração ou novação.</w:t>
      </w:r>
    </w:p>
    <w:p w14:paraId="175A3319">
      <w:pPr>
        <w:jc w:val="both"/>
        <w:rPr>
          <w:rFonts w:ascii="Arial" w:hAnsi="Arial" w:eastAsia="Arial" w:cs="Arial"/>
        </w:rPr>
      </w:pPr>
    </w:p>
    <w:p w14:paraId="7A67088A">
      <w:pPr>
        <w:jc w:val="both"/>
        <w:rPr>
          <w:rFonts w:ascii="Arial" w:hAnsi="Arial" w:eastAsia="Arial" w:cs="Arial"/>
        </w:rPr>
      </w:pPr>
      <w:r>
        <w:rPr>
          <w:rFonts w:ascii="Arial" w:hAnsi="Arial" w:eastAsia="Arial" w:cs="Arial"/>
          <w:b/>
        </w:rPr>
        <w:t>18.3.</w:t>
      </w:r>
      <w:r>
        <w:rPr>
          <w:rFonts w:ascii="Arial" w:hAnsi="Arial" w:eastAsia="Arial" w:cs="Arial"/>
        </w:rPr>
        <w:t xml:space="preserve"> Para ciência dos interessados e efeitos legais, a publicação do extrato da presente ARP no Diário Oficial do Município – DIORONDON. Será providenciada e correrá por conta e ônus do Município.</w:t>
      </w:r>
    </w:p>
    <w:p w14:paraId="5DBF9AC1">
      <w:pPr>
        <w:jc w:val="both"/>
        <w:rPr>
          <w:rFonts w:ascii="Arial" w:hAnsi="Arial" w:eastAsia="Arial" w:cs="Arial"/>
        </w:rPr>
      </w:pPr>
    </w:p>
    <w:p w14:paraId="1AA0CB70">
      <w:pPr>
        <w:jc w:val="both"/>
        <w:rPr>
          <w:rFonts w:ascii="Arial" w:hAnsi="Arial" w:eastAsia="Arial" w:cs="Arial"/>
        </w:rPr>
      </w:pPr>
      <w:r>
        <w:rPr>
          <w:rFonts w:ascii="Arial" w:hAnsi="Arial" w:eastAsia="Arial" w:cs="Arial"/>
          <w:b/>
        </w:rPr>
        <w:t>18.4.</w:t>
      </w:r>
      <w:r>
        <w:rPr>
          <w:rFonts w:ascii="Arial" w:hAnsi="Arial" w:eastAsia="Arial" w:cs="Arial"/>
        </w:rPr>
        <w:t xml:space="preserve"> Após 30 (trinta) dias do encerramento da vigência desta Ata de Registro de Preços, as amostras poderão ser retiradas em até 30 (trinta) dias pelo Detentor no seguinte endereço: Paço Municipal.</w:t>
      </w:r>
    </w:p>
    <w:p w14:paraId="25A93BB1">
      <w:pPr>
        <w:jc w:val="both"/>
        <w:rPr>
          <w:rFonts w:ascii="Arial" w:hAnsi="Arial" w:eastAsia="Arial" w:cs="Arial"/>
        </w:rPr>
      </w:pPr>
    </w:p>
    <w:p w14:paraId="6863AB06">
      <w:pPr>
        <w:jc w:val="both"/>
        <w:rPr>
          <w:rFonts w:ascii="Arial" w:hAnsi="Arial" w:eastAsia="Arial" w:cs="Arial"/>
        </w:rPr>
      </w:pPr>
      <w:r>
        <w:rPr>
          <w:rFonts w:ascii="Arial" w:hAnsi="Arial" w:eastAsia="Arial" w:cs="Arial"/>
          <w:b/>
        </w:rPr>
        <w:t>18.4.1.</w:t>
      </w:r>
      <w:r>
        <w:rPr>
          <w:rFonts w:ascii="Arial" w:hAnsi="Arial" w:eastAsia="Arial" w:cs="Arial"/>
        </w:rPr>
        <w:t xml:space="preserve"> A Administração poderá dar o destino que melhor lhe convier às amostras que não forem retiradas no prazo estabelecido no subitem anterior, sem direito a ressarcimento.</w:t>
      </w:r>
    </w:p>
    <w:p w14:paraId="52A4E816">
      <w:pPr>
        <w:jc w:val="both"/>
        <w:rPr>
          <w:rFonts w:ascii="Arial" w:hAnsi="Arial" w:eastAsia="Arial" w:cs="Arial"/>
        </w:rPr>
      </w:pPr>
    </w:p>
    <w:p w14:paraId="1B6864D8">
      <w:pPr>
        <w:jc w:val="both"/>
        <w:rPr>
          <w:rFonts w:ascii="Arial" w:hAnsi="Arial" w:eastAsia="Arial" w:cs="Arial"/>
        </w:rPr>
      </w:pPr>
      <w:r>
        <w:rPr>
          <w:rFonts w:ascii="Arial" w:hAnsi="Arial" w:eastAsia="Arial" w:cs="Arial"/>
          <w:b/>
        </w:rPr>
        <w:t>18.5.</w:t>
      </w:r>
      <w:r>
        <w:rPr>
          <w:rFonts w:ascii="Arial" w:hAnsi="Arial" w:eastAsia="Arial" w:cs="Arial"/>
        </w:rPr>
        <w:t xml:space="preserve"> A presente ARP está vinculada, independentemente de transcrição, ao Edital e seus Anexos, bem como a proposta do Detentor, e integram o presente instrumento os seguintes anexos:</w:t>
      </w:r>
    </w:p>
    <w:p w14:paraId="0EF16593">
      <w:pPr>
        <w:jc w:val="both"/>
        <w:rPr>
          <w:rFonts w:ascii="Arial" w:hAnsi="Arial" w:eastAsia="Arial" w:cs="Arial"/>
        </w:rPr>
      </w:pPr>
      <w:r>
        <w:tab/>
      </w:r>
    </w:p>
    <w:p w14:paraId="5DD2673B">
      <w:pPr>
        <w:jc w:val="both"/>
        <w:rPr>
          <w:rFonts w:ascii="Arial" w:hAnsi="Arial" w:eastAsia="Arial" w:cs="Arial"/>
        </w:rPr>
      </w:pPr>
      <w:r>
        <w:rPr>
          <w:rFonts w:ascii="Arial" w:hAnsi="Arial" w:eastAsia="Arial" w:cs="Arial"/>
          <w:b/>
        </w:rPr>
        <w:t>18.5.1. ANEXO I</w:t>
      </w:r>
      <w:r>
        <w:rPr>
          <w:rFonts w:ascii="Arial" w:hAnsi="Arial" w:eastAsia="Arial" w:cs="Arial"/>
        </w:rPr>
        <w:t xml:space="preserve"> – Termo de Referência</w:t>
      </w:r>
    </w:p>
    <w:p w14:paraId="6BCF306D">
      <w:pPr>
        <w:jc w:val="both"/>
        <w:rPr>
          <w:rFonts w:ascii="Arial" w:hAnsi="Arial" w:eastAsia="Arial" w:cs="Arial"/>
        </w:rPr>
      </w:pPr>
    </w:p>
    <w:p w14:paraId="0681B851">
      <w:pPr>
        <w:jc w:val="both"/>
        <w:rPr>
          <w:rFonts w:ascii="Arial" w:hAnsi="Arial" w:eastAsia="Arial" w:cs="Arial"/>
        </w:rPr>
      </w:pPr>
      <w:r>
        <w:rPr>
          <w:rFonts w:ascii="Arial" w:hAnsi="Arial" w:eastAsia="Arial" w:cs="Arial"/>
          <w:b/>
        </w:rPr>
        <w:t xml:space="preserve">18.5.2. ANEXO II </w:t>
      </w:r>
      <w:r>
        <w:rPr>
          <w:rFonts w:ascii="Arial" w:hAnsi="Arial" w:eastAsia="Arial" w:cs="Arial"/>
        </w:rPr>
        <w:t>- Informações sobre os produtos/serviços registrados;</w:t>
      </w:r>
    </w:p>
    <w:p w14:paraId="3988B280">
      <w:pPr>
        <w:jc w:val="both"/>
        <w:rPr>
          <w:rFonts w:ascii="Arial" w:hAnsi="Arial" w:eastAsia="Arial" w:cs="Arial"/>
        </w:rPr>
      </w:pPr>
    </w:p>
    <w:p w14:paraId="4C349F62">
      <w:pPr>
        <w:jc w:val="both"/>
        <w:rPr>
          <w:rFonts w:ascii="Arial" w:hAnsi="Arial" w:eastAsia="Arial" w:cs="Arial"/>
        </w:rPr>
      </w:pPr>
      <w:r>
        <w:rPr>
          <w:rFonts w:ascii="Arial" w:hAnsi="Arial" w:eastAsia="Arial" w:cs="Arial"/>
          <w:b/>
        </w:rPr>
        <w:t>18.5.3. ANEXO III</w:t>
      </w:r>
      <w:r>
        <w:rPr>
          <w:rFonts w:ascii="Arial" w:hAnsi="Arial" w:eastAsia="Arial" w:cs="Arial"/>
        </w:rPr>
        <w:t xml:space="preserve"> - Relação dos endereços dos participantes deste Registro;</w:t>
      </w:r>
    </w:p>
    <w:p w14:paraId="19D34600">
      <w:pPr>
        <w:jc w:val="both"/>
        <w:rPr>
          <w:rFonts w:ascii="Arial" w:hAnsi="Arial" w:eastAsia="Arial" w:cs="Arial"/>
        </w:rPr>
      </w:pPr>
    </w:p>
    <w:p w14:paraId="593127D8">
      <w:pPr>
        <w:jc w:val="both"/>
        <w:rPr>
          <w:rFonts w:ascii="Arial" w:hAnsi="Arial" w:eastAsia="Arial" w:cs="Arial"/>
        </w:rPr>
      </w:pPr>
      <w:r>
        <w:rPr>
          <w:rFonts w:ascii="Arial" w:hAnsi="Arial" w:eastAsia="Arial" w:cs="Arial"/>
          <w:b/>
        </w:rPr>
        <w:t>18.5.4. ANEXO IV</w:t>
      </w:r>
      <w:r>
        <w:rPr>
          <w:rFonts w:ascii="Arial" w:hAnsi="Arial" w:eastAsia="Arial" w:cs="Arial"/>
        </w:rPr>
        <w:t xml:space="preserve"> - Cadastro de Reserva;</w:t>
      </w:r>
    </w:p>
    <w:p w14:paraId="4DD26C00">
      <w:pPr>
        <w:jc w:val="both"/>
        <w:rPr>
          <w:rFonts w:ascii="Arial" w:hAnsi="Arial" w:eastAsia="Arial" w:cs="Arial"/>
        </w:rPr>
      </w:pPr>
    </w:p>
    <w:p w14:paraId="1C86105F">
      <w:pPr>
        <w:jc w:val="both"/>
        <w:rPr>
          <w:rFonts w:ascii="Arial" w:hAnsi="Arial" w:eastAsia="Arial" w:cs="Arial"/>
        </w:rPr>
      </w:pPr>
      <w:r>
        <w:rPr>
          <w:rFonts w:ascii="Arial" w:hAnsi="Arial" w:eastAsia="Arial" w:cs="Arial"/>
          <w:b/>
        </w:rPr>
        <w:t>18.5.5. ANEXO V</w:t>
      </w:r>
      <w:r>
        <w:rPr>
          <w:rFonts w:ascii="Arial" w:hAnsi="Arial" w:eastAsia="Arial" w:cs="Arial"/>
        </w:rPr>
        <w:t xml:space="preserve"> – Minuta de Contrato</w:t>
      </w:r>
    </w:p>
    <w:p w14:paraId="5E2ED437">
      <w:pPr>
        <w:jc w:val="both"/>
        <w:rPr>
          <w:rFonts w:ascii="Arial" w:hAnsi="Arial" w:eastAsia="Arial" w:cs="Arial"/>
        </w:rPr>
      </w:pPr>
    </w:p>
    <w:p w14:paraId="45903BAA">
      <w:pPr>
        <w:jc w:val="both"/>
        <w:rPr>
          <w:rFonts w:ascii="Arial" w:hAnsi="Arial" w:eastAsia="Arial" w:cs="Arial"/>
        </w:rPr>
      </w:pPr>
      <w:r>
        <w:rPr>
          <w:rFonts w:ascii="Arial" w:hAnsi="Arial" w:eastAsia="Arial" w:cs="Arial"/>
        </w:rPr>
        <w:t>18.6. As questões decorrentes da utilização da presente Ata que não possam ser dirimidas administrativamente serão processadas e julgadas no foro da cidade de Rondonópolis/MT, eleito pelas partes com exclusão de qualquer outro.</w:t>
      </w:r>
    </w:p>
    <w:p w14:paraId="494DC1FF">
      <w:pPr>
        <w:jc w:val="both"/>
      </w:pPr>
    </w:p>
    <w:p w14:paraId="47183A4A">
      <w:pPr>
        <w:jc w:val="center"/>
        <w:rPr>
          <w:rFonts w:ascii="Arial" w:hAnsi="Arial" w:eastAsia="Arial" w:cs="Arial"/>
        </w:rPr>
      </w:pPr>
      <w:r>
        <w:rPr>
          <w:rFonts w:ascii="Arial" w:hAnsi="Arial" w:eastAsia="Arial" w:cs="Arial"/>
        </w:rPr>
        <w:t>Rondonópolis-MT, XX de XXXXX de 2025.</w:t>
      </w:r>
    </w:p>
    <w:p w14:paraId="0780FCE2">
      <w:pPr>
        <w:jc w:val="center"/>
        <w:rPr>
          <w:rFonts w:ascii="Arial" w:hAnsi="Arial" w:eastAsia="Arial" w:cs="Arial"/>
        </w:rPr>
      </w:pPr>
    </w:p>
    <w:p w14:paraId="7A720EF7">
      <w:pPr>
        <w:jc w:val="both"/>
        <w:rPr>
          <w:rFonts w:ascii="Arial" w:hAnsi="Arial" w:eastAsia="Arial" w:cs="Arial"/>
        </w:rPr>
      </w:pPr>
      <w:r>
        <w:rPr>
          <w:rFonts w:ascii="Arial" w:hAnsi="Arial" w:eastAsia="Arial" w:cs="Arial"/>
        </w:rPr>
        <w:t>Secretário Municipal de .............................</w:t>
      </w:r>
    </w:p>
    <w:p w14:paraId="04B501A9">
      <w:pPr>
        <w:jc w:val="center"/>
        <w:rPr>
          <w:rFonts w:ascii="Arial" w:hAnsi="Arial" w:eastAsia="Arial" w:cs="Arial"/>
        </w:rPr>
      </w:pPr>
      <w:bookmarkStart w:id="63" w:name="_heading=h.newlxcwry38i"/>
      <w:bookmarkEnd w:id="63"/>
      <w:r>
        <w:rPr>
          <w:rFonts w:ascii="Arial" w:hAnsi="Arial" w:eastAsia="Arial" w:cs="Arial"/>
        </w:rPr>
        <w:t>.....................................................................Fornecedor da Ata de Registro de Preços</w:t>
      </w:r>
      <w:r>
        <w:br w:type="page"/>
      </w:r>
    </w:p>
    <w:p w14:paraId="2F0D6179">
      <w:pPr>
        <w:jc w:val="center"/>
        <w:rPr>
          <w:rFonts w:ascii="Arial" w:hAnsi="Arial" w:eastAsia="Arial" w:cs="Arial"/>
        </w:rPr>
      </w:pPr>
      <w:r>
        <w:rPr>
          <w:rFonts w:ascii="Arial" w:hAnsi="Arial" w:eastAsia="Arial" w:cs="Arial"/>
          <w:b/>
        </w:rPr>
        <w:t>ANEXO III: MINUTA DO CONTRATO.</w:t>
      </w:r>
    </w:p>
    <w:p w14:paraId="2F6137D3">
      <w:pPr>
        <w:jc w:val="both"/>
        <w:rPr>
          <w:rFonts w:ascii="Arial" w:hAnsi="Arial" w:eastAsia="Arial" w:cs="Arial"/>
        </w:rPr>
      </w:pPr>
    </w:p>
    <w:p w14:paraId="3FA75D76">
      <w:pPr>
        <w:jc w:val="both"/>
        <w:rPr>
          <w:rFonts w:ascii="Arial" w:hAnsi="Arial" w:eastAsia="Arial" w:cs="Arial"/>
        </w:rPr>
      </w:pPr>
    </w:p>
    <w:p w14:paraId="12B96078">
      <w:pPr>
        <w:jc w:val="both"/>
        <w:rPr>
          <w:rFonts w:ascii="Arial" w:hAnsi="Arial" w:eastAsia="Arial" w:cs="Arial"/>
        </w:rPr>
      </w:pPr>
      <w:r>
        <w:rPr>
          <w:rFonts w:ascii="Arial" w:hAnsi="Arial" w:eastAsia="Arial" w:cs="Arial"/>
        </w:rPr>
        <w:t xml:space="preserve">CONTRATO Nº </w:t>
      </w:r>
      <w:r>
        <w:rPr>
          <w:rFonts w:ascii="Arial" w:hAnsi="Arial" w:eastAsia="Arial" w:cs="Arial"/>
          <w:b/>
        </w:rPr>
        <w:t>XXX/XXXX</w:t>
      </w:r>
    </w:p>
    <w:p w14:paraId="6CB6A4F2">
      <w:pPr>
        <w:jc w:val="both"/>
        <w:rPr>
          <w:rFonts w:ascii="Arial" w:hAnsi="Arial" w:eastAsia="Arial" w:cs="Arial"/>
        </w:rPr>
      </w:pPr>
      <w:r>
        <w:rPr>
          <w:rFonts w:ascii="Arial" w:hAnsi="Arial" w:eastAsia="Arial" w:cs="Arial"/>
        </w:rPr>
        <w:t xml:space="preserve">CONTRATO QUE ENTRE SI CELEBRAM O </w:t>
      </w:r>
      <w:r>
        <w:rPr>
          <w:rFonts w:ascii="Arial" w:hAnsi="Arial" w:eastAsia="Arial" w:cs="Arial"/>
          <w:b/>
        </w:rPr>
        <w:t>MUNICIPIO DE RONDONÓPOLIS</w:t>
      </w:r>
      <w:r>
        <w:rPr>
          <w:rFonts w:ascii="Arial" w:hAnsi="Arial" w:eastAsia="Arial" w:cs="Arial"/>
        </w:rPr>
        <w:t xml:space="preserve">, E (O)A EMPRESA: </w:t>
      </w:r>
      <w:r>
        <w:rPr>
          <w:rFonts w:ascii="Arial" w:hAnsi="Arial" w:eastAsia="Arial" w:cs="Arial"/>
          <w:b/>
        </w:rPr>
        <w:t>XXXXX</w:t>
      </w:r>
      <w:r>
        <w:rPr>
          <w:rFonts w:ascii="Arial" w:hAnsi="Arial" w:eastAsia="Arial" w:cs="Arial"/>
        </w:rPr>
        <w:t xml:space="preserve"> ABAIXO QUALIFICADOS, PARA O FIM QUE NELE SE DECLARA.</w:t>
      </w:r>
    </w:p>
    <w:p w14:paraId="35E2D173">
      <w:pPr>
        <w:jc w:val="both"/>
        <w:rPr>
          <w:rFonts w:ascii="Arial" w:hAnsi="Arial" w:eastAsia="Arial" w:cs="Arial"/>
        </w:rPr>
      </w:pPr>
    </w:p>
    <w:p w14:paraId="5989F43B">
      <w:pPr>
        <w:jc w:val="both"/>
        <w:rPr>
          <w:rFonts w:ascii="Arial" w:hAnsi="Arial" w:eastAsia="Arial" w:cs="Arial"/>
        </w:rPr>
      </w:pPr>
    </w:p>
    <w:p w14:paraId="1C6B51E7">
      <w:pPr>
        <w:jc w:val="both"/>
        <w:rPr>
          <w:rFonts w:ascii="Arial" w:hAnsi="Arial" w:eastAsia="Arial" w:cs="Arial"/>
        </w:rPr>
      </w:pPr>
      <w:r>
        <w:rPr>
          <w:rFonts w:ascii="Arial" w:hAnsi="Arial" w:eastAsia="Arial" w:cs="Arial"/>
          <w:b/>
        </w:rPr>
        <w:t>O MUNICÍPIO DE RONDONÓPOLIS-MT.</w:t>
      </w:r>
      <w:r>
        <w:rPr>
          <w:rFonts w:ascii="Arial" w:hAnsi="Arial" w:eastAsia="Arial" w:cs="Arial"/>
        </w:rPr>
        <w:t xml:space="preserve">, pessoa jurídica de direito público, com sede na cidade de Rondonópolis, Estado de Mato Grosso, na Avenida Duque de Caxias n.º 1.000, Bairro: Vila Aurora, inscrita no CNPJ/MF. sob nº 03.347.101/0001-21, neste ato representado pelo Prefeito Municipal, Sr. </w:t>
      </w:r>
      <w:r>
        <w:rPr>
          <w:rFonts w:ascii="Arial" w:hAnsi="Arial" w:eastAsia="Arial" w:cs="Arial"/>
          <w:b/>
        </w:rPr>
        <w:t>xxxxxxxxxxxxxxxx</w:t>
      </w:r>
      <w:r>
        <w:rPr>
          <w:rFonts w:ascii="Arial" w:hAnsi="Arial" w:eastAsia="Arial" w:cs="Arial"/>
        </w:rPr>
        <w:t xml:space="preserve">, brasileiro, casado, xxxxxxxxxxxxx, portador do RG. n.º xxxxxx- SSP/xx, inscrito no CPF/MF. sob n.ºxxxxxxxxxxxxx, residente e domiciliado na cidade de Rondonópolis-MT., à Rua xxxxxxxxxxxx, Casa n.º xx, Quadra n.º xxx, Bairro xxxxxxx, doravante denominada simplesmente </w:t>
      </w:r>
      <w:r>
        <w:rPr>
          <w:rFonts w:ascii="Arial" w:hAnsi="Arial" w:eastAsia="Arial" w:cs="Arial"/>
          <w:b/>
        </w:rPr>
        <w:t>CONTRATANTE</w:t>
      </w:r>
      <w:r>
        <w:rPr>
          <w:rFonts w:ascii="Arial" w:hAnsi="Arial" w:eastAsia="Arial" w:cs="Arial"/>
        </w:rPr>
        <w:t xml:space="preserve">; e de outro lado, a empresa </w:t>
      </w:r>
      <w:r>
        <w:rPr>
          <w:rFonts w:ascii="Arial" w:hAnsi="Arial" w:eastAsia="Arial" w:cs="Arial"/>
          <w:b/>
        </w:rPr>
        <w:t>xxxxxxxxxxxx</w:t>
      </w:r>
      <w:r>
        <w:rPr>
          <w:rFonts w:ascii="Arial" w:hAnsi="Arial" w:eastAsia="Arial" w:cs="Arial"/>
        </w:rPr>
        <w:t xml:space="preserve">, inscrita no CNPJ/MF. sob nº xx.xxx.xxx/xxxx-xx, Inscrição Estadual nº xxx.xxx.xxx.xxx, com sede na cidade de xxxxxxxxxx, Estado de xxxxxxxxxx, à Rua xxxxxxxxxxxxx nº x.xxx, xxxxxxxx, neste ato representada pelo xxxxxxxx, Sr. </w:t>
      </w:r>
      <w:r>
        <w:rPr>
          <w:rFonts w:ascii="Arial" w:hAnsi="Arial" w:eastAsia="Arial" w:cs="Arial"/>
          <w:b/>
        </w:rPr>
        <w:t>xxxxxxxxx</w:t>
      </w:r>
      <w:r>
        <w:rPr>
          <w:rFonts w:ascii="Arial" w:hAnsi="Arial" w:eastAsia="Arial" w:cs="Arial"/>
        </w:rPr>
        <w:t xml:space="preserve">, xxxxxxxxx, xxxxxxx, xxxxxxxxxx, portador do RG. nº x.xxx.xxx-x SSP/xx., inscrito no CPF/MF. sob nº xxx.xxx.xxx-xx, residente e domiciliado na cidade de xxxxxxxxx-xx., à Rua xxxxxxxxxxx nº xxx, xxxxxxxx, doravante denominada simplesmente </w:t>
      </w:r>
      <w:r>
        <w:rPr>
          <w:rFonts w:ascii="Arial" w:hAnsi="Arial" w:eastAsia="Arial" w:cs="Arial"/>
          <w:b/>
        </w:rPr>
        <w:t>CONTRATADA</w:t>
      </w:r>
      <w:r>
        <w:rPr>
          <w:rFonts w:ascii="Arial" w:hAnsi="Arial" w:eastAsia="Arial" w:cs="Arial"/>
        </w:rPr>
        <w:t>, tendo em vista o resultado final do PREGÃO ELETRÔNICO nº.XX/2025, com fundamento na Lei XXXXXXXX, e demais legislações correlatadas, resolvem celebrar o presente instrumento, mediante as cláusulas e condições a seguir:</w:t>
      </w:r>
    </w:p>
    <w:p w14:paraId="5C31D5EB">
      <w:pPr>
        <w:jc w:val="both"/>
        <w:rPr>
          <w:rFonts w:ascii="Arial" w:hAnsi="Arial" w:eastAsia="Arial" w:cs="Arial"/>
        </w:rPr>
      </w:pPr>
    </w:p>
    <w:p w14:paraId="7EE891C0">
      <w:pPr>
        <w:jc w:val="both"/>
        <w:rPr>
          <w:rFonts w:ascii="Arial" w:hAnsi="Arial" w:eastAsia="Arial" w:cs="Arial"/>
          <w:b/>
        </w:rPr>
      </w:pPr>
      <w:r>
        <w:rPr>
          <w:rFonts w:ascii="Arial" w:hAnsi="Arial" w:eastAsia="Arial" w:cs="Arial"/>
          <w:b/>
        </w:rPr>
        <w:t>CLÁUSULA PRIMEIRA – DOCUMENTOS INTEGRANTES DO CONTRATO</w:t>
      </w:r>
    </w:p>
    <w:p w14:paraId="3B2C7CD8">
      <w:pPr>
        <w:jc w:val="both"/>
        <w:rPr>
          <w:rFonts w:ascii="Arial" w:hAnsi="Arial" w:eastAsia="Arial" w:cs="Arial"/>
          <w:b/>
        </w:rPr>
      </w:pPr>
    </w:p>
    <w:p w14:paraId="34BE3B51">
      <w:pPr>
        <w:numPr>
          <w:ilvl w:val="1"/>
          <w:numId w:val="21"/>
        </w:numPr>
        <w:ind w:left="0" w:firstLine="0"/>
        <w:jc w:val="both"/>
        <w:rPr>
          <w:rFonts w:ascii="Arial" w:hAnsi="Arial" w:eastAsia="Arial" w:cs="Arial"/>
        </w:rPr>
      </w:pPr>
      <w:r>
        <w:rPr>
          <w:rFonts w:ascii="Arial" w:hAnsi="Arial" w:eastAsia="Arial" w:cs="Arial"/>
        </w:rPr>
        <w:t>Edital e anexos do PREGÃO ELETRÔNICO nº XX/2025;</w:t>
      </w:r>
    </w:p>
    <w:p w14:paraId="00F66BE5">
      <w:pPr>
        <w:jc w:val="both"/>
        <w:rPr>
          <w:rFonts w:ascii="Arial" w:hAnsi="Arial" w:eastAsia="Arial" w:cs="Arial"/>
        </w:rPr>
      </w:pPr>
    </w:p>
    <w:p w14:paraId="0895DF06">
      <w:pPr>
        <w:numPr>
          <w:ilvl w:val="1"/>
          <w:numId w:val="21"/>
        </w:numPr>
        <w:ind w:left="0" w:firstLine="0"/>
        <w:jc w:val="both"/>
        <w:rPr>
          <w:rFonts w:ascii="Arial" w:hAnsi="Arial" w:eastAsia="Arial" w:cs="Arial"/>
        </w:rPr>
      </w:pPr>
      <w:r>
        <w:rPr>
          <w:rFonts w:ascii="Arial" w:hAnsi="Arial" w:eastAsia="Arial" w:cs="Arial"/>
        </w:rPr>
        <w:t>Termo de Referência nº XX/2025;</w:t>
      </w:r>
    </w:p>
    <w:p w14:paraId="7899B0CF">
      <w:pPr>
        <w:rPr>
          <w:rFonts w:ascii="Arial" w:hAnsi="Arial" w:eastAsia="Arial" w:cs="Arial"/>
          <w:color w:val="000000"/>
        </w:rPr>
      </w:pPr>
    </w:p>
    <w:p w14:paraId="3B20F36B">
      <w:pPr>
        <w:numPr>
          <w:ilvl w:val="1"/>
          <w:numId w:val="21"/>
        </w:numPr>
        <w:ind w:left="0" w:firstLine="0"/>
        <w:jc w:val="both"/>
        <w:rPr>
          <w:rFonts w:ascii="Arial" w:hAnsi="Arial" w:eastAsia="Arial" w:cs="Arial"/>
        </w:rPr>
      </w:pPr>
      <w:r>
        <w:rPr>
          <w:rFonts w:ascii="Arial" w:hAnsi="Arial" w:eastAsia="Arial" w:cs="Arial"/>
        </w:rPr>
        <w:t>Proposta de Preço readequada da CONTRATADA;</w:t>
      </w:r>
    </w:p>
    <w:p w14:paraId="7A2715A0">
      <w:pPr>
        <w:rPr>
          <w:rFonts w:ascii="Arial" w:hAnsi="Arial" w:eastAsia="Arial" w:cs="Arial"/>
          <w:color w:val="000000"/>
        </w:rPr>
      </w:pPr>
    </w:p>
    <w:p w14:paraId="48759F73">
      <w:pPr>
        <w:numPr>
          <w:ilvl w:val="1"/>
          <w:numId w:val="21"/>
        </w:numPr>
        <w:ind w:left="0" w:firstLine="0"/>
        <w:jc w:val="both"/>
        <w:rPr>
          <w:rFonts w:ascii="Arial" w:hAnsi="Arial" w:eastAsia="Arial" w:cs="Arial"/>
        </w:rPr>
      </w:pPr>
      <w:r>
        <w:rPr>
          <w:rFonts w:ascii="Arial" w:hAnsi="Arial" w:eastAsia="Arial" w:cs="Arial"/>
        </w:rPr>
        <w:t>Anexos dos documentos aqui listados;</w:t>
      </w:r>
    </w:p>
    <w:p w14:paraId="6372D039">
      <w:pPr>
        <w:rPr>
          <w:rFonts w:ascii="Arial" w:hAnsi="Arial" w:eastAsia="Arial" w:cs="Arial"/>
          <w:color w:val="000000"/>
        </w:rPr>
      </w:pPr>
    </w:p>
    <w:p w14:paraId="46AB058E">
      <w:pPr>
        <w:numPr>
          <w:ilvl w:val="1"/>
          <w:numId w:val="21"/>
        </w:numPr>
        <w:ind w:left="0" w:firstLine="0"/>
        <w:jc w:val="both"/>
        <w:rPr>
          <w:rFonts w:ascii="Arial" w:hAnsi="Arial" w:eastAsia="Arial" w:cs="Arial"/>
        </w:rPr>
      </w:pPr>
      <w:r>
        <w:rPr>
          <w:rFonts w:ascii="Arial" w:hAnsi="Arial" w:eastAsia="Arial" w:cs="Arial"/>
        </w:rPr>
        <w:t>Ata (s) de Registro de Preços;</w:t>
      </w:r>
    </w:p>
    <w:p w14:paraId="2A00F32D">
      <w:pPr>
        <w:rPr>
          <w:rFonts w:ascii="Arial" w:hAnsi="Arial" w:eastAsia="Arial" w:cs="Arial"/>
          <w:color w:val="000000"/>
        </w:rPr>
      </w:pPr>
    </w:p>
    <w:p w14:paraId="017DCFFB">
      <w:pPr>
        <w:jc w:val="both"/>
        <w:rPr>
          <w:rFonts w:ascii="Arial" w:hAnsi="Arial" w:eastAsia="Arial" w:cs="Arial"/>
        </w:rPr>
      </w:pPr>
      <w:r>
        <w:rPr>
          <w:rFonts w:ascii="Arial" w:hAnsi="Arial" w:eastAsia="Arial" w:cs="Arial"/>
          <w:b/>
        </w:rPr>
        <w:t>1.6.</w:t>
      </w:r>
      <w:r>
        <w:rPr>
          <w:rFonts w:ascii="Arial" w:hAnsi="Arial" w:eastAsia="Arial" w:cs="Arial"/>
        </w:rPr>
        <w:t xml:space="preserve"> Os documentos referidos acima são considerados suficientes para, em complemento a este instrumento contratual, definir a sua intenção e, desta forma, reger sua execução dentro do mais alto padrão da técnica atual.</w:t>
      </w:r>
    </w:p>
    <w:p w14:paraId="52A0805D">
      <w:pPr>
        <w:jc w:val="both"/>
        <w:rPr>
          <w:rFonts w:ascii="Arial" w:hAnsi="Arial" w:eastAsia="Arial" w:cs="Arial"/>
          <w:b/>
        </w:rPr>
      </w:pPr>
    </w:p>
    <w:p w14:paraId="726941C1">
      <w:pPr>
        <w:rPr>
          <w:rFonts w:ascii="Arial" w:hAnsi="Arial" w:eastAsia="Arial" w:cs="Arial"/>
          <w:b/>
        </w:rPr>
      </w:pPr>
      <w:r>
        <w:rPr>
          <w:rFonts w:ascii="Arial" w:hAnsi="Arial" w:eastAsia="Arial" w:cs="Arial"/>
          <w:b/>
        </w:rPr>
        <w:t>CLÁUSULA SEGUNDA – DO OBJETO:</w:t>
      </w:r>
    </w:p>
    <w:p w14:paraId="4B0C89D7">
      <w:pPr>
        <w:rPr>
          <w:rFonts w:ascii="Arial" w:hAnsi="Arial" w:eastAsia="Arial" w:cs="Arial"/>
          <w:b/>
        </w:rPr>
      </w:pPr>
    </w:p>
    <w:p w14:paraId="3B10D958">
      <w:pPr>
        <w:jc w:val="both"/>
        <w:rPr>
          <w:rFonts w:ascii="Arial" w:hAnsi="Arial" w:eastAsia="Arial" w:cs="Arial"/>
        </w:rPr>
      </w:pPr>
      <w:r>
        <w:rPr>
          <w:rFonts w:ascii="Arial" w:hAnsi="Arial" w:eastAsia="Arial" w:cs="Arial"/>
          <w:b/>
        </w:rPr>
        <w:t xml:space="preserve">2.1. </w:t>
      </w:r>
      <w:r>
        <w:rPr>
          <w:rFonts w:ascii="Arial" w:hAnsi="Arial" w:eastAsia="Arial" w:cs="Arial"/>
        </w:rPr>
        <w:t xml:space="preserve">O presente contrato tem por objeto a </w:t>
      </w:r>
      <w:r>
        <w:rPr>
          <w:rFonts w:ascii="Arial" w:hAnsi="Arial" w:eastAsia="Arial" w:cs="Arial"/>
          <w:b/>
          <w:i/>
        </w:rPr>
        <w:t xml:space="preserve">Contratação de empresa especializada na prestação de serviços de nutrição e fornecimento de alimentação escolar, abrangendo o fornecimento de gêneros alimentícios, preparo, cocção, transporte, armazenamento, distribuição das refeições, fornecimento de gás GLP, e todos os demais insumos, bem como a higienização e o acompanhamento nutricional, destinados ao atendimento dos alunos regularmente matriculados na rede pública municipal de ensino de Rondonópolis/MT., por meio de licitações públicas para atender as necessidades da Secretaria Municipal de Educação, Cultura, Esporte e Lazer de Rondonópolis-MT, conforme especificações e quantitativos estabelecidos no Edital e seus anexos, </w:t>
      </w:r>
      <w:r>
        <w:rPr>
          <w:rFonts w:ascii="Arial" w:hAnsi="Arial" w:eastAsia="Arial" w:cs="Arial"/>
        </w:rPr>
        <w:t>na forma e qualidade estabelecidas nos documentos constantes da CLÁÚSULA PRIMEIRA.</w:t>
      </w:r>
    </w:p>
    <w:p w14:paraId="106ECF73">
      <w:pPr>
        <w:jc w:val="both"/>
        <w:rPr>
          <w:rFonts w:ascii="Arial" w:hAnsi="Arial" w:eastAsia="Arial" w:cs="Arial"/>
        </w:rPr>
      </w:pPr>
    </w:p>
    <w:p w14:paraId="06193763">
      <w:pPr>
        <w:jc w:val="both"/>
        <w:rPr>
          <w:rFonts w:ascii="Arial" w:hAnsi="Arial" w:cs="Arial"/>
          <w:b/>
          <w:i/>
        </w:rPr>
      </w:pPr>
      <w:r>
        <w:rPr>
          <w:rFonts w:ascii="Arial" w:hAnsi="Arial" w:cs="Arial"/>
          <w:b/>
          <w:i/>
        </w:rPr>
        <w:t>2.1.1 Especificações detalhadas dos itens a serem contratados</w:t>
      </w:r>
    </w:p>
    <w:p w14:paraId="106E84D2">
      <w:pPr>
        <w:jc w:val="both"/>
        <w:rPr>
          <w:rFonts w:ascii="Arial" w:hAnsi="Arial" w:eastAsia="Arial" w:cs="Arial"/>
          <w:b/>
        </w:rPr>
      </w:pPr>
    </w:p>
    <w:p w14:paraId="7AEA1413">
      <w:pPr>
        <w:jc w:val="both"/>
        <w:rPr>
          <w:rFonts w:ascii="Arial" w:hAnsi="Arial" w:eastAsia="Arial" w:cs="Arial"/>
          <w:b/>
          <w:i/>
        </w:rPr>
      </w:pPr>
      <w:r>
        <w:rPr>
          <w:rFonts w:ascii="Arial" w:hAnsi="Arial" w:cs="Arial"/>
        </w:rPr>
        <w:t>Em complemento ao objeto definido no item 2.1, seguem abaixo os itens que compõem o objeto a ser contratado, com suas respectivas descrições, unidades de fornecimento e quantitativos, conforme Termo de Referência e Edital:</w:t>
      </w:r>
    </w:p>
    <w:p w14:paraId="0111080E">
      <w:pPr>
        <w:jc w:val="both"/>
        <w:rPr>
          <w:rFonts w:ascii="Arial" w:hAnsi="Arial" w:eastAsia="Arial" w:cs="Arial"/>
          <w:b/>
          <w:i/>
        </w:rPr>
      </w:pPr>
    </w:p>
    <w:tbl>
      <w:tblPr>
        <w:tblStyle w:val="12"/>
        <w:tblW w:w="9975" w:type="dxa"/>
        <w:tblInd w:w="65" w:type="dxa"/>
        <w:tblLayout w:type="fixed"/>
        <w:tblCellMar>
          <w:top w:w="0" w:type="dxa"/>
          <w:left w:w="108" w:type="dxa"/>
          <w:bottom w:w="0" w:type="dxa"/>
          <w:right w:w="108" w:type="dxa"/>
        </w:tblCellMar>
      </w:tblPr>
      <w:tblGrid>
        <w:gridCol w:w="1065"/>
        <w:gridCol w:w="3299"/>
        <w:gridCol w:w="1699"/>
        <w:gridCol w:w="1426"/>
        <w:gridCol w:w="850"/>
        <w:gridCol w:w="1636"/>
      </w:tblGrid>
      <w:tr w14:paraId="62C85C1B">
        <w:tblPrEx>
          <w:tblCellMar>
            <w:top w:w="0" w:type="dxa"/>
            <w:left w:w="108" w:type="dxa"/>
            <w:bottom w:w="0" w:type="dxa"/>
            <w:right w:w="108" w:type="dxa"/>
          </w:tblCellMar>
        </w:tblPrEx>
        <w:tc>
          <w:tcPr>
            <w:tcW w:w="1064" w:type="dxa"/>
            <w:tcBorders>
              <w:top w:val="single" w:color="000000" w:sz="4" w:space="0"/>
              <w:left w:val="single" w:color="000000" w:sz="4" w:space="0"/>
              <w:bottom w:val="single" w:color="000000" w:sz="4" w:space="0"/>
            </w:tcBorders>
            <w:shd w:val="clear" w:color="auto" w:fill="DDDDDD"/>
            <w:vAlign w:val="center"/>
          </w:tcPr>
          <w:p w14:paraId="056EAAFA">
            <w:pPr>
              <w:widowControl w:val="0"/>
              <w:spacing w:before="57" w:after="57" w:line="192" w:lineRule="auto"/>
              <w:jc w:val="center"/>
              <w:rPr>
                <w:rFonts w:ascii="Arial" w:hAnsi="Arial" w:eastAsia="Arial" w:cs="Arial"/>
                <w:b/>
              </w:rPr>
            </w:pPr>
            <w:r>
              <w:rPr>
                <w:rFonts w:ascii="Arial" w:hAnsi="Arial" w:eastAsia="Arial" w:cs="Arial"/>
                <w:b/>
              </w:rPr>
              <w:t>CÓD.</w:t>
            </w:r>
          </w:p>
        </w:tc>
        <w:tc>
          <w:tcPr>
            <w:tcW w:w="3299" w:type="dxa"/>
            <w:tcBorders>
              <w:top w:val="single" w:color="000000" w:sz="4" w:space="0"/>
              <w:left w:val="single" w:color="000000" w:sz="4" w:space="0"/>
              <w:bottom w:val="single" w:color="000000" w:sz="4" w:space="0"/>
            </w:tcBorders>
            <w:shd w:val="clear" w:color="auto" w:fill="DDDDDD"/>
            <w:vAlign w:val="center"/>
          </w:tcPr>
          <w:p w14:paraId="01A1DA8B">
            <w:pPr>
              <w:widowControl w:val="0"/>
              <w:spacing w:before="57" w:after="57" w:line="192" w:lineRule="auto"/>
              <w:jc w:val="center"/>
              <w:rPr>
                <w:rFonts w:ascii="Arial" w:hAnsi="Arial" w:eastAsia="Arial" w:cs="Arial"/>
                <w:b/>
              </w:rPr>
            </w:pPr>
            <w:r>
              <w:rPr>
                <w:rFonts w:ascii="Arial" w:hAnsi="Arial" w:eastAsia="Arial" w:cs="Arial"/>
                <w:b/>
              </w:rPr>
              <w:t>Modalidade</w:t>
            </w:r>
          </w:p>
        </w:tc>
        <w:tc>
          <w:tcPr>
            <w:tcW w:w="1699" w:type="dxa"/>
            <w:tcBorders>
              <w:top w:val="single" w:color="000000" w:sz="4" w:space="0"/>
              <w:left w:val="single" w:color="000000" w:sz="4" w:space="0"/>
              <w:bottom w:val="single" w:color="000000" w:sz="4" w:space="0"/>
            </w:tcBorders>
            <w:shd w:val="clear" w:color="auto" w:fill="DDDDDD"/>
            <w:vAlign w:val="center"/>
          </w:tcPr>
          <w:p w14:paraId="3949BB6E">
            <w:pPr>
              <w:widowControl w:val="0"/>
              <w:spacing w:before="57" w:after="57" w:line="192" w:lineRule="auto"/>
              <w:jc w:val="center"/>
              <w:rPr>
                <w:rFonts w:ascii="Arial" w:hAnsi="Arial" w:eastAsia="Arial" w:cs="Arial"/>
                <w:b/>
              </w:rPr>
            </w:pPr>
            <w:r>
              <w:rPr>
                <w:rFonts w:ascii="Arial" w:hAnsi="Arial" w:eastAsia="Arial" w:cs="Arial"/>
                <w:b/>
              </w:rPr>
              <w:t>Refeição</w:t>
            </w:r>
          </w:p>
        </w:tc>
        <w:tc>
          <w:tcPr>
            <w:tcW w:w="1426" w:type="dxa"/>
            <w:tcBorders>
              <w:top w:val="single" w:color="000000" w:sz="4" w:space="0"/>
              <w:left w:val="single" w:color="000000" w:sz="4" w:space="0"/>
              <w:bottom w:val="single" w:color="000000" w:sz="4" w:space="0"/>
            </w:tcBorders>
            <w:shd w:val="clear" w:color="auto" w:fill="DDDDDD"/>
            <w:vAlign w:val="center"/>
          </w:tcPr>
          <w:p w14:paraId="5CA8369D">
            <w:pPr>
              <w:widowControl w:val="0"/>
              <w:spacing w:before="57" w:after="57" w:line="192" w:lineRule="auto"/>
              <w:ind w:left="-170" w:right="-170"/>
              <w:jc w:val="center"/>
              <w:rPr>
                <w:rFonts w:ascii="Arial" w:hAnsi="Arial" w:eastAsia="Arial" w:cs="Arial"/>
                <w:b/>
              </w:rPr>
            </w:pPr>
            <w:r>
              <w:rPr>
                <w:rFonts w:ascii="Arial" w:hAnsi="Arial" w:eastAsia="Arial" w:cs="Arial"/>
                <w:b/>
              </w:rPr>
              <w:t>Refeições / Ano</w:t>
            </w:r>
          </w:p>
        </w:tc>
        <w:tc>
          <w:tcPr>
            <w:tcW w:w="850" w:type="dxa"/>
            <w:tcBorders>
              <w:top w:val="single" w:color="000000" w:sz="4" w:space="0"/>
              <w:left w:val="single" w:color="000000" w:sz="4" w:space="0"/>
              <w:bottom w:val="single" w:color="000000" w:sz="4" w:space="0"/>
            </w:tcBorders>
            <w:shd w:val="clear" w:color="auto" w:fill="DDDDDD"/>
            <w:vAlign w:val="center"/>
          </w:tcPr>
          <w:p w14:paraId="3C441C19">
            <w:pPr>
              <w:widowControl w:val="0"/>
              <w:spacing w:before="57" w:after="57" w:line="192" w:lineRule="auto"/>
              <w:jc w:val="center"/>
              <w:rPr>
                <w:rFonts w:ascii="Arial" w:hAnsi="Arial" w:eastAsia="Arial" w:cs="Arial"/>
                <w:b/>
              </w:rPr>
            </w:pPr>
            <w:r>
              <w:rPr>
                <w:rFonts w:ascii="Arial" w:hAnsi="Arial" w:eastAsia="Arial" w:cs="Arial"/>
                <w:b/>
              </w:rPr>
              <w:t>V. Unit.</w:t>
            </w:r>
          </w:p>
        </w:tc>
        <w:tc>
          <w:tcPr>
            <w:tcW w:w="1636" w:type="dxa"/>
            <w:tcBorders>
              <w:top w:val="single" w:color="000000" w:sz="4" w:space="0"/>
              <w:left w:val="single" w:color="000000" w:sz="4" w:space="0"/>
              <w:bottom w:val="single" w:color="000000" w:sz="4" w:space="0"/>
              <w:right w:val="single" w:color="000000" w:sz="4" w:space="0"/>
            </w:tcBorders>
            <w:shd w:val="clear" w:color="auto" w:fill="DDDDDD"/>
            <w:vAlign w:val="center"/>
          </w:tcPr>
          <w:p w14:paraId="1BF6B69D">
            <w:pPr>
              <w:widowControl w:val="0"/>
              <w:spacing w:before="57" w:after="57" w:line="192" w:lineRule="auto"/>
              <w:jc w:val="center"/>
              <w:rPr>
                <w:rFonts w:ascii="Arial" w:hAnsi="Arial" w:eastAsia="Arial" w:cs="Arial"/>
                <w:b/>
              </w:rPr>
            </w:pPr>
            <w:r>
              <w:rPr>
                <w:rFonts w:ascii="Arial" w:hAnsi="Arial" w:eastAsia="Arial" w:cs="Arial"/>
                <w:b/>
              </w:rPr>
              <w:t>V. Total</w:t>
            </w:r>
          </w:p>
        </w:tc>
      </w:tr>
      <w:tr w14:paraId="0566B381">
        <w:tblPrEx>
          <w:tblCellMar>
            <w:top w:w="0" w:type="dxa"/>
            <w:left w:w="108" w:type="dxa"/>
            <w:bottom w:w="0" w:type="dxa"/>
            <w:right w:w="108" w:type="dxa"/>
          </w:tblCellMar>
        </w:tblPrEx>
        <w:trPr>
          <w:trHeight w:val="269" w:hRule="atLeast"/>
        </w:trPr>
        <w:tc>
          <w:tcPr>
            <w:tcW w:w="1064" w:type="dxa"/>
            <w:tcBorders>
              <w:top w:val="single" w:color="000000" w:sz="4" w:space="0"/>
              <w:left w:val="single" w:color="000000" w:sz="4" w:space="0"/>
              <w:bottom w:val="single" w:color="000000" w:sz="4" w:space="0"/>
            </w:tcBorders>
            <w:vAlign w:val="center"/>
          </w:tcPr>
          <w:p w14:paraId="3B82650E">
            <w:pPr>
              <w:widowControl w:val="0"/>
              <w:jc w:val="center"/>
              <w:rPr>
                <w:rFonts w:ascii="Arial" w:hAnsi="Arial" w:eastAsia="Arial" w:cs="Arial"/>
                <w:b/>
              </w:rPr>
            </w:pPr>
            <w:r>
              <w:rPr>
                <w:rFonts w:ascii="Arial" w:hAnsi="Arial" w:eastAsia="Arial" w:cs="Arial"/>
                <w:b/>
              </w:rPr>
              <w:t>127814</w:t>
            </w:r>
          </w:p>
        </w:tc>
        <w:tc>
          <w:tcPr>
            <w:tcW w:w="3299" w:type="dxa"/>
            <w:tcBorders>
              <w:top w:val="single" w:color="000000" w:sz="4" w:space="0"/>
              <w:left w:val="single" w:color="000000" w:sz="4" w:space="0"/>
              <w:bottom w:val="single" w:color="000000" w:sz="4" w:space="0"/>
            </w:tcBorders>
            <w:vAlign w:val="center"/>
          </w:tcPr>
          <w:p w14:paraId="146B9D7C">
            <w:pPr>
              <w:widowControl w:val="0"/>
              <w:jc w:val="center"/>
              <w:rPr>
                <w:rFonts w:ascii="Arial" w:hAnsi="Arial" w:eastAsia="Arial" w:cs="Arial"/>
              </w:rPr>
            </w:pPr>
            <w:r>
              <w:rPr>
                <w:rFonts w:ascii="Arial" w:hAnsi="Arial" w:eastAsia="Arial" w:cs="Arial"/>
              </w:rPr>
              <w:t>Creche Parcial  (matutino)</w:t>
            </w:r>
          </w:p>
        </w:tc>
        <w:tc>
          <w:tcPr>
            <w:tcW w:w="1699" w:type="dxa"/>
            <w:tcBorders>
              <w:top w:val="single" w:color="000000" w:sz="4" w:space="0"/>
              <w:left w:val="single" w:color="000000" w:sz="4" w:space="0"/>
              <w:bottom w:val="single" w:color="000000" w:sz="4" w:space="0"/>
            </w:tcBorders>
            <w:vAlign w:val="center"/>
          </w:tcPr>
          <w:p w14:paraId="7F8557E3">
            <w:pPr>
              <w:widowControl w:val="0"/>
              <w:jc w:val="center"/>
              <w:rPr>
                <w:rFonts w:ascii="Arial" w:hAnsi="Arial" w:eastAsia="Arial" w:cs="Arial"/>
              </w:rPr>
            </w:pPr>
            <w:r>
              <w:rPr>
                <w:rFonts w:ascii="Arial" w:hAnsi="Arial" w:eastAsia="Arial" w:cs="Arial"/>
              </w:rPr>
              <w:t>Café da Manhã/Almoço</w:t>
            </w:r>
          </w:p>
        </w:tc>
        <w:tc>
          <w:tcPr>
            <w:tcW w:w="1426" w:type="dxa"/>
            <w:tcBorders>
              <w:top w:val="single" w:color="000000" w:sz="4" w:space="0"/>
              <w:left w:val="single" w:color="000000" w:sz="4" w:space="0"/>
              <w:bottom w:val="single" w:color="000000" w:sz="4" w:space="0"/>
            </w:tcBorders>
            <w:vAlign w:val="center"/>
          </w:tcPr>
          <w:p w14:paraId="3989A85C">
            <w:pPr>
              <w:widowControl w:val="0"/>
              <w:jc w:val="center"/>
              <w:rPr>
                <w:rFonts w:ascii="Arial" w:hAnsi="Arial" w:eastAsia="Arial" w:cs="Arial"/>
              </w:rPr>
            </w:pPr>
            <w:r>
              <w:rPr>
                <w:rFonts w:ascii="Arial" w:hAnsi="Arial" w:eastAsia="Arial" w:cs="Arial"/>
              </w:rPr>
              <w:t>345600</w:t>
            </w:r>
          </w:p>
        </w:tc>
        <w:tc>
          <w:tcPr>
            <w:tcW w:w="850" w:type="dxa"/>
            <w:tcBorders>
              <w:top w:val="single" w:color="000000" w:sz="4" w:space="0"/>
              <w:left w:val="single" w:color="000000" w:sz="4" w:space="0"/>
              <w:bottom w:val="single" w:color="000000" w:sz="4" w:space="0"/>
            </w:tcBorders>
            <w:vAlign w:val="center"/>
          </w:tcPr>
          <w:p w14:paraId="710CA5DD">
            <w:pPr>
              <w:widowControl w:val="0"/>
              <w:jc w:val="center"/>
              <w:rPr>
                <w:rFonts w:ascii="Arial" w:hAnsi="Arial" w:eastAsia="Arial" w:cs="Arial"/>
              </w:rPr>
            </w:pPr>
            <w:r>
              <w:rPr>
                <w:rFonts w:ascii="Arial" w:hAnsi="Arial" w:eastAsia="Arial" w:cs="Arial"/>
              </w:rPr>
              <w:t>R$ 5,47</w:t>
            </w:r>
          </w:p>
        </w:tc>
        <w:tc>
          <w:tcPr>
            <w:tcW w:w="1636" w:type="dxa"/>
            <w:tcBorders>
              <w:top w:val="single" w:color="000000" w:sz="4" w:space="0"/>
              <w:left w:val="single" w:color="000000" w:sz="4" w:space="0"/>
              <w:bottom w:val="single" w:color="000000" w:sz="4" w:space="0"/>
              <w:right w:val="single" w:color="000000" w:sz="4" w:space="0"/>
            </w:tcBorders>
            <w:vAlign w:val="center"/>
          </w:tcPr>
          <w:p w14:paraId="0D440454">
            <w:pPr>
              <w:widowControl w:val="0"/>
              <w:jc w:val="center"/>
              <w:rPr>
                <w:rFonts w:ascii="Arial" w:hAnsi="Arial" w:eastAsia="Arial" w:cs="Arial"/>
              </w:rPr>
            </w:pPr>
            <w:r>
              <w:rPr>
                <w:rFonts w:ascii="Arial" w:hAnsi="Arial" w:eastAsia="Arial" w:cs="Arial"/>
              </w:rPr>
              <w:t>R$ 1.890.432,00</w:t>
            </w:r>
          </w:p>
        </w:tc>
      </w:tr>
      <w:tr w14:paraId="206C9402">
        <w:tblPrEx>
          <w:tblCellMar>
            <w:top w:w="0" w:type="dxa"/>
            <w:left w:w="108" w:type="dxa"/>
            <w:bottom w:w="0" w:type="dxa"/>
            <w:right w:w="108" w:type="dxa"/>
          </w:tblCellMar>
        </w:tblPrEx>
        <w:trPr>
          <w:trHeight w:val="326" w:hRule="atLeast"/>
        </w:trPr>
        <w:tc>
          <w:tcPr>
            <w:tcW w:w="1064" w:type="dxa"/>
            <w:tcBorders>
              <w:left w:val="single" w:color="000000" w:sz="4" w:space="0"/>
              <w:bottom w:val="single" w:color="000000" w:sz="4" w:space="0"/>
            </w:tcBorders>
            <w:vAlign w:val="center"/>
          </w:tcPr>
          <w:p w14:paraId="50011D0D">
            <w:pPr>
              <w:widowControl w:val="0"/>
              <w:jc w:val="center"/>
              <w:rPr>
                <w:rFonts w:ascii="Arial" w:hAnsi="Arial" w:eastAsia="Arial" w:cs="Arial"/>
                <w:b/>
              </w:rPr>
            </w:pPr>
            <w:r>
              <w:rPr>
                <w:rFonts w:ascii="Arial" w:hAnsi="Arial" w:eastAsia="Arial" w:cs="Arial"/>
                <w:b/>
              </w:rPr>
              <w:t>127815</w:t>
            </w:r>
          </w:p>
        </w:tc>
        <w:tc>
          <w:tcPr>
            <w:tcW w:w="3299" w:type="dxa"/>
            <w:tcBorders>
              <w:left w:val="single" w:color="000000" w:sz="4" w:space="0"/>
              <w:bottom w:val="single" w:color="000000" w:sz="4" w:space="0"/>
            </w:tcBorders>
            <w:vAlign w:val="center"/>
          </w:tcPr>
          <w:p w14:paraId="55C4569C">
            <w:pPr>
              <w:widowControl w:val="0"/>
              <w:jc w:val="center"/>
              <w:rPr>
                <w:rFonts w:ascii="Arial" w:hAnsi="Arial" w:eastAsia="Arial" w:cs="Arial"/>
              </w:rPr>
            </w:pPr>
            <w:r>
              <w:rPr>
                <w:rFonts w:ascii="Arial" w:hAnsi="Arial" w:eastAsia="Arial" w:cs="Arial"/>
              </w:rPr>
              <w:t>Creche Parcial  (vespertino)</w:t>
            </w:r>
          </w:p>
        </w:tc>
        <w:tc>
          <w:tcPr>
            <w:tcW w:w="1699" w:type="dxa"/>
            <w:tcBorders>
              <w:left w:val="single" w:color="000000" w:sz="4" w:space="0"/>
              <w:bottom w:val="single" w:color="000000" w:sz="4" w:space="0"/>
            </w:tcBorders>
            <w:vAlign w:val="center"/>
          </w:tcPr>
          <w:p w14:paraId="683B852C">
            <w:pPr>
              <w:widowControl w:val="0"/>
              <w:jc w:val="center"/>
              <w:rPr>
                <w:rFonts w:ascii="Arial" w:hAnsi="Arial" w:eastAsia="Arial" w:cs="Arial"/>
              </w:rPr>
            </w:pPr>
            <w:r>
              <w:rPr>
                <w:rFonts w:ascii="Arial" w:hAnsi="Arial" w:eastAsia="Arial" w:cs="Arial"/>
              </w:rPr>
              <w:t>Lanche da Tarde/Jantar</w:t>
            </w:r>
          </w:p>
        </w:tc>
        <w:tc>
          <w:tcPr>
            <w:tcW w:w="1426" w:type="dxa"/>
            <w:tcBorders>
              <w:left w:val="single" w:color="000000" w:sz="4" w:space="0"/>
              <w:bottom w:val="single" w:color="000000" w:sz="4" w:space="0"/>
            </w:tcBorders>
            <w:vAlign w:val="center"/>
          </w:tcPr>
          <w:p w14:paraId="4E70D568">
            <w:pPr>
              <w:widowControl w:val="0"/>
              <w:jc w:val="center"/>
              <w:rPr>
                <w:rFonts w:ascii="Arial" w:hAnsi="Arial" w:eastAsia="Arial" w:cs="Arial"/>
              </w:rPr>
            </w:pPr>
            <w:r>
              <w:rPr>
                <w:rFonts w:ascii="Arial" w:hAnsi="Arial" w:eastAsia="Arial" w:cs="Arial"/>
              </w:rPr>
              <w:t>427200</w:t>
            </w:r>
          </w:p>
        </w:tc>
        <w:tc>
          <w:tcPr>
            <w:tcW w:w="850" w:type="dxa"/>
            <w:tcBorders>
              <w:left w:val="single" w:color="000000" w:sz="4" w:space="0"/>
              <w:bottom w:val="single" w:color="000000" w:sz="4" w:space="0"/>
            </w:tcBorders>
            <w:vAlign w:val="center"/>
          </w:tcPr>
          <w:p w14:paraId="59B7CA40">
            <w:pPr>
              <w:widowControl w:val="0"/>
              <w:jc w:val="center"/>
              <w:rPr>
                <w:rFonts w:ascii="Arial" w:hAnsi="Arial" w:eastAsia="Arial" w:cs="Arial"/>
              </w:rPr>
            </w:pPr>
            <w:r>
              <w:rPr>
                <w:rFonts w:ascii="Arial" w:hAnsi="Arial" w:eastAsia="Arial" w:cs="Arial"/>
              </w:rPr>
              <w:t>R$ 5,45</w:t>
            </w:r>
          </w:p>
        </w:tc>
        <w:tc>
          <w:tcPr>
            <w:tcW w:w="1636" w:type="dxa"/>
            <w:tcBorders>
              <w:left w:val="single" w:color="000000" w:sz="4" w:space="0"/>
              <w:bottom w:val="single" w:color="000000" w:sz="4" w:space="0"/>
              <w:right w:val="single" w:color="000000" w:sz="4" w:space="0"/>
            </w:tcBorders>
            <w:vAlign w:val="center"/>
          </w:tcPr>
          <w:p w14:paraId="7AD6E06C">
            <w:pPr>
              <w:widowControl w:val="0"/>
              <w:jc w:val="center"/>
              <w:rPr>
                <w:rFonts w:ascii="Arial" w:hAnsi="Arial" w:eastAsia="Arial" w:cs="Arial"/>
              </w:rPr>
            </w:pPr>
            <w:r>
              <w:rPr>
                <w:rFonts w:ascii="Arial" w:hAnsi="Arial" w:eastAsia="Arial" w:cs="Arial"/>
              </w:rPr>
              <w:t>R$ 2.328.240,00</w:t>
            </w:r>
          </w:p>
        </w:tc>
      </w:tr>
      <w:tr w14:paraId="0D0C50CD">
        <w:tblPrEx>
          <w:tblCellMar>
            <w:top w:w="0" w:type="dxa"/>
            <w:left w:w="108" w:type="dxa"/>
            <w:bottom w:w="0" w:type="dxa"/>
            <w:right w:w="108" w:type="dxa"/>
          </w:tblCellMar>
        </w:tblPrEx>
        <w:trPr>
          <w:trHeight w:val="260" w:hRule="atLeast"/>
        </w:trPr>
        <w:tc>
          <w:tcPr>
            <w:tcW w:w="1064" w:type="dxa"/>
            <w:tcBorders>
              <w:left w:val="single" w:color="000000" w:sz="4" w:space="0"/>
              <w:bottom w:val="single" w:color="000000" w:sz="4" w:space="0"/>
            </w:tcBorders>
            <w:vAlign w:val="center"/>
          </w:tcPr>
          <w:p w14:paraId="0076E57A">
            <w:pPr>
              <w:widowControl w:val="0"/>
              <w:jc w:val="center"/>
              <w:rPr>
                <w:rFonts w:ascii="Arial" w:hAnsi="Arial" w:eastAsia="Arial" w:cs="Arial"/>
                <w:b/>
              </w:rPr>
            </w:pPr>
            <w:r>
              <w:rPr>
                <w:rFonts w:ascii="Arial" w:hAnsi="Arial" w:eastAsia="Arial" w:cs="Arial"/>
                <w:b/>
              </w:rPr>
              <w:t>127816</w:t>
            </w:r>
          </w:p>
        </w:tc>
        <w:tc>
          <w:tcPr>
            <w:tcW w:w="3299" w:type="dxa"/>
            <w:tcBorders>
              <w:left w:val="single" w:color="000000" w:sz="4" w:space="0"/>
              <w:bottom w:val="single" w:color="000000" w:sz="4" w:space="0"/>
            </w:tcBorders>
            <w:vAlign w:val="center"/>
          </w:tcPr>
          <w:p w14:paraId="6C4E1724">
            <w:pPr>
              <w:widowControl w:val="0"/>
              <w:jc w:val="center"/>
              <w:rPr>
                <w:rFonts w:ascii="Arial" w:hAnsi="Arial" w:eastAsia="Arial" w:cs="Arial"/>
              </w:rPr>
            </w:pPr>
            <w:r>
              <w:rPr>
                <w:rFonts w:ascii="Arial" w:hAnsi="Arial" w:eastAsia="Arial" w:cs="Arial"/>
              </w:rPr>
              <w:t>Creche Integral</w:t>
            </w:r>
          </w:p>
        </w:tc>
        <w:tc>
          <w:tcPr>
            <w:tcW w:w="1699" w:type="dxa"/>
            <w:tcBorders>
              <w:left w:val="single" w:color="000000" w:sz="4" w:space="0"/>
              <w:bottom w:val="single" w:color="000000" w:sz="4" w:space="0"/>
            </w:tcBorders>
            <w:vAlign w:val="center"/>
          </w:tcPr>
          <w:p w14:paraId="0ADAA529">
            <w:pPr>
              <w:widowControl w:val="0"/>
              <w:jc w:val="center"/>
              <w:rPr>
                <w:rFonts w:ascii="Arial" w:hAnsi="Arial" w:eastAsia="Arial" w:cs="Arial"/>
              </w:rPr>
            </w:pPr>
            <w:r>
              <w:rPr>
                <w:rFonts w:ascii="Arial" w:hAnsi="Arial" w:eastAsia="Arial" w:cs="Arial"/>
              </w:rPr>
              <w:t>Café da Manhã</w:t>
            </w:r>
          </w:p>
        </w:tc>
        <w:tc>
          <w:tcPr>
            <w:tcW w:w="1426" w:type="dxa"/>
            <w:tcBorders>
              <w:left w:val="single" w:color="000000" w:sz="4" w:space="0"/>
              <w:bottom w:val="single" w:color="000000" w:sz="4" w:space="0"/>
            </w:tcBorders>
            <w:vAlign w:val="center"/>
          </w:tcPr>
          <w:p w14:paraId="00FED643">
            <w:pPr>
              <w:widowControl w:val="0"/>
              <w:jc w:val="center"/>
              <w:rPr>
                <w:rFonts w:ascii="Arial" w:hAnsi="Arial" w:eastAsia="Arial" w:cs="Arial"/>
              </w:rPr>
            </w:pPr>
            <w:r>
              <w:rPr>
                <w:rFonts w:ascii="Arial" w:hAnsi="Arial" w:eastAsia="Arial" w:cs="Arial"/>
              </w:rPr>
              <w:t>440800</w:t>
            </w:r>
          </w:p>
        </w:tc>
        <w:tc>
          <w:tcPr>
            <w:tcW w:w="850" w:type="dxa"/>
            <w:tcBorders>
              <w:left w:val="single" w:color="000000" w:sz="4" w:space="0"/>
              <w:bottom w:val="single" w:color="000000" w:sz="4" w:space="0"/>
            </w:tcBorders>
            <w:vAlign w:val="center"/>
          </w:tcPr>
          <w:p w14:paraId="4B6E7CF0">
            <w:pPr>
              <w:widowControl w:val="0"/>
              <w:jc w:val="center"/>
              <w:rPr>
                <w:rFonts w:ascii="Arial" w:hAnsi="Arial" w:eastAsia="Arial" w:cs="Arial"/>
              </w:rPr>
            </w:pPr>
            <w:r>
              <w:rPr>
                <w:rFonts w:ascii="Arial" w:hAnsi="Arial" w:eastAsia="Arial" w:cs="Arial"/>
              </w:rPr>
              <w:t>R$ 6,01</w:t>
            </w:r>
          </w:p>
        </w:tc>
        <w:tc>
          <w:tcPr>
            <w:tcW w:w="1636" w:type="dxa"/>
            <w:tcBorders>
              <w:left w:val="single" w:color="000000" w:sz="4" w:space="0"/>
              <w:bottom w:val="single" w:color="000000" w:sz="4" w:space="0"/>
              <w:right w:val="single" w:color="000000" w:sz="4" w:space="0"/>
            </w:tcBorders>
            <w:vAlign w:val="center"/>
          </w:tcPr>
          <w:p w14:paraId="68BBF0A8">
            <w:pPr>
              <w:widowControl w:val="0"/>
              <w:jc w:val="center"/>
              <w:rPr>
                <w:rFonts w:ascii="Arial" w:hAnsi="Arial" w:eastAsia="Arial" w:cs="Arial"/>
              </w:rPr>
            </w:pPr>
            <w:r>
              <w:rPr>
                <w:rFonts w:ascii="Arial" w:hAnsi="Arial" w:eastAsia="Arial" w:cs="Arial"/>
              </w:rPr>
              <w:t>R$ 2.649.208,00</w:t>
            </w:r>
          </w:p>
        </w:tc>
      </w:tr>
      <w:tr w14:paraId="5127D67F">
        <w:tblPrEx>
          <w:tblCellMar>
            <w:top w:w="0" w:type="dxa"/>
            <w:left w:w="108" w:type="dxa"/>
            <w:bottom w:w="0" w:type="dxa"/>
            <w:right w:w="108" w:type="dxa"/>
          </w:tblCellMar>
        </w:tblPrEx>
        <w:trPr>
          <w:trHeight w:val="275" w:hRule="atLeast"/>
        </w:trPr>
        <w:tc>
          <w:tcPr>
            <w:tcW w:w="1064" w:type="dxa"/>
            <w:tcBorders>
              <w:left w:val="single" w:color="000000" w:sz="4" w:space="0"/>
              <w:bottom w:val="single" w:color="000000" w:sz="4" w:space="0"/>
            </w:tcBorders>
            <w:vAlign w:val="center"/>
          </w:tcPr>
          <w:p w14:paraId="2C846DF0">
            <w:pPr>
              <w:widowControl w:val="0"/>
              <w:jc w:val="center"/>
              <w:rPr>
                <w:rFonts w:ascii="Arial" w:hAnsi="Arial" w:eastAsia="Arial" w:cs="Arial"/>
                <w:b/>
              </w:rPr>
            </w:pPr>
            <w:r>
              <w:rPr>
                <w:rFonts w:ascii="Arial" w:hAnsi="Arial" w:eastAsia="Arial" w:cs="Arial"/>
                <w:b/>
              </w:rPr>
              <w:t>127817</w:t>
            </w:r>
          </w:p>
        </w:tc>
        <w:tc>
          <w:tcPr>
            <w:tcW w:w="3299" w:type="dxa"/>
            <w:tcBorders>
              <w:left w:val="single" w:color="000000" w:sz="4" w:space="0"/>
              <w:bottom w:val="single" w:color="000000" w:sz="4" w:space="0"/>
            </w:tcBorders>
            <w:vAlign w:val="center"/>
          </w:tcPr>
          <w:p w14:paraId="6F7A6321">
            <w:pPr>
              <w:widowControl w:val="0"/>
              <w:jc w:val="center"/>
              <w:rPr>
                <w:rFonts w:ascii="Arial" w:hAnsi="Arial" w:eastAsia="Arial" w:cs="Arial"/>
              </w:rPr>
            </w:pPr>
            <w:r>
              <w:rPr>
                <w:rFonts w:ascii="Arial" w:hAnsi="Arial" w:eastAsia="Arial" w:cs="Arial"/>
              </w:rPr>
              <w:t>Creche Integral</w:t>
            </w:r>
          </w:p>
        </w:tc>
        <w:tc>
          <w:tcPr>
            <w:tcW w:w="1699" w:type="dxa"/>
            <w:tcBorders>
              <w:left w:val="single" w:color="000000" w:sz="4" w:space="0"/>
              <w:bottom w:val="single" w:color="000000" w:sz="4" w:space="0"/>
            </w:tcBorders>
            <w:vAlign w:val="center"/>
          </w:tcPr>
          <w:p w14:paraId="4539EC1D">
            <w:pPr>
              <w:widowControl w:val="0"/>
              <w:jc w:val="center"/>
              <w:rPr>
                <w:rFonts w:ascii="Arial" w:hAnsi="Arial" w:eastAsia="Arial" w:cs="Arial"/>
              </w:rPr>
            </w:pPr>
            <w:r>
              <w:rPr>
                <w:rFonts w:ascii="Arial" w:hAnsi="Arial" w:eastAsia="Arial" w:cs="Arial"/>
              </w:rPr>
              <w:t>Almoço</w:t>
            </w:r>
          </w:p>
        </w:tc>
        <w:tc>
          <w:tcPr>
            <w:tcW w:w="1426" w:type="dxa"/>
            <w:tcBorders>
              <w:left w:val="single" w:color="000000" w:sz="4" w:space="0"/>
              <w:bottom w:val="single" w:color="000000" w:sz="4" w:space="0"/>
            </w:tcBorders>
            <w:vAlign w:val="center"/>
          </w:tcPr>
          <w:p w14:paraId="5A23E994">
            <w:pPr>
              <w:widowControl w:val="0"/>
              <w:jc w:val="center"/>
              <w:rPr>
                <w:rFonts w:ascii="Arial" w:hAnsi="Arial" w:eastAsia="Arial" w:cs="Arial"/>
              </w:rPr>
            </w:pPr>
            <w:r>
              <w:rPr>
                <w:rFonts w:ascii="Arial" w:hAnsi="Arial" w:eastAsia="Arial" w:cs="Arial"/>
              </w:rPr>
              <w:t>440800</w:t>
            </w:r>
          </w:p>
        </w:tc>
        <w:tc>
          <w:tcPr>
            <w:tcW w:w="850" w:type="dxa"/>
            <w:tcBorders>
              <w:left w:val="single" w:color="000000" w:sz="4" w:space="0"/>
              <w:bottom w:val="single" w:color="000000" w:sz="4" w:space="0"/>
            </w:tcBorders>
            <w:vAlign w:val="center"/>
          </w:tcPr>
          <w:p w14:paraId="2EC4B2D3">
            <w:pPr>
              <w:widowControl w:val="0"/>
              <w:jc w:val="center"/>
              <w:rPr>
                <w:rFonts w:ascii="Arial" w:hAnsi="Arial" w:eastAsia="Arial" w:cs="Arial"/>
              </w:rPr>
            </w:pPr>
            <w:r>
              <w:rPr>
                <w:rFonts w:ascii="Arial" w:hAnsi="Arial" w:eastAsia="Arial" w:cs="Arial"/>
              </w:rPr>
              <w:t>R$ 6,02</w:t>
            </w:r>
          </w:p>
        </w:tc>
        <w:tc>
          <w:tcPr>
            <w:tcW w:w="1636" w:type="dxa"/>
            <w:tcBorders>
              <w:left w:val="single" w:color="000000" w:sz="4" w:space="0"/>
              <w:bottom w:val="single" w:color="000000" w:sz="4" w:space="0"/>
              <w:right w:val="single" w:color="000000" w:sz="4" w:space="0"/>
            </w:tcBorders>
            <w:vAlign w:val="center"/>
          </w:tcPr>
          <w:p w14:paraId="4B0D1D3F">
            <w:pPr>
              <w:widowControl w:val="0"/>
              <w:jc w:val="center"/>
              <w:rPr>
                <w:rFonts w:ascii="Arial" w:hAnsi="Arial" w:eastAsia="Arial" w:cs="Arial"/>
              </w:rPr>
            </w:pPr>
            <w:r>
              <w:rPr>
                <w:rFonts w:ascii="Arial" w:hAnsi="Arial" w:eastAsia="Arial" w:cs="Arial"/>
              </w:rPr>
              <w:t>R$ 2.653.616,00</w:t>
            </w:r>
          </w:p>
        </w:tc>
      </w:tr>
      <w:tr w14:paraId="495766F4">
        <w:tblPrEx>
          <w:tblCellMar>
            <w:top w:w="0" w:type="dxa"/>
            <w:left w:w="108" w:type="dxa"/>
            <w:bottom w:w="0" w:type="dxa"/>
            <w:right w:w="108" w:type="dxa"/>
          </w:tblCellMar>
        </w:tblPrEx>
        <w:trPr>
          <w:trHeight w:val="238" w:hRule="atLeast"/>
        </w:trPr>
        <w:tc>
          <w:tcPr>
            <w:tcW w:w="1064" w:type="dxa"/>
            <w:tcBorders>
              <w:left w:val="single" w:color="000000" w:sz="4" w:space="0"/>
              <w:bottom w:val="single" w:color="000000" w:sz="4" w:space="0"/>
            </w:tcBorders>
            <w:vAlign w:val="center"/>
          </w:tcPr>
          <w:p w14:paraId="005CB376">
            <w:pPr>
              <w:widowControl w:val="0"/>
              <w:jc w:val="center"/>
              <w:rPr>
                <w:rFonts w:ascii="Arial" w:hAnsi="Arial" w:eastAsia="Arial" w:cs="Arial"/>
                <w:b/>
              </w:rPr>
            </w:pPr>
            <w:r>
              <w:rPr>
                <w:rFonts w:ascii="Arial" w:hAnsi="Arial" w:eastAsia="Arial" w:cs="Arial"/>
                <w:b/>
              </w:rPr>
              <w:t>127818</w:t>
            </w:r>
          </w:p>
        </w:tc>
        <w:tc>
          <w:tcPr>
            <w:tcW w:w="3299" w:type="dxa"/>
            <w:tcBorders>
              <w:left w:val="single" w:color="000000" w:sz="4" w:space="0"/>
              <w:bottom w:val="single" w:color="000000" w:sz="4" w:space="0"/>
            </w:tcBorders>
            <w:vAlign w:val="center"/>
          </w:tcPr>
          <w:p w14:paraId="7F5D69DD">
            <w:pPr>
              <w:widowControl w:val="0"/>
              <w:jc w:val="center"/>
              <w:rPr>
                <w:rFonts w:ascii="Arial" w:hAnsi="Arial" w:eastAsia="Arial" w:cs="Arial"/>
              </w:rPr>
            </w:pPr>
            <w:r>
              <w:rPr>
                <w:rFonts w:ascii="Arial" w:hAnsi="Arial" w:eastAsia="Arial" w:cs="Arial"/>
              </w:rPr>
              <w:t>Creche Integral</w:t>
            </w:r>
          </w:p>
        </w:tc>
        <w:tc>
          <w:tcPr>
            <w:tcW w:w="1699" w:type="dxa"/>
            <w:tcBorders>
              <w:left w:val="single" w:color="000000" w:sz="4" w:space="0"/>
              <w:bottom w:val="single" w:color="000000" w:sz="4" w:space="0"/>
            </w:tcBorders>
            <w:vAlign w:val="center"/>
          </w:tcPr>
          <w:p w14:paraId="3DB345BD">
            <w:pPr>
              <w:widowControl w:val="0"/>
              <w:jc w:val="center"/>
              <w:rPr>
                <w:rFonts w:ascii="Arial" w:hAnsi="Arial" w:eastAsia="Arial" w:cs="Arial"/>
              </w:rPr>
            </w:pPr>
            <w:r>
              <w:rPr>
                <w:rFonts w:ascii="Arial" w:hAnsi="Arial" w:eastAsia="Arial" w:cs="Arial"/>
              </w:rPr>
              <w:t>Lanche</w:t>
            </w:r>
          </w:p>
        </w:tc>
        <w:tc>
          <w:tcPr>
            <w:tcW w:w="1426" w:type="dxa"/>
            <w:tcBorders>
              <w:left w:val="single" w:color="000000" w:sz="4" w:space="0"/>
              <w:bottom w:val="single" w:color="000000" w:sz="4" w:space="0"/>
            </w:tcBorders>
            <w:vAlign w:val="center"/>
          </w:tcPr>
          <w:p w14:paraId="21872EAA">
            <w:pPr>
              <w:widowControl w:val="0"/>
              <w:jc w:val="center"/>
              <w:rPr>
                <w:rFonts w:ascii="Arial" w:hAnsi="Arial" w:eastAsia="Arial" w:cs="Arial"/>
              </w:rPr>
            </w:pPr>
            <w:r>
              <w:rPr>
                <w:rFonts w:ascii="Arial" w:hAnsi="Arial" w:eastAsia="Arial" w:cs="Arial"/>
              </w:rPr>
              <w:t>440800</w:t>
            </w:r>
          </w:p>
        </w:tc>
        <w:tc>
          <w:tcPr>
            <w:tcW w:w="850" w:type="dxa"/>
            <w:tcBorders>
              <w:left w:val="single" w:color="000000" w:sz="4" w:space="0"/>
              <w:bottom w:val="single" w:color="000000" w:sz="4" w:space="0"/>
            </w:tcBorders>
            <w:vAlign w:val="center"/>
          </w:tcPr>
          <w:p w14:paraId="5A1602C7">
            <w:pPr>
              <w:widowControl w:val="0"/>
              <w:jc w:val="center"/>
              <w:rPr>
                <w:rFonts w:ascii="Arial" w:hAnsi="Arial" w:eastAsia="Arial" w:cs="Arial"/>
              </w:rPr>
            </w:pPr>
            <w:r>
              <w:rPr>
                <w:rFonts w:ascii="Arial" w:hAnsi="Arial" w:eastAsia="Arial" w:cs="Arial"/>
              </w:rPr>
              <w:t>R$ 6,00</w:t>
            </w:r>
          </w:p>
        </w:tc>
        <w:tc>
          <w:tcPr>
            <w:tcW w:w="1636" w:type="dxa"/>
            <w:tcBorders>
              <w:left w:val="single" w:color="000000" w:sz="4" w:space="0"/>
              <w:bottom w:val="single" w:color="000000" w:sz="4" w:space="0"/>
              <w:right w:val="single" w:color="000000" w:sz="4" w:space="0"/>
            </w:tcBorders>
            <w:vAlign w:val="center"/>
          </w:tcPr>
          <w:p w14:paraId="19757006">
            <w:pPr>
              <w:widowControl w:val="0"/>
              <w:jc w:val="center"/>
              <w:rPr>
                <w:rFonts w:ascii="Arial" w:hAnsi="Arial" w:eastAsia="Arial" w:cs="Arial"/>
              </w:rPr>
            </w:pPr>
            <w:r>
              <w:rPr>
                <w:rFonts w:ascii="Arial" w:hAnsi="Arial" w:eastAsia="Arial" w:cs="Arial"/>
              </w:rPr>
              <w:t>R$ 2.644.800,00</w:t>
            </w:r>
          </w:p>
        </w:tc>
      </w:tr>
      <w:tr w14:paraId="2EC52D1F">
        <w:tblPrEx>
          <w:tblCellMar>
            <w:top w:w="0" w:type="dxa"/>
            <w:left w:w="108" w:type="dxa"/>
            <w:bottom w:w="0" w:type="dxa"/>
            <w:right w:w="108" w:type="dxa"/>
          </w:tblCellMar>
        </w:tblPrEx>
        <w:trPr>
          <w:trHeight w:val="275" w:hRule="atLeast"/>
        </w:trPr>
        <w:tc>
          <w:tcPr>
            <w:tcW w:w="1064" w:type="dxa"/>
            <w:tcBorders>
              <w:left w:val="single" w:color="000000" w:sz="4" w:space="0"/>
              <w:bottom w:val="single" w:color="000000" w:sz="4" w:space="0"/>
            </w:tcBorders>
            <w:vAlign w:val="center"/>
          </w:tcPr>
          <w:p w14:paraId="39157123">
            <w:pPr>
              <w:widowControl w:val="0"/>
              <w:jc w:val="center"/>
              <w:rPr>
                <w:rFonts w:ascii="Arial" w:hAnsi="Arial" w:eastAsia="Arial" w:cs="Arial"/>
                <w:b/>
              </w:rPr>
            </w:pPr>
            <w:r>
              <w:rPr>
                <w:rFonts w:ascii="Arial" w:hAnsi="Arial" w:eastAsia="Arial" w:cs="Arial"/>
                <w:b/>
              </w:rPr>
              <w:t>127819</w:t>
            </w:r>
          </w:p>
        </w:tc>
        <w:tc>
          <w:tcPr>
            <w:tcW w:w="3299" w:type="dxa"/>
            <w:tcBorders>
              <w:left w:val="single" w:color="000000" w:sz="4" w:space="0"/>
              <w:bottom w:val="single" w:color="000000" w:sz="4" w:space="0"/>
            </w:tcBorders>
            <w:vAlign w:val="center"/>
          </w:tcPr>
          <w:p w14:paraId="06A22508">
            <w:pPr>
              <w:widowControl w:val="0"/>
              <w:jc w:val="center"/>
              <w:rPr>
                <w:rFonts w:ascii="Arial" w:hAnsi="Arial" w:eastAsia="Arial" w:cs="Arial"/>
              </w:rPr>
            </w:pPr>
            <w:r>
              <w:rPr>
                <w:rFonts w:ascii="Arial" w:hAnsi="Arial" w:eastAsia="Arial" w:cs="Arial"/>
              </w:rPr>
              <w:t>Creche Integral</w:t>
            </w:r>
          </w:p>
        </w:tc>
        <w:tc>
          <w:tcPr>
            <w:tcW w:w="1699" w:type="dxa"/>
            <w:tcBorders>
              <w:left w:val="single" w:color="000000" w:sz="4" w:space="0"/>
              <w:bottom w:val="single" w:color="000000" w:sz="4" w:space="0"/>
            </w:tcBorders>
            <w:vAlign w:val="center"/>
          </w:tcPr>
          <w:p w14:paraId="15736B2A">
            <w:pPr>
              <w:widowControl w:val="0"/>
              <w:jc w:val="center"/>
              <w:rPr>
                <w:rFonts w:ascii="Arial" w:hAnsi="Arial" w:eastAsia="Arial" w:cs="Arial"/>
              </w:rPr>
            </w:pPr>
            <w:r>
              <w:rPr>
                <w:rFonts w:ascii="Arial" w:hAnsi="Arial" w:eastAsia="Arial" w:cs="Arial"/>
              </w:rPr>
              <w:t>Jantar</w:t>
            </w:r>
          </w:p>
        </w:tc>
        <w:tc>
          <w:tcPr>
            <w:tcW w:w="1426" w:type="dxa"/>
            <w:tcBorders>
              <w:left w:val="single" w:color="000000" w:sz="4" w:space="0"/>
              <w:bottom w:val="single" w:color="000000" w:sz="4" w:space="0"/>
            </w:tcBorders>
            <w:vAlign w:val="center"/>
          </w:tcPr>
          <w:p w14:paraId="07E2FA23">
            <w:pPr>
              <w:widowControl w:val="0"/>
              <w:jc w:val="center"/>
              <w:rPr>
                <w:rFonts w:ascii="Arial" w:hAnsi="Arial" w:eastAsia="Arial" w:cs="Arial"/>
              </w:rPr>
            </w:pPr>
            <w:r>
              <w:rPr>
                <w:rFonts w:ascii="Arial" w:hAnsi="Arial" w:eastAsia="Arial" w:cs="Arial"/>
              </w:rPr>
              <w:t>440800</w:t>
            </w:r>
          </w:p>
        </w:tc>
        <w:tc>
          <w:tcPr>
            <w:tcW w:w="850" w:type="dxa"/>
            <w:tcBorders>
              <w:left w:val="single" w:color="000000" w:sz="4" w:space="0"/>
              <w:bottom w:val="single" w:color="000000" w:sz="4" w:space="0"/>
            </w:tcBorders>
            <w:vAlign w:val="center"/>
          </w:tcPr>
          <w:p w14:paraId="29A2B5F5">
            <w:pPr>
              <w:widowControl w:val="0"/>
              <w:jc w:val="center"/>
              <w:rPr>
                <w:rFonts w:ascii="Arial" w:hAnsi="Arial" w:eastAsia="Arial" w:cs="Arial"/>
              </w:rPr>
            </w:pPr>
            <w:r>
              <w:rPr>
                <w:rFonts w:ascii="Arial" w:hAnsi="Arial" w:eastAsia="Arial" w:cs="Arial"/>
              </w:rPr>
              <w:t>R$ 6,00</w:t>
            </w:r>
          </w:p>
        </w:tc>
        <w:tc>
          <w:tcPr>
            <w:tcW w:w="1636" w:type="dxa"/>
            <w:tcBorders>
              <w:left w:val="single" w:color="000000" w:sz="4" w:space="0"/>
              <w:bottom w:val="single" w:color="000000" w:sz="4" w:space="0"/>
              <w:right w:val="single" w:color="000000" w:sz="4" w:space="0"/>
            </w:tcBorders>
            <w:vAlign w:val="center"/>
          </w:tcPr>
          <w:p w14:paraId="622B360B">
            <w:pPr>
              <w:widowControl w:val="0"/>
              <w:jc w:val="center"/>
              <w:rPr>
                <w:rFonts w:ascii="Arial" w:hAnsi="Arial" w:eastAsia="Arial" w:cs="Arial"/>
              </w:rPr>
            </w:pPr>
            <w:r>
              <w:rPr>
                <w:rFonts w:ascii="Arial" w:hAnsi="Arial" w:eastAsia="Arial" w:cs="Arial"/>
              </w:rPr>
              <w:t>R$ 2.644.800,00</w:t>
            </w:r>
          </w:p>
        </w:tc>
      </w:tr>
      <w:tr w14:paraId="7414E029">
        <w:tblPrEx>
          <w:tblCellMar>
            <w:top w:w="0" w:type="dxa"/>
            <w:left w:w="108" w:type="dxa"/>
            <w:bottom w:w="0" w:type="dxa"/>
            <w:right w:w="108" w:type="dxa"/>
          </w:tblCellMar>
        </w:tblPrEx>
        <w:trPr>
          <w:trHeight w:val="225" w:hRule="atLeast"/>
        </w:trPr>
        <w:tc>
          <w:tcPr>
            <w:tcW w:w="1064" w:type="dxa"/>
            <w:tcBorders>
              <w:left w:val="single" w:color="000000" w:sz="4" w:space="0"/>
              <w:bottom w:val="single" w:color="000000" w:sz="4" w:space="0"/>
            </w:tcBorders>
            <w:vAlign w:val="center"/>
          </w:tcPr>
          <w:p w14:paraId="5D60D208">
            <w:pPr>
              <w:widowControl w:val="0"/>
              <w:jc w:val="center"/>
              <w:rPr>
                <w:rFonts w:ascii="Arial" w:hAnsi="Arial" w:eastAsia="Arial" w:cs="Arial"/>
                <w:b/>
              </w:rPr>
            </w:pPr>
            <w:r>
              <w:rPr>
                <w:rFonts w:ascii="Arial" w:hAnsi="Arial" w:eastAsia="Arial" w:cs="Arial"/>
                <w:b/>
              </w:rPr>
              <w:t>127820</w:t>
            </w:r>
          </w:p>
        </w:tc>
        <w:tc>
          <w:tcPr>
            <w:tcW w:w="3299" w:type="dxa"/>
            <w:tcBorders>
              <w:left w:val="single" w:color="000000" w:sz="4" w:space="0"/>
              <w:bottom w:val="single" w:color="000000" w:sz="4" w:space="0"/>
            </w:tcBorders>
            <w:vAlign w:val="center"/>
          </w:tcPr>
          <w:p w14:paraId="66665997">
            <w:pPr>
              <w:widowControl w:val="0"/>
              <w:jc w:val="center"/>
              <w:rPr>
                <w:rFonts w:ascii="Arial" w:hAnsi="Arial" w:eastAsia="Arial" w:cs="Arial"/>
              </w:rPr>
            </w:pPr>
            <w:r>
              <w:rPr>
                <w:rFonts w:ascii="Arial" w:hAnsi="Arial" w:eastAsia="Arial" w:cs="Arial"/>
              </w:rPr>
              <w:t>Pré-Escola Parcial (matutino)</w:t>
            </w:r>
          </w:p>
        </w:tc>
        <w:tc>
          <w:tcPr>
            <w:tcW w:w="1699" w:type="dxa"/>
            <w:tcBorders>
              <w:left w:val="single" w:color="000000" w:sz="4" w:space="0"/>
              <w:bottom w:val="single" w:color="000000" w:sz="4" w:space="0"/>
            </w:tcBorders>
            <w:vAlign w:val="center"/>
          </w:tcPr>
          <w:p w14:paraId="7F87EA24">
            <w:pPr>
              <w:widowControl w:val="0"/>
              <w:jc w:val="center"/>
              <w:rPr>
                <w:rFonts w:ascii="Arial" w:hAnsi="Arial" w:eastAsia="Arial" w:cs="Arial"/>
              </w:rPr>
            </w:pPr>
            <w:r>
              <w:rPr>
                <w:rFonts w:ascii="Arial" w:hAnsi="Arial" w:eastAsia="Arial" w:cs="Arial"/>
              </w:rPr>
              <w:t>Lanche (Manhã)</w:t>
            </w:r>
          </w:p>
        </w:tc>
        <w:tc>
          <w:tcPr>
            <w:tcW w:w="1426" w:type="dxa"/>
            <w:tcBorders>
              <w:left w:val="single" w:color="000000" w:sz="4" w:space="0"/>
              <w:bottom w:val="single" w:color="000000" w:sz="4" w:space="0"/>
            </w:tcBorders>
            <w:vAlign w:val="center"/>
          </w:tcPr>
          <w:p w14:paraId="1C2E63B0">
            <w:pPr>
              <w:widowControl w:val="0"/>
              <w:jc w:val="center"/>
              <w:rPr>
                <w:rFonts w:ascii="Arial" w:hAnsi="Arial" w:eastAsia="Arial" w:cs="Arial"/>
              </w:rPr>
            </w:pPr>
            <w:r>
              <w:rPr>
                <w:rFonts w:ascii="Arial" w:hAnsi="Arial" w:eastAsia="Arial" w:cs="Arial"/>
              </w:rPr>
              <w:t>541200</w:t>
            </w:r>
          </w:p>
        </w:tc>
        <w:tc>
          <w:tcPr>
            <w:tcW w:w="850" w:type="dxa"/>
            <w:tcBorders>
              <w:left w:val="single" w:color="000000" w:sz="4" w:space="0"/>
              <w:bottom w:val="single" w:color="000000" w:sz="4" w:space="0"/>
            </w:tcBorders>
            <w:vAlign w:val="center"/>
          </w:tcPr>
          <w:p w14:paraId="3AB30D1C">
            <w:pPr>
              <w:widowControl w:val="0"/>
              <w:jc w:val="center"/>
              <w:rPr>
                <w:rFonts w:ascii="Arial" w:hAnsi="Arial" w:eastAsia="Arial" w:cs="Arial"/>
              </w:rPr>
            </w:pPr>
            <w:r>
              <w:rPr>
                <w:rFonts w:ascii="Arial" w:hAnsi="Arial" w:eastAsia="Arial" w:cs="Arial"/>
              </w:rPr>
              <w:t>R$ 6,03</w:t>
            </w:r>
          </w:p>
        </w:tc>
        <w:tc>
          <w:tcPr>
            <w:tcW w:w="1636" w:type="dxa"/>
            <w:tcBorders>
              <w:left w:val="single" w:color="000000" w:sz="4" w:space="0"/>
              <w:bottom w:val="single" w:color="000000" w:sz="4" w:space="0"/>
              <w:right w:val="single" w:color="000000" w:sz="4" w:space="0"/>
            </w:tcBorders>
            <w:vAlign w:val="center"/>
          </w:tcPr>
          <w:p w14:paraId="020AD187">
            <w:pPr>
              <w:widowControl w:val="0"/>
              <w:jc w:val="center"/>
              <w:rPr>
                <w:rFonts w:ascii="Arial" w:hAnsi="Arial" w:eastAsia="Arial" w:cs="Arial"/>
              </w:rPr>
            </w:pPr>
            <w:r>
              <w:rPr>
                <w:rFonts w:ascii="Arial" w:hAnsi="Arial" w:eastAsia="Arial" w:cs="Arial"/>
              </w:rPr>
              <w:t>R$ 3.263.436,00</w:t>
            </w:r>
          </w:p>
        </w:tc>
      </w:tr>
      <w:tr w14:paraId="2E513B24">
        <w:tblPrEx>
          <w:tblCellMar>
            <w:top w:w="0" w:type="dxa"/>
            <w:left w:w="108" w:type="dxa"/>
            <w:bottom w:w="0" w:type="dxa"/>
            <w:right w:w="108" w:type="dxa"/>
          </w:tblCellMar>
        </w:tblPrEx>
        <w:trPr>
          <w:trHeight w:val="287" w:hRule="atLeast"/>
        </w:trPr>
        <w:tc>
          <w:tcPr>
            <w:tcW w:w="1064" w:type="dxa"/>
            <w:tcBorders>
              <w:left w:val="single" w:color="000000" w:sz="4" w:space="0"/>
              <w:bottom w:val="single" w:color="000000" w:sz="4" w:space="0"/>
            </w:tcBorders>
            <w:vAlign w:val="center"/>
          </w:tcPr>
          <w:p w14:paraId="5FE886F9">
            <w:pPr>
              <w:widowControl w:val="0"/>
              <w:jc w:val="center"/>
              <w:rPr>
                <w:rFonts w:ascii="Arial" w:hAnsi="Arial" w:eastAsia="Arial" w:cs="Arial"/>
                <w:b/>
              </w:rPr>
            </w:pPr>
            <w:r>
              <w:rPr>
                <w:rFonts w:ascii="Arial" w:hAnsi="Arial" w:eastAsia="Arial" w:cs="Arial"/>
                <w:b/>
              </w:rPr>
              <w:t>127821</w:t>
            </w:r>
          </w:p>
        </w:tc>
        <w:tc>
          <w:tcPr>
            <w:tcW w:w="3299" w:type="dxa"/>
            <w:tcBorders>
              <w:left w:val="single" w:color="000000" w:sz="4" w:space="0"/>
              <w:bottom w:val="single" w:color="000000" w:sz="4" w:space="0"/>
            </w:tcBorders>
            <w:vAlign w:val="center"/>
          </w:tcPr>
          <w:p w14:paraId="768ED598">
            <w:pPr>
              <w:widowControl w:val="0"/>
              <w:jc w:val="center"/>
              <w:rPr>
                <w:rFonts w:ascii="Arial" w:hAnsi="Arial" w:eastAsia="Arial" w:cs="Arial"/>
              </w:rPr>
            </w:pPr>
            <w:r>
              <w:rPr>
                <w:rFonts w:ascii="Arial" w:hAnsi="Arial" w:eastAsia="Arial" w:cs="Arial"/>
              </w:rPr>
              <w:t>Pré-Escola Parcial (vespertino)</w:t>
            </w:r>
          </w:p>
        </w:tc>
        <w:tc>
          <w:tcPr>
            <w:tcW w:w="1699" w:type="dxa"/>
            <w:tcBorders>
              <w:left w:val="single" w:color="000000" w:sz="4" w:space="0"/>
              <w:bottom w:val="single" w:color="000000" w:sz="4" w:space="0"/>
            </w:tcBorders>
            <w:vAlign w:val="center"/>
          </w:tcPr>
          <w:p w14:paraId="60A531EF">
            <w:pPr>
              <w:widowControl w:val="0"/>
              <w:jc w:val="center"/>
              <w:rPr>
                <w:rFonts w:ascii="Arial" w:hAnsi="Arial" w:eastAsia="Arial" w:cs="Arial"/>
              </w:rPr>
            </w:pPr>
            <w:r>
              <w:rPr>
                <w:rFonts w:ascii="Arial" w:hAnsi="Arial" w:eastAsia="Arial" w:cs="Arial"/>
              </w:rPr>
              <w:t>Lanche (Tarde)</w:t>
            </w:r>
          </w:p>
        </w:tc>
        <w:tc>
          <w:tcPr>
            <w:tcW w:w="1426" w:type="dxa"/>
            <w:tcBorders>
              <w:left w:val="single" w:color="000000" w:sz="4" w:space="0"/>
              <w:bottom w:val="single" w:color="000000" w:sz="4" w:space="0"/>
            </w:tcBorders>
            <w:vAlign w:val="center"/>
          </w:tcPr>
          <w:p w14:paraId="3C7998A2">
            <w:pPr>
              <w:widowControl w:val="0"/>
              <w:jc w:val="center"/>
              <w:rPr>
                <w:rFonts w:ascii="Arial" w:hAnsi="Arial" w:eastAsia="Arial" w:cs="Arial"/>
              </w:rPr>
            </w:pPr>
            <w:r>
              <w:rPr>
                <w:rFonts w:ascii="Arial" w:hAnsi="Arial" w:eastAsia="Arial" w:cs="Arial"/>
              </w:rPr>
              <w:t>612200</w:t>
            </w:r>
          </w:p>
        </w:tc>
        <w:tc>
          <w:tcPr>
            <w:tcW w:w="850" w:type="dxa"/>
            <w:tcBorders>
              <w:left w:val="single" w:color="000000" w:sz="4" w:space="0"/>
              <w:bottom w:val="single" w:color="000000" w:sz="4" w:space="0"/>
            </w:tcBorders>
            <w:vAlign w:val="center"/>
          </w:tcPr>
          <w:p w14:paraId="1FE14D87">
            <w:pPr>
              <w:widowControl w:val="0"/>
              <w:jc w:val="center"/>
              <w:rPr>
                <w:rFonts w:ascii="Arial" w:hAnsi="Arial" w:eastAsia="Arial" w:cs="Arial"/>
              </w:rPr>
            </w:pPr>
            <w:r>
              <w:rPr>
                <w:rFonts w:ascii="Arial" w:hAnsi="Arial" w:eastAsia="Arial" w:cs="Arial"/>
              </w:rPr>
              <w:t>R$ 6,03</w:t>
            </w:r>
          </w:p>
        </w:tc>
        <w:tc>
          <w:tcPr>
            <w:tcW w:w="1636" w:type="dxa"/>
            <w:tcBorders>
              <w:left w:val="single" w:color="000000" w:sz="4" w:space="0"/>
              <w:bottom w:val="single" w:color="000000" w:sz="4" w:space="0"/>
              <w:right w:val="single" w:color="000000" w:sz="4" w:space="0"/>
            </w:tcBorders>
            <w:vAlign w:val="center"/>
          </w:tcPr>
          <w:p w14:paraId="2168033F">
            <w:pPr>
              <w:widowControl w:val="0"/>
              <w:jc w:val="center"/>
              <w:rPr>
                <w:rFonts w:ascii="Arial" w:hAnsi="Arial" w:eastAsia="Arial" w:cs="Arial"/>
              </w:rPr>
            </w:pPr>
            <w:r>
              <w:rPr>
                <w:rFonts w:ascii="Arial" w:hAnsi="Arial" w:eastAsia="Arial" w:cs="Arial"/>
              </w:rPr>
              <w:t>R$ 3.691.566,00</w:t>
            </w:r>
          </w:p>
        </w:tc>
      </w:tr>
      <w:tr w14:paraId="69112118">
        <w:tblPrEx>
          <w:tblCellMar>
            <w:top w:w="0" w:type="dxa"/>
            <w:left w:w="108" w:type="dxa"/>
            <w:bottom w:w="0" w:type="dxa"/>
            <w:right w:w="108" w:type="dxa"/>
          </w:tblCellMar>
        </w:tblPrEx>
        <w:trPr>
          <w:trHeight w:val="246" w:hRule="atLeast"/>
        </w:trPr>
        <w:tc>
          <w:tcPr>
            <w:tcW w:w="1064" w:type="dxa"/>
            <w:tcBorders>
              <w:left w:val="single" w:color="000000" w:sz="4" w:space="0"/>
              <w:bottom w:val="single" w:color="000000" w:sz="4" w:space="0"/>
            </w:tcBorders>
            <w:vAlign w:val="center"/>
          </w:tcPr>
          <w:p w14:paraId="7D5690D7">
            <w:pPr>
              <w:widowControl w:val="0"/>
              <w:jc w:val="center"/>
              <w:rPr>
                <w:rFonts w:ascii="Arial" w:hAnsi="Arial" w:eastAsia="Arial" w:cs="Arial"/>
                <w:b/>
              </w:rPr>
            </w:pPr>
            <w:r>
              <w:rPr>
                <w:rFonts w:ascii="Arial" w:hAnsi="Arial" w:eastAsia="Arial" w:cs="Arial"/>
                <w:b/>
              </w:rPr>
              <w:t>127822</w:t>
            </w:r>
          </w:p>
        </w:tc>
        <w:tc>
          <w:tcPr>
            <w:tcW w:w="3299" w:type="dxa"/>
            <w:tcBorders>
              <w:left w:val="single" w:color="000000" w:sz="4" w:space="0"/>
              <w:bottom w:val="single" w:color="000000" w:sz="4" w:space="0"/>
            </w:tcBorders>
            <w:vAlign w:val="center"/>
          </w:tcPr>
          <w:p w14:paraId="7CFF9438">
            <w:pPr>
              <w:widowControl w:val="0"/>
              <w:jc w:val="center"/>
              <w:rPr>
                <w:rFonts w:ascii="Arial" w:hAnsi="Arial" w:eastAsia="Arial" w:cs="Arial"/>
              </w:rPr>
            </w:pPr>
            <w:r>
              <w:rPr>
                <w:rFonts w:ascii="Arial" w:hAnsi="Arial" w:eastAsia="Arial" w:cs="Arial"/>
              </w:rPr>
              <w:t>Pré-Escola Integral</w:t>
            </w:r>
          </w:p>
        </w:tc>
        <w:tc>
          <w:tcPr>
            <w:tcW w:w="1699" w:type="dxa"/>
            <w:tcBorders>
              <w:left w:val="single" w:color="000000" w:sz="4" w:space="0"/>
              <w:bottom w:val="single" w:color="000000" w:sz="4" w:space="0"/>
            </w:tcBorders>
            <w:vAlign w:val="center"/>
          </w:tcPr>
          <w:p w14:paraId="73E61BF5">
            <w:pPr>
              <w:widowControl w:val="0"/>
              <w:jc w:val="center"/>
              <w:rPr>
                <w:rFonts w:ascii="Arial" w:hAnsi="Arial" w:eastAsia="Arial" w:cs="Arial"/>
              </w:rPr>
            </w:pPr>
            <w:r>
              <w:rPr>
                <w:rFonts w:ascii="Arial" w:hAnsi="Arial" w:eastAsia="Arial" w:cs="Arial"/>
              </w:rPr>
              <w:t>Café da Manhã</w:t>
            </w:r>
          </w:p>
        </w:tc>
        <w:tc>
          <w:tcPr>
            <w:tcW w:w="1426" w:type="dxa"/>
            <w:tcBorders>
              <w:left w:val="single" w:color="000000" w:sz="4" w:space="0"/>
              <w:bottom w:val="single" w:color="000000" w:sz="4" w:space="0"/>
            </w:tcBorders>
            <w:vAlign w:val="center"/>
          </w:tcPr>
          <w:p w14:paraId="5DCB6A55">
            <w:pPr>
              <w:widowControl w:val="0"/>
              <w:jc w:val="center"/>
              <w:rPr>
                <w:rFonts w:ascii="Arial" w:hAnsi="Arial" w:eastAsia="Arial" w:cs="Arial"/>
              </w:rPr>
            </w:pPr>
            <w:r>
              <w:rPr>
                <w:rFonts w:ascii="Arial" w:hAnsi="Arial" w:eastAsia="Arial" w:cs="Arial"/>
              </w:rPr>
              <w:t>115600</w:t>
            </w:r>
          </w:p>
        </w:tc>
        <w:tc>
          <w:tcPr>
            <w:tcW w:w="850" w:type="dxa"/>
            <w:tcBorders>
              <w:left w:val="single" w:color="000000" w:sz="4" w:space="0"/>
              <w:bottom w:val="single" w:color="000000" w:sz="4" w:space="0"/>
            </w:tcBorders>
            <w:vAlign w:val="center"/>
          </w:tcPr>
          <w:p w14:paraId="5FBB211C">
            <w:pPr>
              <w:widowControl w:val="0"/>
              <w:jc w:val="center"/>
              <w:rPr>
                <w:rFonts w:ascii="Arial" w:hAnsi="Arial" w:eastAsia="Arial" w:cs="Arial"/>
              </w:rPr>
            </w:pPr>
            <w:r>
              <w:rPr>
                <w:rFonts w:ascii="Arial" w:hAnsi="Arial" w:eastAsia="Arial" w:cs="Arial"/>
              </w:rPr>
              <w:t>R$ 5,18</w:t>
            </w:r>
          </w:p>
        </w:tc>
        <w:tc>
          <w:tcPr>
            <w:tcW w:w="1636" w:type="dxa"/>
            <w:tcBorders>
              <w:left w:val="single" w:color="000000" w:sz="4" w:space="0"/>
              <w:bottom w:val="single" w:color="000000" w:sz="4" w:space="0"/>
              <w:right w:val="single" w:color="000000" w:sz="4" w:space="0"/>
            </w:tcBorders>
            <w:vAlign w:val="center"/>
          </w:tcPr>
          <w:p w14:paraId="28F20E08">
            <w:pPr>
              <w:widowControl w:val="0"/>
              <w:jc w:val="center"/>
              <w:rPr>
                <w:rFonts w:ascii="Arial" w:hAnsi="Arial" w:eastAsia="Arial" w:cs="Arial"/>
              </w:rPr>
            </w:pPr>
            <w:r>
              <w:rPr>
                <w:rFonts w:ascii="Arial" w:hAnsi="Arial" w:eastAsia="Arial" w:cs="Arial"/>
              </w:rPr>
              <w:t>R$ 598.808,00</w:t>
            </w:r>
          </w:p>
        </w:tc>
      </w:tr>
      <w:tr w14:paraId="45381BC4">
        <w:tblPrEx>
          <w:tblCellMar>
            <w:top w:w="0" w:type="dxa"/>
            <w:left w:w="108" w:type="dxa"/>
            <w:bottom w:w="0" w:type="dxa"/>
            <w:right w:w="108" w:type="dxa"/>
          </w:tblCellMar>
        </w:tblPrEx>
        <w:trPr>
          <w:trHeight w:val="287" w:hRule="atLeast"/>
        </w:trPr>
        <w:tc>
          <w:tcPr>
            <w:tcW w:w="1064" w:type="dxa"/>
            <w:tcBorders>
              <w:left w:val="single" w:color="000000" w:sz="4" w:space="0"/>
              <w:bottom w:val="single" w:color="000000" w:sz="4" w:space="0"/>
            </w:tcBorders>
            <w:vAlign w:val="center"/>
          </w:tcPr>
          <w:p w14:paraId="512F8DE7">
            <w:pPr>
              <w:widowControl w:val="0"/>
              <w:jc w:val="center"/>
              <w:rPr>
                <w:rFonts w:ascii="Arial" w:hAnsi="Arial" w:eastAsia="Arial" w:cs="Arial"/>
                <w:b/>
              </w:rPr>
            </w:pPr>
            <w:r>
              <w:rPr>
                <w:rFonts w:ascii="Arial" w:hAnsi="Arial" w:eastAsia="Arial" w:cs="Arial"/>
                <w:b/>
              </w:rPr>
              <w:t>127823</w:t>
            </w:r>
          </w:p>
        </w:tc>
        <w:tc>
          <w:tcPr>
            <w:tcW w:w="3299" w:type="dxa"/>
            <w:tcBorders>
              <w:left w:val="single" w:color="000000" w:sz="4" w:space="0"/>
              <w:bottom w:val="single" w:color="000000" w:sz="4" w:space="0"/>
            </w:tcBorders>
            <w:vAlign w:val="center"/>
          </w:tcPr>
          <w:p w14:paraId="2863BE3F">
            <w:pPr>
              <w:widowControl w:val="0"/>
              <w:jc w:val="center"/>
              <w:rPr>
                <w:rFonts w:ascii="Arial" w:hAnsi="Arial" w:eastAsia="Arial" w:cs="Arial"/>
              </w:rPr>
            </w:pPr>
            <w:r>
              <w:rPr>
                <w:rFonts w:ascii="Arial" w:hAnsi="Arial" w:eastAsia="Arial" w:cs="Arial"/>
              </w:rPr>
              <w:t>Pré-Escola Integral</w:t>
            </w:r>
          </w:p>
        </w:tc>
        <w:tc>
          <w:tcPr>
            <w:tcW w:w="1699" w:type="dxa"/>
            <w:tcBorders>
              <w:left w:val="single" w:color="000000" w:sz="4" w:space="0"/>
              <w:bottom w:val="single" w:color="000000" w:sz="4" w:space="0"/>
            </w:tcBorders>
            <w:vAlign w:val="center"/>
          </w:tcPr>
          <w:p w14:paraId="15863CDF">
            <w:pPr>
              <w:widowControl w:val="0"/>
              <w:jc w:val="center"/>
              <w:rPr>
                <w:rFonts w:ascii="Arial" w:hAnsi="Arial" w:eastAsia="Arial" w:cs="Arial"/>
              </w:rPr>
            </w:pPr>
            <w:r>
              <w:rPr>
                <w:rFonts w:ascii="Arial" w:hAnsi="Arial" w:eastAsia="Arial" w:cs="Arial"/>
              </w:rPr>
              <w:t>Almoço</w:t>
            </w:r>
          </w:p>
        </w:tc>
        <w:tc>
          <w:tcPr>
            <w:tcW w:w="1426" w:type="dxa"/>
            <w:tcBorders>
              <w:left w:val="single" w:color="000000" w:sz="4" w:space="0"/>
              <w:bottom w:val="single" w:color="000000" w:sz="4" w:space="0"/>
            </w:tcBorders>
            <w:vAlign w:val="center"/>
          </w:tcPr>
          <w:p w14:paraId="59DA0383">
            <w:pPr>
              <w:widowControl w:val="0"/>
              <w:jc w:val="center"/>
              <w:rPr>
                <w:rFonts w:ascii="Arial" w:hAnsi="Arial" w:eastAsia="Arial" w:cs="Arial"/>
              </w:rPr>
            </w:pPr>
            <w:r>
              <w:rPr>
                <w:rFonts w:ascii="Arial" w:hAnsi="Arial" w:eastAsia="Arial" w:cs="Arial"/>
              </w:rPr>
              <w:t>115600</w:t>
            </w:r>
          </w:p>
        </w:tc>
        <w:tc>
          <w:tcPr>
            <w:tcW w:w="850" w:type="dxa"/>
            <w:tcBorders>
              <w:left w:val="single" w:color="000000" w:sz="4" w:space="0"/>
              <w:bottom w:val="single" w:color="000000" w:sz="4" w:space="0"/>
            </w:tcBorders>
            <w:vAlign w:val="center"/>
          </w:tcPr>
          <w:p w14:paraId="1BC5A3E4">
            <w:pPr>
              <w:widowControl w:val="0"/>
              <w:jc w:val="center"/>
              <w:rPr>
                <w:rFonts w:ascii="Arial" w:hAnsi="Arial" w:eastAsia="Arial" w:cs="Arial"/>
              </w:rPr>
            </w:pPr>
            <w:r>
              <w:rPr>
                <w:rFonts w:ascii="Arial" w:hAnsi="Arial" w:eastAsia="Arial" w:cs="Arial"/>
              </w:rPr>
              <w:t>R$ 5,17</w:t>
            </w:r>
          </w:p>
        </w:tc>
        <w:tc>
          <w:tcPr>
            <w:tcW w:w="1636" w:type="dxa"/>
            <w:tcBorders>
              <w:left w:val="single" w:color="000000" w:sz="4" w:space="0"/>
              <w:bottom w:val="single" w:color="000000" w:sz="4" w:space="0"/>
              <w:right w:val="single" w:color="000000" w:sz="4" w:space="0"/>
            </w:tcBorders>
            <w:vAlign w:val="center"/>
          </w:tcPr>
          <w:p w14:paraId="082D1981">
            <w:pPr>
              <w:widowControl w:val="0"/>
              <w:jc w:val="center"/>
              <w:rPr>
                <w:rFonts w:ascii="Arial" w:hAnsi="Arial" w:eastAsia="Arial" w:cs="Arial"/>
              </w:rPr>
            </w:pPr>
            <w:r>
              <w:rPr>
                <w:rFonts w:ascii="Arial" w:hAnsi="Arial" w:eastAsia="Arial" w:cs="Arial"/>
              </w:rPr>
              <w:t>R$ 597.652,00</w:t>
            </w:r>
          </w:p>
        </w:tc>
      </w:tr>
      <w:tr w14:paraId="4ACF3F28">
        <w:tblPrEx>
          <w:tblCellMar>
            <w:top w:w="0" w:type="dxa"/>
            <w:left w:w="108" w:type="dxa"/>
            <w:bottom w:w="0" w:type="dxa"/>
            <w:right w:w="108" w:type="dxa"/>
          </w:tblCellMar>
        </w:tblPrEx>
        <w:trPr>
          <w:trHeight w:val="275" w:hRule="atLeast"/>
        </w:trPr>
        <w:tc>
          <w:tcPr>
            <w:tcW w:w="1064" w:type="dxa"/>
            <w:tcBorders>
              <w:left w:val="single" w:color="000000" w:sz="4" w:space="0"/>
              <w:bottom w:val="single" w:color="000000" w:sz="4" w:space="0"/>
            </w:tcBorders>
            <w:vAlign w:val="center"/>
          </w:tcPr>
          <w:p w14:paraId="148E06FF">
            <w:pPr>
              <w:widowControl w:val="0"/>
              <w:jc w:val="center"/>
              <w:rPr>
                <w:rFonts w:ascii="Arial" w:hAnsi="Arial" w:eastAsia="Arial" w:cs="Arial"/>
                <w:b/>
              </w:rPr>
            </w:pPr>
            <w:r>
              <w:rPr>
                <w:rFonts w:ascii="Arial" w:hAnsi="Arial" w:eastAsia="Arial" w:cs="Arial"/>
                <w:b/>
              </w:rPr>
              <w:t>127824</w:t>
            </w:r>
          </w:p>
        </w:tc>
        <w:tc>
          <w:tcPr>
            <w:tcW w:w="3299" w:type="dxa"/>
            <w:tcBorders>
              <w:left w:val="single" w:color="000000" w:sz="4" w:space="0"/>
              <w:bottom w:val="single" w:color="000000" w:sz="4" w:space="0"/>
            </w:tcBorders>
            <w:vAlign w:val="center"/>
          </w:tcPr>
          <w:p w14:paraId="27AF217B">
            <w:pPr>
              <w:widowControl w:val="0"/>
              <w:jc w:val="center"/>
              <w:rPr>
                <w:rFonts w:ascii="Arial" w:hAnsi="Arial" w:eastAsia="Arial" w:cs="Arial"/>
              </w:rPr>
            </w:pPr>
            <w:r>
              <w:rPr>
                <w:rFonts w:ascii="Arial" w:hAnsi="Arial" w:eastAsia="Arial" w:cs="Arial"/>
              </w:rPr>
              <w:t>Pré-Escola Integral</w:t>
            </w:r>
          </w:p>
        </w:tc>
        <w:tc>
          <w:tcPr>
            <w:tcW w:w="1699" w:type="dxa"/>
            <w:tcBorders>
              <w:left w:val="single" w:color="000000" w:sz="4" w:space="0"/>
              <w:bottom w:val="single" w:color="000000" w:sz="4" w:space="0"/>
            </w:tcBorders>
            <w:vAlign w:val="center"/>
          </w:tcPr>
          <w:p w14:paraId="04A4320C">
            <w:pPr>
              <w:widowControl w:val="0"/>
              <w:jc w:val="center"/>
              <w:rPr>
                <w:rFonts w:ascii="Arial" w:hAnsi="Arial" w:eastAsia="Arial" w:cs="Arial"/>
              </w:rPr>
            </w:pPr>
            <w:r>
              <w:rPr>
                <w:rFonts w:ascii="Arial" w:hAnsi="Arial" w:eastAsia="Arial" w:cs="Arial"/>
              </w:rPr>
              <w:t>Lanche</w:t>
            </w:r>
          </w:p>
        </w:tc>
        <w:tc>
          <w:tcPr>
            <w:tcW w:w="1426" w:type="dxa"/>
            <w:tcBorders>
              <w:left w:val="single" w:color="000000" w:sz="4" w:space="0"/>
              <w:bottom w:val="single" w:color="000000" w:sz="4" w:space="0"/>
            </w:tcBorders>
            <w:vAlign w:val="center"/>
          </w:tcPr>
          <w:p w14:paraId="2A2098FA">
            <w:pPr>
              <w:widowControl w:val="0"/>
              <w:jc w:val="center"/>
              <w:rPr>
                <w:rFonts w:ascii="Arial" w:hAnsi="Arial" w:eastAsia="Arial" w:cs="Arial"/>
              </w:rPr>
            </w:pPr>
            <w:r>
              <w:rPr>
                <w:rFonts w:ascii="Arial" w:hAnsi="Arial" w:eastAsia="Arial" w:cs="Arial"/>
              </w:rPr>
              <w:t>115600</w:t>
            </w:r>
          </w:p>
        </w:tc>
        <w:tc>
          <w:tcPr>
            <w:tcW w:w="850" w:type="dxa"/>
            <w:tcBorders>
              <w:left w:val="single" w:color="000000" w:sz="4" w:space="0"/>
              <w:bottom w:val="single" w:color="000000" w:sz="4" w:space="0"/>
            </w:tcBorders>
            <w:vAlign w:val="center"/>
          </w:tcPr>
          <w:p w14:paraId="3F998583">
            <w:pPr>
              <w:widowControl w:val="0"/>
              <w:jc w:val="center"/>
              <w:rPr>
                <w:rFonts w:ascii="Arial" w:hAnsi="Arial" w:eastAsia="Arial" w:cs="Arial"/>
              </w:rPr>
            </w:pPr>
            <w:r>
              <w:rPr>
                <w:rFonts w:ascii="Arial" w:hAnsi="Arial" w:eastAsia="Arial" w:cs="Arial"/>
              </w:rPr>
              <w:t>R$ 5,18</w:t>
            </w:r>
          </w:p>
        </w:tc>
        <w:tc>
          <w:tcPr>
            <w:tcW w:w="1636" w:type="dxa"/>
            <w:tcBorders>
              <w:left w:val="single" w:color="000000" w:sz="4" w:space="0"/>
              <w:bottom w:val="single" w:color="000000" w:sz="4" w:space="0"/>
              <w:right w:val="single" w:color="000000" w:sz="4" w:space="0"/>
            </w:tcBorders>
            <w:vAlign w:val="center"/>
          </w:tcPr>
          <w:p w14:paraId="7FA3D27F">
            <w:pPr>
              <w:widowControl w:val="0"/>
              <w:jc w:val="center"/>
              <w:rPr>
                <w:rFonts w:ascii="Arial" w:hAnsi="Arial" w:eastAsia="Arial" w:cs="Arial"/>
              </w:rPr>
            </w:pPr>
            <w:r>
              <w:rPr>
                <w:rFonts w:ascii="Arial" w:hAnsi="Arial" w:eastAsia="Arial" w:cs="Arial"/>
              </w:rPr>
              <w:t>R$ 598.808,00</w:t>
            </w:r>
          </w:p>
        </w:tc>
      </w:tr>
      <w:tr w14:paraId="008EEB97">
        <w:tblPrEx>
          <w:tblCellMar>
            <w:top w:w="0" w:type="dxa"/>
            <w:left w:w="108" w:type="dxa"/>
            <w:bottom w:w="0" w:type="dxa"/>
            <w:right w:w="108" w:type="dxa"/>
          </w:tblCellMar>
        </w:tblPrEx>
        <w:trPr>
          <w:trHeight w:val="350" w:hRule="atLeast"/>
        </w:trPr>
        <w:tc>
          <w:tcPr>
            <w:tcW w:w="1064" w:type="dxa"/>
            <w:tcBorders>
              <w:left w:val="single" w:color="000000" w:sz="4" w:space="0"/>
              <w:bottom w:val="single" w:color="000000" w:sz="4" w:space="0"/>
            </w:tcBorders>
            <w:vAlign w:val="center"/>
          </w:tcPr>
          <w:p w14:paraId="0BB6C677">
            <w:pPr>
              <w:widowControl w:val="0"/>
              <w:jc w:val="center"/>
              <w:rPr>
                <w:rFonts w:ascii="Arial" w:hAnsi="Arial" w:eastAsia="Arial" w:cs="Arial"/>
                <w:b/>
              </w:rPr>
            </w:pPr>
            <w:r>
              <w:rPr>
                <w:rFonts w:ascii="Arial" w:hAnsi="Arial" w:eastAsia="Arial" w:cs="Arial"/>
                <w:b/>
              </w:rPr>
              <w:t>127825</w:t>
            </w:r>
          </w:p>
        </w:tc>
        <w:tc>
          <w:tcPr>
            <w:tcW w:w="3299" w:type="dxa"/>
            <w:tcBorders>
              <w:left w:val="single" w:color="000000" w:sz="4" w:space="0"/>
              <w:bottom w:val="single" w:color="000000" w:sz="4" w:space="0"/>
            </w:tcBorders>
            <w:vAlign w:val="center"/>
          </w:tcPr>
          <w:p w14:paraId="7DE86A0A">
            <w:pPr>
              <w:widowControl w:val="0"/>
              <w:jc w:val="center"/>
              <w:rPr>
                <w:rFonts w:ascii="Arial" w:hAnsi="Arial" w:eastAsia="Arial" w:cs="Arial"/>
              </w:rPr>
            </w:pPr>
            <w:r>
              <w:rPr>
                <w:rFonts w:ascii="Arial" w:hAnsi="Arial" w:eastAsia="Arial" w:cs="Arial"/>
              </w:rPr>
              <w:t>Pré-Escola Integral</w:t>
            </w:r>
          </w:p>
        </w:tc>
        <w:tc>
          <w:tcPr>
            <w:tcW w:w="1699" w:type="dxa"/>
            <w:tcBorders>
              <w:left w:val="single" w:color="000000" w:sz="4" w:space="0"/>
              <w:bottom w:val="single" w:color="000000" w:sz="4" w:space="0"/>
            </w:tcBorders>
            <w:vAlign w:val="center"/>
          </w:tcPr>
          <w:p w14:paraId="58390548">
            <w:pPr>
              <w:widowControl w:val="0"/>
              <w:jc w:val="center"/>
              <w:rPr>
                <w:rFonts w:ascii="Arial" w:hAnsi="Arial" w:eastAsia="Arial" w:cs="Arial"/>
              </w:rPr>
            </w:pPr>
            <w:r>
              <w:rPr>
                <w:rFonts w:ascii="Arial" w:hAnsi="Arial" w:eastAsia="Arial" w:cs="Arial"/>
              </w:rPr>
              <w:t>Jantar</w:t>
            </w:r>
          </w:p>
        </w:tc>
        <w:tc>
          <w:tcPr>
            <w:tcW w:w="1426" w:type="dxa"/>
            <w:tcBorders>
              <w:left w:val="single" w:color="000000" w:sz="4" w:space="0"/>
              <w:bottom w:val="single" w:color="000000" w:sz="4" w:space="0"/>
            </w:tcBorders>
            <w:vAlign w:val="center"/>
          </w:tcPr>
          <w:p w14:paraId="1E8C7A8B">
            <w:pPr>
              <w:widowControl w:val="0"/>
              <w:jc w:val="center"/>
              <w:rPr>
                <w:rFonts w:ascii="Arial" w:hAnsi="Arial" w:eastAsia="Arial" w:cs="Arial"/>
              </w:rPr>
            </w:pPr>
            <w:r>
              <w:rPr>
                <w:rFonts w:ascii="Arial" w:hAnsi="Arial" w:eastAsia="Arial" w:cs="Arial"/>
              </w:rPr>
              <w:t>115600</w:t>
            </w:r>
          </w:p>
        </w:tc>
        <w:tc>
          <w:tcPr>
            <w:tcW w:w="850" w:type="dxa"/>
            <w:tcBorders>
              <w:left w:val="single" w:color="000000" w:sz="4" w:space="0"/>
              <w:bottom w:val="single" w:color="000000" w:sz="4" w:space="0"/>
            </w:tcBorders>
            <w:vAlign w:val="center"/>
          </w:tcPr>
          <w:p w14:paraId="0E45E2BE">
            <w:pPr>
              <w:widowControl w:val="0"/>
              <w:jc w:val="center"/>
              <w:rPr>
                <w:rFonts w:ascii="Arial" w:hAnsi="Arial" w:eastAsia="Arial" w:cs="Arial"/>
              </w:rPr>
            </w:pPr>
            <w:r>
              <w:rPr>
                <w:rFonts w:ascii="Arial" w:hAnsi="Arial" w:eastAsia="Arial" w:cs="Arial"/>
              </w:rPr>
              <w:t>R$ 5,17</w:t>
            </w:r>
          </w:p>
        </w:tc>
        <w:tc>
          <w:tcPr>
            <w:tcW w:w="1636" w:type="dxa"/>
            <w:tcBorders>
              <w:left w:val="single" w:color="000000" w:sz="4" w:space="0"/>
              <w:bottom w:val="single" w:color="000000" w:sz="4" w:space="0"/>
              <w:right w:val="single" w:color="000000" w:sz="4" w:space="0"/>
            </w:tcBorders>
            <w:vAlign w:val="center"/>
          </w:tcPr>
          <w:p w14:paraId="2A184800">
            <w:pPr>
              <w:widowControl w:val="0"/>
              <w:jc w:val="center"/>
              <w:rPr>
                <w:rFonts w:ascii="Arial" w:hAnsi="Arial" w:eastAsia="Arial" w:cs="Arial"/>
              </w:rPr>
            </w:pPr>
            <w:r>
              <w:rPr>
                <w:rFonts w:ascii="Arial" w:hAnsi="Arial" w:eastAsia="Arial" w:cs="Arial"/>
              </w:rPr>
              <w:t>R$ 597.652,00</w:t>
            </w:r>
          </w:p>
        </w:tc>
      </w:tr>
      <w:tr w14:paraId="21E84DD4">
        <w:tblPrEx>
          <w:tblCellMar>
            <w:top w:w="0" w:type="dxa"/>
            <w:left w:w="108" w:type="dxa"/>
            <w:bottom w:w="0" w:type="dxa"/>
            <w:right w:w="108" w:type="dxa"/>
          </w:tblCellMar>
        </w:tblPrEx>
        <w:trPr>
          <w:trHeight w:val="255" w:hRule="atLeast"/>
        </w:trPr>
        <w:tc>
          <w:tcPr>
            <w:tcW w:w="1064" w:type="dxa"/>
            <w:tcBorders>
              <w:left w:val="single" w:color="000000" w:sz="4" w:space="0"/>
              <w:bottom w:val="single" w:color="000000" w:sz="4" w:space="0"/>
            </w:tcBorders>
            <w:vAlign w:val="center"/>
          </w:tcPr>
          <w:p w14:paraId="05F0AD31">
            <w:pPr>
              <w:widowControl w:val="0"/>
              <w:jc w:val="center"/>
              <w:rPr>
                <w:rFonts w:ascii="Arial" w:hAnsi="Arial" w:eastAsia="Arial" w:cs="Arial"/>
                <w:b/>
              </w:rPr>
            </w:pPr>
            <w:r>
              <w:rPr>
                <w:rFonts w:ascii="Arial" w:hAnsi="Arial" w:eastAsia="Arial" w:cs="Arial"/>
                <w:b/>
              </w:rPr>
              <w:t>127828</w:t>
            </w:r>
          </w:p>
        </w:tc>
        <w:tc>
          <w:tcPr>
            <w:tcW w:w="3299" w:type="dxa"/>
            <w:tcBorders>
              <w:left w:val="single" w:color="000000" w:sz="4" w:space="0"/>
              <w:bottom w:val="single" w:color="000000" w:sz="4" w:space="0"/>
            </w:tcBorders>
            <w:vAlign w:val="center"/>
          </w:tcPr>
          <w:p w14:paraId="7D30E027">
            <w:pPr>
              <w:widowControl w:val="0"/>
              <w:jc w:val="center"/>
              <w:rPr>
                <w:rFonts w:ascii="Arial" w:hAnsi="Arial" w:eastAsia="Arial" w:cs="Arial"/>
              </w:rPr>
            </w:pPr>
            <w:r>
              <w:rPr>
                <w:rFonts w:ascii="Arial" w:hAnsi="Arial" w:eastAsia="Arial" w:cs="Arial"/>
              </w:rPr>
              <w:t>Ensino Fund. Parcial (matutino)</w:t>
            </w:r>
          </w:p>
        </w:tc>
        <w:tc>
          <w:tcPr>
            <w:tcW w:w="1699" w:type="dxa"/>
            <w:tcBorders>
              <w:left w:val="single" w:color="000000" w:sz="4" w:space="0"/>
              <w:bottom w:val="single" w:color="000000" w:sz="4" w:space="0"/>
            </w:tcBorders>
            <w:vAlign w:val="center"/>
          </w:tcPr>
          <w:p w14:paraId="57143C13">
            <w:pPr>
              <w:widowControl w:val="0"/>
              <w:jc w:val="center"/>
              <w:rPr>
                <w:rFonts w:ascii="Arial" w:hAnsi="Arial" w:eastAsia="Arial" w:cs="Arial"/>
              </w:rPr>
            </w:pPr>
            <w:r>
              <w:rPr>
                <w:rFonts w:ascii="Arial" w:hAnsi="Arial" w:eastAsia="Arial" w:cs="Arial"/>
              </w:rPr>
              <w:t>Merenda Escolar</w:t>
            </w:r>
          </w:p>
        </w:tc>
        <w:tc>
          <w:tcPr>
            <w:tcW w:w="1426" w:type="dxa"/>
            <w:tcBorders>
              <w:left w:val="single" w:color="000000" w:sz="4" w:space="0"/>
              <w:bottom w:val="single" w:color="000000" w:sz="4" w:space="0"/>
            </w:tcBorders>
            <w:vAlign w:val="center"/>
          </w:tcPr>
          <w:p w14:paraId="3E5181E4">
            <w:pPr>
              <w:widowControl w:val="0"/>
              <w:jc w:val="center"/>
              <w:rPr>
                <w:rFonts w:ascii="Arial" w:hAnsi="Arial" w:eastAsia="Arial" w:cs="Arial"/>
              </w:rPr>
            </w:pPr>
            <w:r>
              <w:rPr>
                <w:rFonts w:ascii="Arial" w:hAnsi="Arial" w:eastAsia="Arial" w:cs="Arial"/>
              </w:rPr>
              <w:t>1958800</w:t>
            </w:r>
          </w:p>
        </w:tc>
        <w:tc>
          <w:tcPr>
            <w:tcW w:w="850" w:type="dxa"/>
            <w:tcBorders>
              <w:left w:val="single" w:color="000000" w:sz="4" w:space="0"/>
              <w:bottom w:val="single" w:color="000000" w:sz="4" w:space="0"/>
            </w:tcBorders>
            <w:vAlign w:val="center"/>
          </w:tcPr>
          <w:p w14:paraId="57F0CB43">
            <w:pPr>
              <w:widowControl w:val="0"/>
              <w:jc w:val="center"/>
              <w:rPr>
                <w:rFonts w:ascii="Arial" w:hAnsi="Arial" w:eastAsia="Arial" w:cs="Arial"/>
              </w:rPr>
            </w:pPr>
            <w:r>
              <w:rPr>
                <w:rFonts w:ascii="Arial" w:hAnsi="Arial" w:eastAsia="Arial" w:cs="Arial"/>
              </w:rPr>
              <w:t>R$ 6,70</w:t>
            </w:r>
          </w:p>
        </w:tc>
        <w:tc>
          <w:tcPr>
            <w:tcW w:w="1636" w:type="dxa"/>
            <w:tcBorders>
              <w:left w:val="single" w:color="000000" w:sz="4" w:space="0"/>
              <w:bottom w:val="single" w:color="000000" w:sz="4" w:space="0"/>
              <w:right w:val="single" w:color="000000" w:sz="4" w:space="0"/>
            </w:tcBorders>
            <w:vAlign w:val="center"/>
          </w:tcPr>
          <w:p w14:paraId="4BB2B576">
            <w:pPr>
              <w:widowControl w:val="0"/>
              <w:jc w:val="center"/>
              <w:rPr>
                <w:rFonts w:ascii="Arial" w:hAnsi="Arial" w:eastAsia="Arial" w:cs="Arial"/>
              </w:rPr>
            </w:pPr>
            <w:r>
              <w:rPr>
                <w:rFonts w:ascii="Arial" w:hAnsi="Arial" w:eastAsia="Arial" w:cs="Arial"/>
              </w:rPr>
              <w:t>R$ 13.123.960,00</w:t>
            </w:r>
          </w:p>
        </w:tc>
      </w:tr>
      <w:tr w14:paraId="25280EF5">
        <w:tblPrEx>
          <w:tblCellMar>
            <w:top w:w="0" w:type="dxa"/>
            <w:left w:w="108" w:type="dxa"/>
            <w:bottom w:w="0" w:type="dxa"/>
            <w:right w:w="108" w:type="dxa"/>
          </w:tblCellMar>
        </w:tblPrEx>
        <w:trPr>
          <w:trHeight w:val="287" w:hRule="atLeast"/>
        </w:trPr>
        <w:tc>
          <w:tcPr>
            <w:tcW w:w="1064" w:type="dxa"/>
            <w:tcBorders>
              <w:left w:val="single" w:color="000000" w:sz="4" w:space="0"/>
              <w:bottom w:val="single" w:color="000000" w:sz="4" w:space="0"/>
            </w:tcBorders>
            <w:vAlign w:val="center"/>
          </w:tcPr>
          <w:p w14:paraId="67FE8F50">
            <w:pPr>
              <w:widowControl w:val="0"/>
              <w:jc w:val="center"/>
              <w:rPr>
                <w:rFonts w:ascii="Arial" w:hAnsi="Arial" w:eastAsia="Arial" w:cs="Arial"/>
                <w:b/>
              </w:rPr>
            </w:pPr>
            <w:r>
              <w:rPr>
                <w:rFonts w:ascii="Arial" w:hAnsi="Arial" w:eastAsia="Arial" w:cs="Arial"/>
                <w:b/>
              </w:rPr>
              <w:t>127829</w:t>
            </w:r>
          </w:p>
        </w:tc>
        <w:tc>
          <w:tcPr>
            <w:tcW w:w="3299" w:type="dxa"/>
            <w:tcBorders>
              <w:left w:val="single" w:color="000000" w:sz="4" w:space="0"/>
              <w:bottom w:val="single" w:color="000000" w:sz="4" w:space="0"/>
            </w:tcBorders>
            <w:vAlign w:val="center"/>
          </w:tcPr>
          <w:p w14:paraId="2BCCCCFA">
            <w:pPr>
              <w:widowControl w:val="0"/>
              <w:jc w:val="center"/>
              <w:rPr>
                <w:rFonts w:ascii="Arial" w:hAnsi="Arial" w:eastAsia="Arial" w:cs="Arial"/>
              </w:rPr>
            </w:pPr>
            <w:r>
              <w:rPr>
                <w:rFonts w:ascii="Arial" w:hAnsi="Arial" w:eastAsia="Arial" w:cs="Arial"/>
              </w:rPr>
              <w:t>Ensino Fund. Parcial (vespertino)</w:t>
            </w:r>
          </w:p>
        </w:tc>
        <w:tc>
          <w:tcPr>
            <w:tcW w:w="1699" w:type="dxa"/>
            <w:tcBorders>
              <w:left w:val="single" w:color="000000" w:sz="4" w:space="0"/>
              <w:bottom w:val="single" w:color="000000" w:sz="4" w:space="0"/>
            </w:tcBorders>
            <w:vAlign w:val="center"/>
          </w:tcPr>
          <w:p w14:paraId="6AE04F49">
            <w:pPr>
              <w:widowControl w:val="0"/>
              <w:jc w:val="center"/>
              <w:rPr>
                <w:rFonts w:ascii="Arial" w:hAnsi="Arial" w:eastAsia="Arial" w:cs="Arial"/>
              </w:rPr>
            </w:pPr>
            <w:r>
              <w:rPr>
                <w:rFonts w:ascii="Arial" w:hAnsi="Arial" w:eastAsia="Arial" w:cs="Arial"/>
              </w:rPr>
              <w:t>Merenda Escolar</w:t>
            </w:r>
          </w:p>
        </w:tc>
        <w:tc>
          <w:tcPr>
            <w:tcW w:w="1426" w:type="dxa"/>
            <w:tcBorders>
              <w:left w:val="single" w:color="000000" w:sz="4" w:space="0"/>
              <w:bottom w:val="single" w:color="000000" w:sz="4" w:space="0"/>
            </w:tcBorders>
            <w:vAlign w:val="center"/>
          </w:tcPr>
          <w:p w14:paraId="3A4E93C3">
            <w:pPr>
              <w:widowControl w:val="0"/>
              <w:jc w:val="center"/>
              <w:rPr>
                <w:rFonts w:ascii="Arial" w:hAnsi="Arial" w:eastAsia="Arial" w:cs="Arial"/>
              </w:rPr>
            </w:pPr>
            <w:r>
              <w:rPr>
                <w:rFonts w:ascii="Arial" w:hAnsi="Arial" w:eastAsia="Arial" w:cs="Arial"/>
              </w:rPr>
              <w:t>1970200</w:t>
            </w:r>
          </w:p>
        </w:tc>
        <w:tc>
          <w:tcPr>
            <w:tcW w:w="850" w:type="dxa"/>
            <w:tcBorders>
              <w:left w:val="single" w:color="000000" w:sz="4" w:space="0"/>
              <w:bottom w:val="single" w:color="000000" w:sz="4" w:space="0"/>
            </w:tcBorders>
            <w:vAlign w:val="center"/>
          </w:tcPr>
          <w:p w14:paraId="73877D93">
            <w:pPr>
              <w:widowControl w:val="0"/>
              <w:jc w:val="center"/>
              <w:rPr>
                <w:rFonts w:ascii="Arial" w:hAnsi="Arial" w:eastAsia="Arial" w:cs="Arial"/>
              </w:rPr>
            </w:pPr>
            <w:r>
              <w:rPr>
                <w:rFonts w:ascii="Arial" w:hAnsi="Arial" w:eastAsia="Arial" w:cs="Arial"/>
              </w:rPr>
              <w:t>R$ 6,70</w:t>
            </w:r>
          </w:p>
        </w:tc>
        <w:tc>
          <w:tcPr>
            <w:tcW w:w="1636" w:type="dxa"/>
            <w:tcBorders>
              <w:left w:val="single" w:color="000000" w:sz="4" w:space="0"/>
              <w:bottom w:val="single" w:color="000000" w:sz="4" w:space="0"/>
              <w:right w:val="single" w:color="000000" w:sz="4" w:space="0"/>
            </w:tcBorders>
            <w:vAlign w:val="center"/>
          </w:tcPr>
          <w:p w14:paraId="2FE95329">
            <w:pPr>
              <w:widowControl w:val="0"/>
              <w:jc w:val="center"/>
              <w:rPr>
                <w:rFonts w:ascii="Arial" w:hAnsi="Arial" w:eastAsia="Arial" w:cs="Arial"/>
              </w:rPr>
            </w:pPr>
            <w:r>
              <w:rPr>
                <w:rFonts w:ascii="Arial" w:hAnsi="Arial" w:eastAsia="Arial" w:cs="Arial"/>
              </w:rPr>
              <w:t>R$ 13.200.340,00</w:t>
            </w:r>
          </w:p>
        </w:tc>
      </w:tr>
      <w:tr w14:paraId="0F8C3AF8">
        <w:tblPrEx>
          <w:tblCellMar>
            <w:top w:w="0" w:type="dxa"/>
            <w:left w:w="108" w:type="dxa"/>
            <w:bottom w:w="0" w:type="dxa"/>
            <w:right w:w="108" w:type="dxa"/>
          </w:tblCellMar>
        </w:tblPrEx>
        <w:trPr>
          <w:trHeight w:val="288" w:hRule="atLeast"/>
        </w:trPr>
        <w:tc>
          <w:tcPr>
            <w:tcW w:w="1064" w:type="dxa"/>
            <w:tcBorders>
              <w:left w:val="single" w:color="000000" w:sz="4" w:space="0"/>
              <w:bottom w:val="single" w:color="000000" w:sz="4" w:space="0"/>
            </w:tcBorders>
            <w:vAlign w:val="center"/>
          </w:tcPr>
          <w:p w14:paraId="0CD2964A">
            <w:pPr>
              <w:widowControl w:val="0"/>
              <w:jc w:val="center"/>
              <w:rPr>
                <w:rFonts w:ascii="Arial" w:hAnsi="Arial" w:eastAsia="Arial" w:cs="Arial"/>
                <w:b/>
              </w:rPr>
            </w:pPr>
            <w:r>
              <w:rPr>
                <w:rFonts w:ascii="Arial" w:hAnsi="Arial" w:eastAsia="Arial" w:cs="Arial"/>
                <w:b/>
              </w:rPr>
              <w:t>127830</w:t>
            </w:r>
          </w:p>
        </w:tc>
        <w:tc>
          <w:tcPr>
            <w:tcW w:w="3299" w:type="dxa"/>
            <w:tcBorders>
              <w:left w:val="single" w:color="000000" w:sz="4" w:space="0"/>
              <w:bottom w:val="single" w:color="000000" w:sz="4" w:space="0"/>
            </w:tcBorders>
            <w:vAlign w:val="center"/>
          </w:tcPr>
          <w:p w14:paraId="05DC3ABA">
            <w:pPr>
              <w:widowControl w:val="0"/>
              <w:jc w:val="center"/>
              <w:rPr>
                <w:rFonts w:ascii="Arial" w:hAnsi="Arial" w:eastAsia="Arial" w:cs="Arial"/>
              </w:rPr>
            </w:pPr>
            <w:r>
              <w:rPr>
                <w:rFonts w:ascii="Arial" w:hAnsi="Arial" w:eastAsia="Arial" w:cs="Arial"/>
              </w:rPr>
              <w:t>Ensino Fundamental Integral</w:t>
            </w:r>
          </w:p>
        </w:tc>
        <w:tc>
          <w:tcPr>
            <w:tcW w:w="1699" w:type="dxa"/>
            <w:tcBorders>
              <w:left w:val="single" w:color="000000" w:sz="4" w:space="0"/>
              <w:bottom w:val="single" w:color="000000" w:sz="4" w:space="0"/>
            </w:tcBorders>
            <w:vAlign w:val="center"/>
          </w:tcPr>
          <w:p w14:paraId="6CC59AA1">
            <w:pPr>
              <w:widowControl w:val="0"/>
              <w:jc w:val="center"/>
              <w:rPr>
                <w:rFonts w:ascii="Arial" w:hAnsi="Arial" w:eastAsia="Arial" w:cs="Arial"/>
              </w:rPr>
            </w:pPr>
            <w:r>
              <w:rPr>
                <w:rFonts w:ascii="Arial" w:hAnsi="Arial" w:eastAsia="Arial" w:cs="Arial"/>
              </w:rPr>
              <w:t>Café da Manhã</w:t>
            </w:r>
          </w:p>
        </w:tc>
        <w:tc>
          <w:tcPr>
            <w:tcW w:w="1426" w:type="dxa"/>
            <w:tcBorders>
              <w:left w:val="single" w:color="000000" w:sz="4" w:space="0"/>
              <w:bottom w:val="single" w:color="000000" w:sz="4" w:space="0"/>
            </w:tcBorders>
            <w:vAlign w:val="center"/>
          </w:tcPr>
          <w:p w14:paraId="73CA0101">
            <w:pPr>
              <w:widowControl w:val="0"/>
              <w:jc w:val="center"/>
              <w:rPr>
                <w:rFonts w:ascii="Arial" w:hAnsi="Arial" w:eastAsia="Arial" w:cs="Arial"/>
              </w:rPr>
            </w:pPr>
            <w:r>
              <w:rPr>
                <w:rFonts w:ascii="Arial" w:hAnsi="Arial" w:eastAsia="Arial" w:cs="Arial"/>
              </w:rPr>
              <w:t>51000</w:t>
            </w:r>
          </w:p>
        </w:tc>
        <w:tc>
          <w:tcPr>
            <w:tcW w:w="850" w:type="dxa"/>
            <w:tcBorders>
              <w:left w:val="single" w:color="000000" w:sz="4" w:space="0"/>
              <w:bottom w:val="single" w:color="000000" w:sz="4" w:space="0"/>
            </w:tcBorders>
            <w:vAlign w:val="center"/>
          </w:tcPr>
          <w:p w14:paraId="27958092">
            <w:pPr>
              <w:widowControl w:val="0"/>
              <w:jc w:val="center"/>
              <w:rPr>
                <w:rFonts w:ascii="Arial" w:hAnsi="Arial" w:eastAsia="Arial" w:cs="Arial"/>
              </w:rPr>
            </w:pPr>
            <w:r>
              <w:rPr>
                <w:rFonts w:ascii="Arial" w:hAnsi="Arial" w:eastAsia="Arial" w:cs="Arial"/>
              </w:rPr>
              <w:t>R$ 6,02</w:t>
            </w:r>
          </w:p>
        </w:tc>
        <w:tc>
          <w:tcPr>
            <w:tcW w:w="1636" w:type="dxa"/>
            <w:tcBorders>
              <w:left w:val="single" w:color="000000" w:sz="4" w:space="0"/>
              <w:bottom w:val="single" w:color="000000" w:sz="4" w:space="0"/>
              <w:right w:val="single" w:color="000000" w:sz="4" w:space="0"/>
            </w:tcBorders>
            <w:vAlign w:val="center"/>
          </w:tcPr>
          <w:p w14:paraId="2D722899">
            <w:pPr>
              <w:widowControl w:val="0"/>
              <w:jc w:val="center"/>
              <w:rPr>
                <w:rFonts w:ascii="Arial" w:hAnsi="Arial" w:eastAsia="Arial" w:cs="Arial"/>
              </w:rPr>
            </w:pPr>
            <w:r>
              <w:rPr>
                <w:rFonts w:ascii="Arial" w:hAnsi="Arial" w:eastAsia="Arial" w:cs="Arial"/>
              </w:rPr>
              <w:t>R$ 307.020,00</w:t>
            </w:r>
          </w:p>
        </w:tc>
      </w:tr>
      <w:tr w14:paraId="63407D34">
        <w:tblPrEx>
          <w:tblCellMar>
            <w:top w:w="0" w:type="dxa"/>
            <w:left w:w="108" w:type="dxa"/>
            <w:bottom w:w="0" w:type="dxa"/>
            <w:right w:w="108" w:type="dxa"/>
          </w:tblCellMar>
        </w:tblPrEx>
        <w:trPr>
          <w:trHeight w:val="338" w:hRule="atLeast"/>
        </w:trPr>
        <w:tc>
          <w:tcPr>
            <w:tcW w:w="1064" w:type="dxa"/>
            <w:tcBorders>
              <w:left w:val="single" w:color="000000" w:sz="4" w:space="0"/>
              <w:bottom w:val="single" w:color="000000" w:sz="4" w:space="0"/>
            </w:tcBorders>
            <w:vAlign w:val="center"/>
          </w:tcPr>
          <w:p w14:paraId="11BEF737">
            <w:pPr>
              <w:widowControl w:val="0"/>
              <w:jc w:val="center"/>
              <w:rPr>
                <w:rFonts w:ascii="Arial" w:hAnsi="Arial" w:eastAsia="Arial" w:cs="Arial"/>
                <w:b/>
              </w:rPr>
            </w:pPr>
            <w:r>
              <w:rPr>
                <w:rFonts w:ascii="Arial" w:hAnsi="Arial" w:eastAsia="Arial" w:cs="Arial"/>
                <w:b/>
              </w:rPr>
              <w:t>127831</w:t>
            </w:r>
          </w:p>
        </w:tc>
        <w:tc>
          <w:tcPr>
            <w:tcW w:w="3299" w:type="dxa"/>
            <w:tcBorders>
              <w:left w:val="single" w:color="000000" w:sz="4" w:space="0"/>
              <w:bottom w:val="single" w:color="000000" w:sz="4" w:space="0"/>
            </w:tcBorders>
            <w:vAlign w:val="center"/>
          </w:tcPr>
          <w:p w14:paraId="661EB885">
            <w:pPr>
              <w:widowControl w:val="0"/>
              <w:jc w:val="center"/>
              <w:rPr>
                <w:rFonts w:ascii="Arial" w:hAnsi="Arial" w:eastAsia="Arial" w:cs="Arial"/>
              </w:rPr>
            </w:pPr>
            <w:r>
              <w:rPr>
                <w:rFonts w:ascii="Arial" w:hAnsi="Arial" w:eastAsia="Arial" w:cs="Arial"/>
              </w:rPr>
              <w:t>Ensino Fundamental Integral</w:t>
            </w:r>
          </w:p>
        </w:tc>
        <w:tc>
          <w:tcPr>
            <w:tcW w:w="1699" w:type="dxa"/>
            <w:tcBorders>
              <w:left w:val="single" w:color="000000" w:sz="4" w:space="0"/>
              <w:bottom w:val="single" w:color="000000" w:sz="4" w:space="0"/>
            </w:tcBorders>
            <w:vAlign w:val="center"/>
          </w:tcPr>
          <w:p w14:paraId="4399A15B">
            <w:pPr>
              <w:widowControl w:val="0"/>
              <w:jc w:val="center"/>
              <w:rPr>
                <w:rFonts w:ascii="Arial" w:hAnsi="Arial" w:eastAsia="Arial" w:cs="Arial"/>
              </w:rPr>
            </w:pPr>
            <w:r>
              <w:rPr>
                <w:rFonts w:ascii="Arial" w:hAnsi="Arial" w:eastAsia="Arial" w:cs="Arial"/>
              </w:rPr>
              <w:t>Almoço</w:t>
            </w:r>
          </w:p>
        </w:tc>
        <w:tc>
          <w:tcPr>
            <w:tcW w:w="1426" w:type="dxa"/>
            <w:tcBorders>
              <w:left w:val="single" w:color="000000" w:sz="4" w:space="0"/>
              <w:bottom w:val="single" w:color="000000" w:sz="4" w:space="0"/>
            </w:tcBorders>
            <w:vAlign w:val="center"/>
          </w:tcPr>
          <w:p w14:paraId="77CFEE21">
            <w:pPr>
              <w:widowControl w:val="0"/>
              <w:jc w:val="center"/>
              <w:rPr>
                <w:rFonts w:ascii="Arial" w:hAnsi="Arial" w:eastAsia="Arial" w:cs="Arial"/>
              </w:rPr>
            </w:pPr>
            <w:r>
              <w:rPr>
                <w:rFonts w:ascii="Arial" w:hAnsi="Arial" w:eastAsia="Arial" w:cs="Arial"/>
              </w:rPr>
              <w:t>51000</w:t>
            </w:r>
          </w:p>
        </w:tc>
        <w:tc>
          <w:tcPr>
            <w:tcW w:w="850" w:type="dxa"/>
            <w:tcBorders>
              <w:left w:val="single" w:color="000000" w:sz="4" w:space="0"/>
              <w:bottom w:val="single" w:color="000000" w:sz="4" w:space="0"/>
            </w:tcBorders>
            <w:vAlign w:val="center"/>
          </w:tcPr>
          <w:p w14:paraId="7EEF7287">
            <w:pPr>
              <w:widowControl w:val="0"/>
              <w:jc w:val="center"/>
              <w:rPr>
                <w:rFonts w:ascii="Arial" w:hAnsi="Arial" w:eastAsia="Arial" w:cs="Arial"/>
              </w:rPr>
            </w:pPr>
            <w:r>
              <w:rPr>
                <w:rFonts w:ascii="Arial" w:hAnsi="Arial" w:eastAsia="Arial" w:cs="Arial"/>
              </w:rPr>
              <w:t>R$ 5,98</w:t>
            </w:r>
          </w:p>
        </w:tc>
        <w:tc>
          <w:tcPr>
            <w:tcW w:w="1636" w:type="dxa"/>
            <w:tcBorders>
              <w:left w:val="single" w:color="000000" w:sz="4" w:space="0"/>
              <w:bottom w:val="single" w:color="000000" w:sz="4" w:space="0"/>
              <w:right w:val="single" w:color="000000" w:sz="4" w:space="0"/>
            </w:tcBorders>
            <w:vAlign w:val="center"/>
          </w:tcPr>
          <w:p w14:paraId="43099FB3">
            <w:pPr>
              <w:widowControl w:val="0"/>
              <w:jc w:val="center"/>
              <w:rPr>
                <w:rFonts w:ascii="Arial" w:hAnsi="Arial" w:eastAsia="Arial" w:cs="Arial"/>
              </w:rPr>
            </w:pPr>
            <w:r>
              <w:rPr>
                <w:rFonts w:ascii="Arial" w:hAnsi="Arial" w:eastAsia="Arial" w:cs="Arial"/>
              </w:rPr>
              <w:t>R$ 304.980,00</w:t>
            </w:r>
          </w:p>
        </w:tc>
      </w:tr>
      <w:tr w14:paraId="0EA518EF">
        <w:tblPrEx>
          <w:tblCellMar>
            <w:top w:w="0" w:type="dxa"/>
            <w:left w:w="108" w:type="dxa"/>
            <w:bottom w:w="0" w:type="dxa"/>
            <w:right w:w="108" w:type="dxa"/>
          </w:tblCellMar>
        </w:tblPrEx>
        <w:trPr>
          <w:trHeight w:val="287" w:hRule="atLeast"/>
        </w:trPr>
        <w:tc>
          <w:tcPr>
            <w:tcW w:w="1064" w:type="dxa"/>
            <w:tcBorders>
              <w:left w:val="single" w:color="000000" w:sz="4" w:space="0"/>
              <w:bottom w:val="single" w:color="000000" w:sz="4" w:space="0"/>
            </w:tcBorders>
            <w:vAlign w:val="center"/>
          </w:tcPr>
          <w:p w14:paraId="3C10124D">
            <w:pPr>
              <w:widowControl w:val="0"/>
              <w:jc w:val="center"/>
              <w:rPr>
                <w:rFonts w:ascii="Arial" w:hAnsi="Arial" w:eastAsia="Arial" w:cs="Arial"/>
                <w:b/>
              </w:rPr>
            </w:pPr>
            <w:r>
              <w:rPr>
                <w:rFonts w:ascii="Arial" w:hAnsi="Arial" w:eastAsia="Arial" w:cs="Arial"/>
                <w:b/>
              </w:rPr>
              <w:t>127832</w:t>
            </w:r>
          </w:p>
        </w:tc>
        <w:tc>
          <w:tcPr>
            <w:tcW w:w="3299" w:type="dxa"/>
            <w:tcBorders>
              <w:left w:val="single" w:color="000000" w:sz="4" w:space="0"/>
              <w:bottom w:val="single" w:color="000000" w:sz="4" w:space="0"/>
            </w:tcBorders>
            <w:vAlign w:val="center"/>
          </w:tcPr>
          <w:p w14:paraId="4F9AE8B7">
            <w:pPr>
              <w:widowControl w:val="0"/>
              <w:jc w:val="center"/>
              <w:rPr>
                <w:rFonts w:ascii="Arial" w:hAnsi="Arial" w:eastAsia="Arial" w:cs="Arial"/>
              </w:rPr>
            </w:pPr>
            <w:r>
              <w:rPr>
                <w:rFonts w:ascii="Arial" w:hAnsi="Arial" w:eastAsia="Arial" w:cs="Arial"/>
              </w:rPr>
              <w:t>Ensino Fundamental Integral</w:t>
            </w:r>
          </w:p>
        </w:tc>
        <w:tc>
          <w:tcPr>
            <w:tcW w:w="1699" w:type="dxa"/>
            <w:tcBorders>
              <w:left w:val="single" w:color="000000" w:sz="4" w:space="0"/>
              <w:bottom w:val="single" w:color="000000" w:sz="4" w:space="0"/>
            </w:tcBorders>
            <w:vAlign w:val="center"/>
          </w:tcPr>
          <w:p w14:paraId="04DE9F08">
            <w:pPr>
              <w:widowControl w:val="0"/>
              <w:jc w:val="center"/>
              <w:rPr>
                <w:rFonts w:ascii="Arial" w:hAnsi="Arial" w:eastAsia="Arial" w:cs="Arial"/>
              </w:rPr>
            </w:pPr>
            <w:r>
              <w:rPr>
                <w:rFonts w:ascii="Arial" w:hAnsi="Arial" w:eastAsia="Arial" w:cs="Arial"/>
              </w:rPr>
              <w:t>Lanche</w:t>
            </w:r>
          </w:p>
        </w:tc>
        <w:tc>
          <w:tcPr>
            <w:tcW w:w="1426" w:type="dxa"/>
            <w:tcBorders>
              <w:left w:val="single" w:color="000000" w:sz="4" w:space="0"/>
              <w:bottom w:val="single" w:color="000000" w:sz="4" w:space="0"/>
            </w:tcBorders>
            <w:vAlign w:val="center"/>
          </w:tcPr>
          <w:p w14:paraId="6B87B49E">
            <w:pPr>
              <w:widowControl w:val="0"/>
              <w:jc w:val="center"/>
              <w:rPr>
                <w:rFonts w:ascii="Arial" w:hAnsi="Arial" w:eastAsia="Arial" w:cs="Arial"/>
              </w:rPr>
            </w:pPr>
            <w:r>
              <w:rPr>
                <w:rFonts w:ascii="Arial" w:hAnsi="Arial" w:eastAsia="Arial" w:cs="Arial"/>
              </w:rPr>
              <w:t>51000</w:t>
            </w:r>
          </w:p>
        </w:tc>
        <w:tc>
          <w:tcPr>
            <w:tcW w:w="850" w:type="dxa"/>
            <w:tcBorders>
              <w:left w:val="single" w:color="000000" w:sz="4" w:space="0"/>
              <w:bottom w:val="single" w:color="000000" w:sz="4" w:space="0"/>
            </w:tcBorders>
            <w:vAlign w:val="center"/>
          </w:tcPr>
          <w:p w14:paraId="502912E0">
            <w:pPr>
              <w:widowControl w:val="0"/>
              <w:jc w:val="center"/>
              <w:rPr>
                <w:rFonts w:ascii="Arial" w:hAnsi="Arial" w:eastAsia="Arial" w:cs="Arial"/>
              </w:rPr>
            </w:pPr>
            <w:r>
              <w:rPr>
                <w:rFonts w:ascii="Arial" w:hAnsi="Arial" w:eastAsia="Arial" w:cs="Arial"/>
              </w:rPr>
              <w:t>R$ 6,02</w:t>
            </w:r>
          </w:p>
        </w:tc>
        <w:tc>
          <w:tcPr>
            <w:tcW w:w="1636" w:type="dxa"/>
            <w:tcBorders>
              <w:left w:val="single" w:color="000000" w:sz="4" w:space="0"/>
              <w:bottom w:val="single" w:color="000000" w:sz="4" w:space="0"/>
              <w:right w:val="single" w:color="000000" w:sz="4" w:space="0"/>
            </w:tcBorders>
            <w:vAlign w:val="center"/>
          </w:tcPr>
          <w:p w14:paraId="52C5F06B">
            <w:pPr>
              <w:widowControl w:val="0"/>
              <w:jc w:val="center"/>
              <w:rPr>
                <w:rFonts w:ascii="Arial" w:hAnsi="Arial" w:eastAsia="Arial" w:cs="Arial"/>
              </w:rPr>
            </w:pPr>
            <w:r>
              <w:rPr>
                <w:rFonts w:ascii="Arial" w:hAnsi="Arial" w:eastAsia="Arial" w:cs="Arial"/>
              </w:rPr>
              <w:t>R$ 307.020,00</w:t>
            </w:r>
          </w:p>
        </w:tc>
      </w:tr>
      <w:tr w14:paraId="58A24128">
        <w:tblPrEx>
          <w:tblCellMar>
            <w:top w:w="0" w:type="dxa"/>
            <w:left w:w="108" w:type="dxa"/>
            <w:bottom w:w="0" w:type="dxa"/>
            <w:right w:w="108" w:type="dxa"/>
          </w:tblCellMar>
        </w:tblPrEx>
        <w:trPr>
          <w:trHeight w:val="338" w:hRule="atLeast"/>
        </w:trPr>
        <w:tc>
          <w:tcPr>
            <w:tcW w:w="1064" w:type="dxa"/>
            <w:tcBorders>
              <w:left w:val="single" w:color="000000" w:sz="4" w:space="0"/>
              <w:bottom w:val="single" w:color="000000" w:sz="4" w:space="0"/>
            </w:tcBorders>
            <w:vAlign w:val="center"/>
          </w:tcPr>
          <w:p w14:paraId="6EBA370D">
            <w:pPr>
              <w:widowControl w:val="0"/>
              <w:jc w:val="center"/>
              <w:rPr>
                <w:rFonts w:ascii="Arial" w:hAnsi="Arial" w:eastAsia="Arial" w:cs="Arial"/>
                <w:b/>
              </w:rPr>
            </w:pPr>
            <w:r>
              <w:rPr>
                <w:rFonts w:ascii="Arial" w:hAnsi="Arial" w:eastAsia="Arial" w:cs="Arial"/>
                <w:b/>
              </w:rPr>
              <w:t>127833</w:t>
            </w:r>
          </w:p>
        </w:tc>
        <w:tc>
          <w:tcPr>
            <w:tcW w:w="3299" w:type="dxa"/>
            <w:tcBorders>
              <w:left w:val="single" w:color="000000" w:sz="4" w:space="0"/>
              <w:bottom w:val="single" w:color="000000" w:sz="4" w:space="0"/>
            </w:tcBorders>
            <w:vAlign w:val="center"/>
          </w:tcPr>
          <w:p w14:paraId="78DEF0B2">
            <w:pPr>
              <w:widowControl w:val="0"/>
              <w:jc w:val="center"/>
              <w:rPr>
                <w:rFonts w:ascii="Arial" w:hAnsi="Arial" w:eastAsia="Arial" w:cs="Arial"/>
              </w:rPr>
            </w:pPr>
            <w:r>
              <w:rPr>
                <w:rFonts w:ascii="Arial" w:hAnsi="Arial" w:eastAsia="Arial" w:cs="Arial"/>
              </w:rPr>
              <w:t>Ensino Fundamental Integral</w:t>
            </w:r>
          </w:p>
        </w:tc>
        <w:tc>
          <w:tcPr>
            <w:tcW w:w="1699" w:type="dxa"/>
            <w:tcBorders>
              <w:left w:val="single" w:color="000000" w:sz="4" w:space="0"/>
              <w:bottom w:val="single" w:color="000000" w:sz="4" w:space="0"/>
            </w:tcBorders>
            <w:vAlign w:val="center"/>
          </w:tcPr>
          <w:p w14:paraId="1BC4C9FD">
            <w:pPr>
              <w:widowControl w:val="0"/>
              <w:jc w:val="center"/>
              <w:rPr>
                <w:rFonts w:ascii="Arial" w:hAnsi="Arial" w:eastAsia="Arial" w:cs="Arial"/>
              </w:rPr>
            </w:pPr>
            <w:r>
              <w:rPr>
                <w:rFonts w:ascii="Arial" w:hAnsi="Arial" w:eastAsia="Arial" w:cs="Arial"/>
              </w:rPr>
              <w:t>Jantar</w:t>
            </w:r>
          </w:p>
        </w:tc>
        <w:tc>
          <w:tcPr>
            <w:tcW w:w="1426" w:type="dxa"/>
            <w:tcBorders>
              <w:left w:val="single" w:color="000000" w:sz="4" w:space="0"/>
              <w:bottom w:val="single" w:color="000000" w:sz="4" w:space="0"/>
            </w:tcBorders>
            <w:vAlign w:val="center"/>
          </w:tcPr>
          <w:p w14:paraId="6785A2FC">
            <w:pPr>
              <w:widowControl w:val="0"/>
              <w:jc w:val="center"/>
              <w:rPr>
                <w:rFonts w:ascii="Arial" w:hAnsi="Arial" w:eastAsia="Arial" w:cs="Arial"/>
              </w:rPr>
            </w:pPr>
            <w:r>
              <w:rPr>
                <w:rFonts w:ascii="Arial" w:hAnsi="Arial" w:eastAsia="Arial" w:cs="Arial"/>
              </w:rPr>
              <w:t>51000</w:t>
            </w:r>
          </w:p>
        </w:tc>
        <w:tc>
          <w:tcPr>
            <w:tcW w:w="850" w:type="dxa"/>
            <w:tcBorders>
              <w:left w:val="single" w:color="000000" w:sz="4" w:space="0"/>
              <w:bottom w:val="single" w:color="000000" w:sz="4" w:space="0"/>
            </w:tcBorders>
            <w:vAlign w:val="center"/>
          </w:tcPr>
          <w:p w14:paraId="0CCA809B">
            <w:pPr>
              <w:widowControl w:val="0"/>
              <w:jc w:val="center"/>
              <w:rPr>
                <w:rFonts w:ascii="Arial" w:hAnsi="Arial" w:eastAsia="Arial" w:cs="Arial"/>
              </w:rPr>
            </w:pPr>
            <w:r>
              <w:rPr>
                <w:rFonts w:ascii="Arial" w:hAnsi="Arial" w:eastAsia="Arial" w:cs="Arial"/>
              </w:rPr>
              <w:t>R$ 5,98</w:t>
            </w:r>
          </w:p>
        </w:tc>
        <w:tc>
          <w:tcPr>
            <w:tcW w:w="1636" w:type="dxa"/>
            <w:tcBorders>
              <w:left w:val="single" w:color="000000" w:sz="4" w:space="0"/>
              <w:bottom w:val="single" w:color="000000" w:sz="4" w:space="0"/>
              <w:right w:val="single" w:color="000000" w:sz="4" w:space="0"/>
            </w:tcBorders>
            <w:vAlign w:val="center"/>
          </w:tcPr>
          <w:p w14:paraId="4FB472BB">
            <w:pPr>
              <w:widowControl w:val="0"/>
              <w:jc w:val="center"/>
              <w:rPr>
                <w:rFonts w:ascii="Arial" w:hAnsi="Arial" w:eastAsia="Arial" w:cs="Arial"/>
              </w:rPr>
            </w:pPr>
            <w:r>
              <w:rPr>
                <w:rFonts w:ascii="Arial" w:hAnsi="Arial" w:eastAsia="Arial" w:cs="Arial"/>
              </w:rPr>
              <w:t>R$ 304.980,00</w:t>
            </w:r>
          </w:p>
        </w:tc>
      </w:tr>
      <w:tr w14:paraId="14FC8671">
        <w:tblPrEx>
          <w:tblCellMar>
            <w:top w:w="0" w:type="dxa"/>
            <w:left w:w="108" w:type="dxa"/>
            <w:bottom w:w="0" w:type="dxa"/>
            <w:right w:w="108" w:type="dxa"/>
          </w:tblCellMar>
        </w:tblPrEx>
        <w:trPr>
          <w:trHeight w:val="288" w:hRule="atLeast"/>
        </w:trPr>
        <w:tc>
          <w:tcPr>
            <w:tcW w:w="1064" w:type="dxa"/>
            <w:tcBorders>
              <w:left w:val="single" w:color="000000" w:sz="4" w:space="0"/>
              <w:bottom w:val="single" w:color="000000" w:sz="4" w:space="0"/>
            </w:tcBorders>
            <w:vAlign w:val="center"/>
          </w:tcPr>
          <w:p w14:paraId="63AA7179">
            <w:pPr>
              <w:widowControl w:val="0"/>
              <w:jc w:val="center"/>
              <w:rPr>
                <w:rFonts w:ascii="Arial" w:hAnsi="Arial" w:eastAsia="Arial" w:cs="Arial"/>
                <w:b/>
              </w:rPr>
            </w:pPr>
            <w:r>
              <w:rPr>
                <w:rFonts w:ascii="Arial" w:hAnsi="Arial" w:eastAsia="Arial" w:cs="Arial"/>
                <w:b/>
              </w:rPr>
              <w:t>127834</w:t>
            </w:r>
          </w:p>
        </w:tc>
        <w:tc>
          <w:tcPr>
            <w:tcW w:w="3299" w:type="dxa"/>
            <w:tcBorders>
              <w:left w:val="single" w:color="000000" w:sz="4" w:space="0"/>
              <w:bottom w:val="single" w:color="000000" w:sz="4" w:space="0"/>
            </w:tcBorders>
            <w:vAlign w:val="center"/>
          </w:tcPr>
          <w:p w14:paraId="1CD015E9">
            <w:pPr>
              <w:widowControl w:val="0"/>
              <w:jc w:val="center"/>
              <w:rPr>
                <w:rFonts w:ascii="Arial" w:hAnsi="Arial" w:eastAsia="Arial" w:cs="Arial"/>
              </w:rPr>
            </w:pPr>
            <w:r>
              <w:rPr>
                <w:rFonts w:ascii="Arial" w:hAnsi="Arial" w:eastAsia="Arial" w:cs="Arial"/>
              </w:rPr>
              <w:t>EJA – Educação de Jovens e Adultos</w:t>
            </w:r>
          </w:p>
        </w:tc>
        <w:tc>
          <w:tcPr>
            <w:tcW w:w="1699" w:type="dxa"/>
            <w:tcBorders>
              <w:left w:val="single" w:color="000000" w:sz="4" w:space="0"/>
              <w:bottom w:val="single" w:color="000000" w:sz="4" w:space="0"/>
            </w:tcBorders>
            <w:vAlign w:val="center"/>
          </w:tcPr>
          <w:p w14:paraId="75E55525">
            <w:pPr>
              <w:widowControl w:val="0"/>
              <w:jc w:val="center"/>
              <w:rPr>
                <w:rFonts w:ascii="Arial" w:hAnsi="Arial" w:eastAsia="Arial" w:cs="Arial"/>
              </w:rPr>
            </w:pPr>
            <w:r>
              <w:rPr>
                <w:rFonts w:ascii="Arial" w:hAnsi="Arial" w:eastAsia="Arial" w:cs="Arial"/>
              </w:rPr>
              <w:t>Lanche Noturno</w:t>
            </w:r>
          </w:p>
        </w:tc>
        <w:tc>
          <w:tcPr>
            <w:tcW w:w="1426" w:type="dxa"/>
            <w:tcBorders>
              <w:left w:val="single" w:color="000000" w:sz="4" w:space="0"/>
              <w:bottom w:val="single" w:color="000000" w:sz="4" w:space="0"/>
            </w:tcBorders>
            <w:vAlign w:val="center"/>
          </w:tcPr>
          <w:p w14:paraId="7A0073E9">
            <w:pPr>
              <w:widowControl w:val="0"/>
              <w:jc w:val="center"/>
              <w:rPr>
                <w:rFonts w:ascii="Arial" w:hAnsi="Arial" w:eastAsia="Arial" w:cs="Arial"/>
              </w:rPr>
            </w:pPr>
            <w:r>
              <w:rPr>
                <w:rFonts w:ascii="Arial" w:hAnsi="Arial" w:eastAsia="Arial" w:cs="Arial"/>
              </w:rPr>
              <w:t>79200</w:t>
            </w:r>
          </w:p>
        </w:tc>
        <w:tc>
          <w:tcPr>
            <w:tcW w:w="850" w:type="dxa"/>
            <w:tcBorders>
              <w:left w:val="single" w:color="000000" w:sz="4" w:space="0"/>
              <w:bottom w:val="single" w:color="000000" w:sz="4" w:space="0"/>
            </w:tcBorders>
            <w:vAlign w:val="center"/>
          </w:tcPr>
          <w:p w14:paraId="7E6B9B11">
            <w:pPr>
              <w:widowControl w:val="0"/>
              <w:jc w:val="center"/>
              <w:rPr>
                <w:rFonts w:ascii="Arial" w:hAnsi="Arial" w:eastAsia="Arial" w:cs="Arial"/>
              </w:rPr>
            </w:pPr>
            <w:r>
              <w:rPr>
                <w:rFonts w:ascii="Arial" w:hAnsi="Arial" w:eastAsia="Arial" w:cs="Arial"/>
              </w:rPr>
              <w:t>R$ 6,13</w:t>
            </w:r>
          </w:p>
        </w:tc>
        <w:tc>
          <w:tcPr>
            <w:tcW w:w="1636" w:type="dxa"/>
            <w:tcBorders>
              <w:left w:val="single" w:color="000000" w:sz="4" w:space="0"/>
              <w:bottom w:val="single" w:color="000000" w:sz="4" w:space="0"/>
              <w:right w:val="single" w:color="000000" w:sz="4" w:space="0"/>
            </w:tcBorders>
            <w:vAlign w:val="center"/>
          </w:tcPr>
          <w:p w14:paraId="0128CAE6">
            <w:pPr>
              <w:widowControl w:val="0"/>
              <w:jc w:val="center"/>
              <w:rPr>
                <w:rFonts w:ascii="Arial" w:hAnsi="Arial" w:eastAsia="Arial" w:cs="Arial"/>
              </w:rPr>
            </w:pPr>
            <w:r>
              <w:rPr>
                <w:rFonts w:ascii="Arial" w:hAnsi="Arial" w:eastAsia="Arial" w:cs="Arial"/>
              </w:rPr>
              <w:t>R$ 485.496,00</w:t>
            </w:r>
          </w:p>
        </w:tc>
      </w:tr>
      <w:tr w14:paraId="6D6B4FA6">
        <w:tblPrEx>
          <w:tblCellMar>
            <w:top w:w="0" w:type="dxa"/>
            <w:left w:w="108" w:type="dxa"/>
            <w:bottom w:w="0" w:type="dxa"/>
            <w:right w:w="108" w:type="dxa"/>
          </w:tblCellMar>
        </w:tblPrEx>
        <w:trPr>
          <w:trHeight w:val="262" w:hRule="atLeast"/>
        </w:trPr>
        <w:tc>
          <w:tcPr>
            <w:tcW w:w="1064" w:type="dxa"/>
            <w:tcBorders>
              <w:left w:val="single" w:color="000000" w:sz="4" w:space="0"/>
              <w:bottom w:val="single" w:color="000000" w:sz="4" w:space="0"/>
            </w:tcBorders>
            <w:vAlign w:val="center"/>
          </w:tcPr>
          <w:p w14:paraId="36BE48F6">
            <w:pPr>
              <w:widowControl w:val="0"/>
              <w:jc w:val="center"/>
              <w:rPr>
                <w:rFonts w:ascii="Arial" w:hAnsi="Arial" w:eastAsia="Arial" w:cs="Arial"/>
                <w:b/>
              </w:rPr>
            </w:pPr>
            <w:r>
              <w:rPr>
                <w:rFonts w:ascii="Arial" w:hAnsi="Arial" w:eastAsia="Arial" w:cs="Arial"/>
                <w:b/>
              </w:rPr>
              <w:t>127835</w:t>
            </w:r>
          </w:p>
        </w:tc>
        <w:tc>
          <w:tcPr>
            <w:tcW w:w="3299" w:type="dxa"/>
            <w:tcBorders>
              <w:left w:val="single" w:color="000000" w:sz="4" w:space="0"/>
              <w:bottom w:val="single" w:color="000000" w:sz="4" w:space="0"/>
            </w:tcBorders>
            <w:vAlign w:val="center"/>
          </w:tcPr>
          <w:p w14:paraId="3D01D547">
            <w:pPr>
              <w:widowControl w:val="0"/>
              <w:jc w:val="center"/>
              <w:rPr>
                <w:rFonts w:ascii="Arial" w:hAnsi="Arial" w:eastAsia="Arial" w:cs="Arial"/>
              </w:rPr>
            </w:pPr>
            <w:r>
              <w:rPr>
                <w:rFonts w:ascii="Arial" w:hAnsi="Arial" w:eastAsia="Arial" w:cs="Arial"/>
              </w:rPr>
              <w:t>AEE – Pré-Escola e Fundamental</w:t>
            </w:r>
          </w:p>
        </w:tc>
        <w:tc>
          <w:tcPr>
            <w:tcW w:w="1699" w:type="dxa"/>
            <w:tcBorders>
              <w:left w:val="single" w:color="000000" w:sz="4" w:space="0"/>
              <w:bottom w:val="single" w:color="000000" w:sz="4" w:space="0"/>
            </w:tcBorders>
            <w:vAlign w:val="center"/>
          </w:tcPr>
          <w:p w14:paraId="0A5FE71A">
            <w:pPr>
              <w:widowControl w:val="0"/>
              <w:jc w:val="center"/>
              <w:rPr>
                <w:rFonts w:ascii="Arial" w:hAnsi="Arial" w:eastAsia="Arial" w:cs="Arial"/>
              </w:rPr>
            </w:pPr>
            <w:r>
              <w:rPr>
                <w:rFonts w:ascii="Arial" w:hAnsi="Arial" w:eastAsia="Arial" w:cs="Arial"/>
              </w:rPr>
              <w:t>Merenda suplementar</w:t>
            </w:r>
          </w:p>
        </w:tc>
        <w:tc>
          <w:tcPr>
            <w:tcW w:w="1426" w:type="dxa"/>
            <w:tcBorders>
              <w:left w:val="single" w:color="000000" w:sz="4" w:space="0"/>
              <w:bottom w:val="single" w:color="000000" w:sz="4" w:space="0"/>
            </w:tcBorders>
            <w:vAlign w:val="center"/>
          </w:tcPr>
          <w:p w14:paraId="1C318FE9">
            <w:pPr>
              <w:widowControl w:val="0"/>
              <w:jc w:val="center"/>
              <w:rPr>
                <w:rFonts w:ascii="Arial" w:hAnsi="Arial" w:eastAsia="Arial" w:cs="Arial"/>
              </w:rPr>
            </w:pPr>
            <w:r>
              <w:rPr>
                <w:rFonts w:ascii="Arial" w:hAnsi="Arial" w:eastAsia="Arial" w:cs="Arial"/>
              </w:rPr>
              <w:t>126800</w:t>
            </w:r>
          </w:p>
        </w:tc>
        <w:tc>
          <w:tcPr>
            <w:tcW w:w="850" w:type="dxa"/>
            <w:tcBorders>
              <w:left w:val="single" w:color="000000" w:sz="4" w:space="0"/>
              <w:bottom w:val="single" w:color="000000" w:sz="4" w:space="0"/>
            </w:tcBorders>
            <w:vAlign w:val="center"/>
          </w:tcPr>
          <w:p w14:paraId="346AB1B7">
            <w:pPr>
              <w:widowControl w:val="0"/>
              <w:jc w:val="center"/>
              <w:rPr>
                <w:rFonts w:ascii="Arial" w:hAnsi="Arial" w:eastAsia="Arial" w:cs="Arial"/>
              </w:rPr>
            </w:pPr>
            <w:r>
              <w:rPr>
                <w:rFonts w:ascii="Arial" w:hAnsi="Arial" w:eastAsia="Arial" w:cs="Arial"/>
              </w:rPr>
              <w:t>R$ 6,28</w:t>
            </w:r>
          </w:p>
        </w:tc>
        <w:tc>
          <w:tcPr>
            <w:tcW w:w="1636" w:type="dxa"/>
            <w:tcBorders>
              <w:left w:val="single" w:color="000000" w:sz="4" w:space="0"/>
              <w:bottom w:val="single" w:color="000000" w:sz="4" w:space="0"/>
              <w:right w:val="single" w:color="000000" w:sz="4" w:space="0"/>
            </w:tcBorders>
            <w:vAlign w:val="center"/>
          </w:tcPr>
          <w:p w14:paraId="7C308BAC">
            <w:pPr>
              <w:widowControl w:val="0"/>
              <w:jc w:val="center"/>
              <w:rPr>
                <w:rFonts w:ascii="Arial" w:hAnsi="Arial" w:eastAsia="Arial" w:cs="Arial"/>
              </w:rPr>
            </w:pPr>
            <w:r>
              <w:rPr>
                <w:rFonts w:ascii="Arial" w:hAnsi="Arial" w:eastAsia="Arial" w:cs="Arial"/>
              </w:rPr>
              <w:t>R$ 796.304,00</w:t>
            </w:r>
          </w:p>
        </w:tc>
      </w:tr>
      <w:tr w14:paraId="3DC94E86">
        <w:tblPrEx>
          <w:tblCellMar>
            <w:top w:w="0" w:type="dxa"/>
            <w:left w:w="108" w:type="dxa"/>
            <w:bottom w:w="0" w:type="dxa"/>
            <w:right w:w="108" w:type="dxa"/>
          </w:tblCellMar>
        </w:tblPrEx>
        <w:trPr>
          <w:trHeight w:val="349" w:hRule="atLeast"/>
        </w:trPr>
        <w:tc>
          <w:tcPr>
            <w:tcW w:w="1064" w:type="dxa"/>
            <w:tcBorders>
              <w:left w:val="single" w:color="000000" w:sz="4" w:space="0"/>
              <w:bottom w:val="single" w:color="000000" w:sz="4" w:space="0"/>
            </w:tcBorders>
            <w:vAlign w:val="center"/>
          </w:tcPr>
          <w:p w14:paraId="48DB9169">
            <w:pPr>
              <w:widowControl w:val="0"/>
              <w:jc w:val="center"/>
              <w:rPr>
                <w:rFonts w:ascii="Arial" w:hAnsi="Arial" w:eastAsia="Arial" w:cs="Arial"/>
                <w:b/>
              </w:rPr>
            </w:pPr>
            <w:r>
              <w:rPr>
                <w:rFonts w:ascii="Arial" w:hAnsi="Arial" w:eastAsia="Arial" w:cs="Arial"/>
                <w:b/>
              </w:rPr>
              <w:t>127836</w:t>
            </w:r>
          </w:p>
        </w:tc>
        <w:tc>
          <w:tcPr>
            <w:tcW w:w="3299" w:type="dxa"/>
            <w:tcBorders>
              <w:left w:val="single" w:color="000000" w:sz="4" w:space="0"/>
              <w:bottom w:val="single" w:color="000000" w:sz="4" w:space="0"/>
            </w:tcBorders>
            <w:vAlign w:val="center"/>
          </w:tcPr>
          <w:p w14:paraId="2A663799">
            <w:pPr>
              <w:widowControl w:val="0"/>
              <w:jc w:val="center"/>
              <w:rPr>
                <w:rFonts w:ascii="Arial" w:hAnsi="Arial" w:eastAsia="Arial" w:cs="Arial"/>
              </w:rPr>
            </w:pPr>
            <w:r>
              <w:rPr>
                <w:rFonts w:ascii="Arial" w:hAnsi="Arial" w:eastAsia="Arial" w:cs="Arial"/>
              </w:rPr>
              <w:t>AEE – Creche (matutino)</w:t>
            </w:r>
          </w:p>
        </w:tc>
        <w:tc>
          <w:tcPr>
            <w:tcW w:w="1699" w:type="dxa"/>
            <w:tcBorders>
              <w:left w:val="single" w:color="000000" w:sz="4" w:space="0"/>
              <w:bottom w:val="single" w:color="000000" w:sz="4" w:space="0"/>
            </w:tcBorders>
            <w:vAlign w:val="center"/>
          </w:tcPr>
          <w:p w14:paraId="2E6FA2E1">
            <w:pPr>
              <w:widowControl w:val="0"/>
              <w:jc w:val="center"/>
              <w:rPr>
                <w:rFonts w:ascii="Arial" w:hAnsi="Arial" w:eastAsia="Arial" w:cs="Arial"/>
              </w:rPr>
            </w:pPr>
            <w:r>
              <w:rPr>
                <w:rFonts w:ascii="Arial" w:hAnsi="Arial" w:eastAsia="Arial" w:cs="Arial"/>
              </w:rPr>
              <w:t>Café da Manhã</w:t>
            </w:r>
          </w:p>
        </w:tc>
        <w:tc>
          <w:tcPr>
            <w:tcW w:w="1426" w:type="dxa"/>
            <w:tcBorders>
              <w:left w:val="single" w:color="000000" w:sz="4" w:space="0"/>
              <w:bottom w:val="single" w:color="000000" w:sz="4" w:space="0"/>
            </w:tcBorders>
            <w:vAlign w:val="center"/>
          </w:tcPr>
          <w:p w14:paraId="0BC8515B">
            <w:pPr>
              <w:widowControl w:val="0"/>
              <w:jc w:val="center"/>
              <w:rPr>
                <w:rFonts w:ascii="Arial" w:hAnsi="Arial" w:eastAsia="Arial" w:cs="Arial"/>
              </w:rPr>
            </w:pPr>
            <w:r>
              <w:rPr>
                <w:rFonts w:ascii="Arial" w:hAnsi="Arial" w:eastAsia="Arial" w:cs="Arial"/>
              </w:rPr>
              <w:t>45000</w:t>
            </w:r>
          </w:p>
        </w:tc>
        <w:tc>
          <w:tcPr>
            <w:tcW w:w="850" w:type="dxa"/>
            <w:tcBorders>
              <w:left w:val="single" w:color="000000" w:sz="4" w:space="0"/>
              <w:bottom w:val="single" w:color="000000" w:sz="4" w:space="0"/>
            </w:tcBorders>
            <w:vAlign w:val="center"/>
          </w:tcPr>
          <w:p w14:paraId="1EE5CBB4">
            <w:pPr>
              <w:widowControl w:val="0"/>
              <w:jc w:val="center"/>
              <w:rPr>
                <w:rFonts w:ascii="Arial" w:hAnsi="Arial" w:eastAsia="Arial" w:cs="Arial"/>
              </w:rPr>
            </w:pPr>
            <w:r>
              <w:rPr>
                <w:rFonts w:ascii="Arial" w:hAnsi="Arial" w:eastAsia="Arial" w:cs="Arial"/>
              </w:rPr>
              <w:t>R$ 6,43</w:t>
            </w:r>
          </w:p>
        </w:tc>
        <w:tc>
          <w:tcPr>
            <w:tcW w:w="1636" w:type="dxa"/>
            <w:tcBorders>
              <w:left w:val="single" w:color="000000" w:sz="4" w:space="0"/>
              <w:bottom w:val="single" w:color="000000" w:sz="4" w:space="0"/>
              <w:right w:val="single" w:color="000000" w:sz="4" w:space="0"/>
            </w:tcBorders>
            <w:vAlign w:val="center"/>
          </w:tcPr>
          <w:p w14:paraId="70C48258">
            <w:pPr>
              <w:widowControl w:val="0"/>
              <w:jc w:val="center"/>
              <w:rPr>
                <w:rFonts w:ascii="Arial" w:hAnsi="Arial" w:eastAsia="Arial" w:cs="Arial"/>
              </w:rPr>
            </w:pPr>
            <w:r>
              <w:rPr>
                <w:rFonts w:ascii="Arial" w:hAnsi="Arial" w:eastAsia="Arial" w:cs="Arial"/>
              </w:rPr>
              <w:t>R$ 289.350,00</w:t>
            </w:r>
          </w:p>
        </w:tc>
      </w:tr>
      <w:tr w14:paraId="070C6571">
        <w:tblPrEx>
          <w:tblCellMar>
            <w:top w:w="0" w:type="dxa"/>
            <w:left w:w="108" w:type="dxa"/>
            <w:bottom w:w="0" w:type="dxa"/>
            <w:right w:w="108" w:type="dxa"/>
          </w:tblCellMar>
        </w:tblPrEx>
        <w:trPr>
          <w:trHeight w:val="267" w:hRule="atLeast"/>
        </w:trPr>
        <w:tc>
          <w:tcPr>
            <w:tcW w:w="1064" w:type="dxa"/>
            <w:tcBorders>
              <w:left w:val="single" w:color="000000" w:sz="4" w:space="0"/>
              <w:bottom w:val="single" w:color="000000" w:sz="4" w:space="0"/>
            </w:tcBorders>
            <w:vAlign w:val="center"/>
          </w:tcPr>
          <w:p w14:paraId="6ED63B86">
            <w:pPr>
              <w:widowControl w:val="0"/>
              <w:jc w:val="center"/>
              <w:rPr>
                <w:rFonts w:ascii="Arial" w:hAnsi="Arial" w:eastAsia="Arial" w:cs="Arial"/>
                <w:b/>
              </w:rPr>
            </w:pPr>
            <w:r>
              <w:rPr>
                <w:rFonts w:ascii="Arial" w:hAnsi="Arial" w:eastAsia="Arial" w:cs="Arial"/>
                <w:b/>
              </w:rPr>
              <w:t>127837</w:t>
            </w:r>
          </w:p>
        </w:tc>
        <w:tc>
          <w:tcPr>
            <w:tcW w:w="3299" w:type="dxa"/>
            <w:tcBorders>
              <w:left w:val="single" w:color="000000" w:sz="4" w:space="0"/>
              <w:bottom w:val="single" w:color="000000" w:sz="4" w:space="0"/>
            </w:tcBorders>
            <w:vAlign w:val="center"/>
          </w:tcPr>
          <w:p w14:paraId="2BB68382">
            <w:pPr>
              <w:widowControl w:val="0"/>
              <w:jc w:val="center"/>
              <w:rPr>
                <w:rFonts w:ascii="Arial" w:hAnsi="Arial" w:eastAsia="Arial" w:cs="Arial"/>
              </w:rPr>
            </w:pPr>
            <w:r>
              <w:rPr>
                <w:rFonts w:ascii="Arial" w:hAnsi="Arial" w:eastAsia="Arial" w:cs="Arial"/>
              </w:rPr>
              <w:t>AEE – Creche (matutino)</w:t>
            </w:r>
          </w:p>
        </w:tc>
        <w:tc>
          <w:tcPr>
            <w:tcW w:w="1699" w:type="dxa"/>
            <w:tcBorders>
              <w:left w:val="single" w:color="000000" w:sz="4" w:space="0"/>
              <w:bottom w:val="single" w:color="000000" w:sz="4" w:space="0"/>
            </w:tcBorders>
            <w:vAlign w:val="center"/>
          </w:tcPr>
          <w:p w14:paraId="13DFE793">
            <w:pPr>
              <w:widowControl w:val="0"/>
              <w:jc w:val="center"/>
              <w:rPr>
                <w:rFonts w:ascii="Arial" w:hAnsi="Arial" w:eastAsia="Arial" w:cs="Arial"/>
              </w:rPr>
            </w:pPr>
            <w:r>
              <w:rPr>
                <w:rFonts w:ascii="Arial" w:hAnsi="Arial" w:eastAsia="Arial" w:cs="Arial"/>
              </w:rPr>
              <w:t>Almoço</w:t>
            </w:r>
          </w:p>
        </w:tc>
        <w:tc>
          <w:tcPr>
            <w:tcW w:w="1426" w:type="dxa"/>
            <w:tcBorders>
              <w:left w:val="single" w:color="000000" w:sz="4" w:space="0"/>
              <w:bottom w:val="single" w:color="000000" w:sz="4" w:space="0"/>
            </w:tcBorders>
            <w:vAlign w:val="center"/>
          </w:tcPr>
          <w:p w14:paraId="0FC3A19C">
            <w:pPr>
              <w:widowControl w:val="0"/>
              <w:jc w:val="center"/>
              <w:rPr>
                <w:rFonts w:ascii="Arial" w:hAnsi="Arial" w:eastAsia="Arial" w:cs="Arial"/>
              </w:rPr>
            </w:pPr>
            <w:r>
              <w:rPr>
                <w:rFonts w:ascii="Arial" w:hAnsi="Arial" w:eastAsia="Arial" w:cs="Arial"/>
              </w:rPr>
              <w:t>45000</w:t>
            </w:r>
          </w:p>
        </w:tc>
        <w:tc>
          <w:tcPr>
            <w:tcW w:w="850" w:type="dxa"/>
            <w:tcBorders>
              <w:left w:val="single" w:color="000000" w:sz="4" w:space="0"/>
              <w:bottom w:val="single" w:color="000000" w:sz="4" w:space="0"/>
            </w:tcBorders>
            <w:vAlign w:val="center"/>
          </w:tcPr>
          <w:p w14:paraId="5F1BA1C8">
            <w:pPr>
              <w:widowControl w:val="0"/>
              <w:jc w:val="center"/>
              <w:rPr>
                <w:rFonts w:ascii="Arial" w:hAnsi="Arial" w:eastAsia="Arial" w:cs="Arial"/>
              </w:rPr>
            </w:pPr>
            <w:r>
              <w:rPr>
                <w:rFonts w:ascii="Arial" w:hAnsi="Arial" w:eastAsia="Arial" w:cs="Arial"/>
              </w:rPr>
              <w:t>R$ 6,35</w:t>
            </w:r>
          </w:p>
        </w:tc>
        <w:tc>
          <w:tcPr>
            <w:tcW w:w="1636" w:type="dxa"/>
            <w:tcBorders>
              <w:left w:val="single" w:color="000000" w:sz="4" w:space="0"/>
              <w:bottom w:val="single" w:color="000000" w:sz="4" w:space="0"/>
              <w:right w:val="single" w:color="000000" w:sz="4" w:space="0"/>
            </w:tcBorders>
            <w:vAlign w:val="center"/>
          </w:tcPr>
          <w:p w14:paraId="421A53C4">
            <w:pPr>
              <w:widowControl w:val="0"/>
              <w:jc w:val="center"/>
              <w:rPr>
                <w:rFonts w:ascii="Arial" w:hAnsi="Arial" w:eastAsia="Arial" w:cs="Arial"/>
              </w:rPr>
            </w:pPr>
            <w:r>
              <w:rPr>
                <w:rFonts w:ascii="Arial" w:hAnsi="Arial" w:eastAsia="Arial" w:cs="Arial"/>
              </w:rPr>
              <w:t>R$ 285.750,00</w:t>
            </w:r>
          </w:p>
        </w:tc>
      </w:tr>
      <w:tr w14:paraId="1D1C04F2">
        <w:tblPrEx>
          <w:tblCellMar>
            <w:top w:w="0" w:type="dxa"/>
            <w:left w:w="108" w:type="dxa"/>
            <w:bottom w:w="0" w:type="dxa"/>
            <w:right w:w="108" w:type="dxa"/>
          </w:tblCellMar>
        </w:tblPrEx>
        <w:trPr>
          <w:trHeight w:val="338" w:hRule="atLeast"/>
        </w:trPr>
        <w:tc>
          <w:tcPr>
            <w:tcW w:w="1064" w:type="dxa"/>
            <w:tcBorders>
              <w:left w:val="single" w:color="000000" w:sz="4" w:space="0"/>
              <w:bottom w:val="single" w:color="000000" w:sz="4" w:space="0"/>
            </w:tcBorders>
            <w:vAlign w:val="center"/>
          </w:tcPr>
          <w:p w14:paraId="019C4E5C">
            <w:pPr>
              <w:widowControl w:val="0"/>
              <w:jc w:val="center"/>
              <w:rPr>
                <w:rFonts w:ascii="Arial" w:hAnsi="Arial" w:eastAsia="Arial" w:cs="Arial"/>
                <w:b/>
              </w:rPr>
            </w:pPr>
            <w:r>
              <w:rPr>
                <w:rFonts w:ascii="Arial" w:hAnsi="Arial" w:eastAsia="Arial" w:cs="Arial"/>
                <w:b/>
              </w:rPr>
              <w:t>127838</w:t>
            </w:r>
          </w:p>
        </w:tc>
        <w:tc>
          <w:tcPr>
            <w:tcW w:w="3299" w:type="dxa"/>
            <w:tcBorders>
              <w:left w:val="single" w:color="000000" w:sz="4" w:space="0"/>
              <w:bottom w:val="single" w:color="000000" w:sz="4" w:space="0"/>
            </w:tcBorders>
            <w:vAlign w:val="center"/>
          </w:tcPr>
          <w:p w14:paraId="6476DCA3">
            <w:pPr>
              <w:widowControl w:val="0"/>
              <w:jc w:val="center"/>
              <w:rPr>
                <w:rFonts w:ascii="Arial" w:hAnsi="Arial" w:eastAsia="Arial" w:cs="Arial"/>
              </w:rPr>
            </w:pPr>
            <w:r>
              <w:rPr>
                <w:rFonts w:ascii="Arial" w:hAnsi="Arial" w:eastAsia="Arial" w:cs="Arial"/>
              </w:rPr>
              <w:t>AEE – Creche (vespertino)</w:t>
            </w:r>
          </w:p>
        </w:tc>
        <w:tc>
          <w:tcPr>
            <w:tcW w:w="1699" w:type="dxa"/>
            <w:tcBorders>
              <w:left w:val="single" w:color="000000" w:sz="4" w:space="0"/>
              <w:bottom w:val="single" w:color="000000" w:sz="4" w:space="0"/>
            </w:tcBorders>
            <w:vAlign w:val="center"/>
          </w:tcPr>
          <w:p w14:paraId="3EFB426A">
            <w:pPr>
              <w:widowControl w:val="0"/>
              <w:jc w:val="center"/>
              <w:rPr>
                <w:rFonts w:ascii="Arial" w:hAnsi="Arial" w:eastAsia="Arial" w:cs="Arial"/>
              </w:rPr>
            </w:pPr>
            <w:r>
              <w:rPr>
                <w:rFonts w:ascii="Arial" w:hAnsi="Arial" w:eastAsia="Arial" w:cs="Arial"/>
              </w:rPr>
              <w:t>Lanche Tarde</w:t>
            </w:r>
          </w:p>
        </w:tc>
        <w:tc>
          <w:tcPr>
            <w:tcW w:w="1426" w:type="dxa"/>
            <w:tcBorders>
              <w:left w:val="single" w:color="000000" w:sz="4" w:space="0"/>
              <w:bottom w:val="single" w:color="000000" w:sz="4" w:space="0"/>
            </w:tcBorders>
            <w:vAlign w:val="center"/>
          </w:tcPr>
          <w:p w14:paraId="482FC2B6">
            <w:pPr>
              <w:widowControl w:val="0"/>
              <w:jc w:val="center"/>
              <w:rPr>
                <w:rFonts w:ascii="Arial" w:hAnsi="Arial" w:eastAsia="Arial" w:cs="Arial"/>
              </w:rPr>
            </w:pPr>
            <w:r>
              <w:rPr>
                <w:rFonts w:ascii="Arial" w:hAnsi="Arial" w:eastAsia="Arial" w:cs="Arial"/>
              </w:rPr>
              <w:t>43000</w:t>
            </w:r>
          </w:p>
        </w:tc>
        <w:tc>
          <w:tcPr>
            <w:tcW w:w="850" w:type="dxa"/>
            <w:tcBorders>
              <w:left w:val="single" w:color="000000" w:sz="4" w:space="0"/>
              <w:bottom w:val="single" w:color="000000" w:sz="4" w:space="0"/>
            </w:tcBorders>
            <w:vAlign w:val="center"/>
          </w:tcPr>
          <w:p w14:paraId="6B4D90AA">
            <w:pPr>
              <w:widowControl w:val="0"/>
              <w:jc w:val="center"/>
              <w:rPr>
                <w:rFonts w:ascii="Arial" w:hAnsi="Arial" w:eastAsia="Arial" w:cs="Arial"/>
              </w:rPr>
            </w:pPr>
            <w:r>
              <w:rPr>
                <w:rFonts w:ascii="Arial" w:hAnsi="Arial" w:eastAsia="Arial" w:cs="Arial"/>
              </w:rPr>
              <w:t>R$ 6,43</w:t>
            </w:r>
          </w:p>
        </w:tc>
        <w:tc>
          <w:tcPr>
            <w:tcW w:w="1636" w:type="dxa"/>
            <w:tcBorders>
              <w:left w:val="single" w:color="000000" w:sz="4" w:space="0"/>
              <w:bottom w:val="single" w:color="000000" w:sz="4" w:space="0"/>
              <w:right w:val="single" w:color="000000" w:sz="4" w:space="0"/>
            </w:tcBorders>
            <w:vAlign w:val="center"/>
          </w:tcPr>
          <w:p w14:paraId="19B3ADB7">
            <w:pPr>
              <w:widowControl w:val="0"/>
              <w:jc w:val="center"/>
              <w:rPr>
                <w:rFonts w:ascii="Arial" w:hAnsi="Arial" w:eastAsia="Arial" w:cs="Arial"/>
              </w:rPr>
            </w:pPr>
            <w:r>
              <w:rPr>
                <w:rFonts w:ascii="Arial" w:hAnsi="Arial" w:eastAsia="Arial" w:cs="Arial"/>
              </w:rPr>
              <w:t>R$ 276.490,00</w:t>
            </w:r>
          </w:p>
        </w:tc>
      </w:tr>
      <w:tr w14:paraId="6EA1B217">
        <w:tblPrEx>
          <w:tblCellMar>
            <w:top w:w="0" w:type="dxa"/>
            <w:left w:w="108" w:type="dxa"/>
            <w:bottom w:w="0" w:type="dxa"/>
            <w:right w:w="108" w:type="dxa"/>
          </w:tblCellMar>
        </w:tblPrEx>
        <w:trPr>
          <w:trHeight w:val="287" w:hRule="atLeast"/>
        </w:trPr>
        <w:tc>
          <w:tcPr>
            <w:tcW w:w="1064" w:type="dxa"/>
            <w:tcBorders>
              <w:left w:val="single" w:color="000000" w:sz="4" w:space="0"/>
              <w:bottom w:val="single" w:color="000000" w:sz="4" w:space="0"/>
            </w:tcBorders>
            <w:vAlign w:val="center"/>
          </w:tcPr>
          <w:p w14:paraId="56F68BFC">
            <w:pPr>
              <w:widowControl w:val="0"/>
              <w:jc w:val="center"/>
              <w:rPr>
                <w:rFonts w:ascii="Arial" w:hAnsi="Arial" w:eastAsia="Arial" w:cs="Arial"/>
                <w:b/>
              </w:rPr>
            </w:pPr>
            <w:r>
              <w:rPr>
                <w:rFonts w:ascii="Arial" w:hAnsi="Arial" w:eastAsia="Arial" w:cs="Arial"/>
                <w:b/>
              </w:rPr>
              <w:t>127839</w:t>
            </w:r>
          </w:p>
        </w:tc>
        <w:tc>
          <w:tcPr>
            <w:tcW w:w="3299" w:type="dxa"/>
            <w:tcBorders>
              <w:left w:val="single" w:color="000000" w:sz="4" w:space="0"/>
              <w:bottom w:val="single" w:color="000000" w:sz="4" w:space="0"/>
            </w:tcBorders>
            <w:vAlign w:val="center"/>
          </w:tcPr>
          <w:p w14:paraId="4B6514BE">
            <w:pPr>
              <w:widowControl w:val="0"/>
              <w:jc w:val="center"/>
              <w:rPr>
                <w:rFonts w:ascii="Arial" w:hAnsi="Arial" w:eastAsia="Arial" w:cs="Arial"/>
              </w:rPr>
            </w:pPr>
            <w:r>
              <w:rPr>
                <w:rFonts w:ascii="Arial" w:hAnsi="Arial" w:eastAsia="Arial" w:cs="Arial"/>
              </w:rPr>
              <w:t>AEE – Creche (vespertino)</w:t>
            </w:r>
          </w:p>
        </w:tc>
        <w:tc>
          <w:tcPr>
            <w:tcW w:w="1699" w:type="dxa"/>
            <w:tcBorders>
              <w:left w:val="single" w:color="000000" w:sz="4" w:space="0"/>
              <w:bottom w:val="single" w:color="000000" w:sz="4" w:space="0"/>
            </w:tcBorders>
            <w:vAlign w:val="center"/>
          </w:tcPr>
          <w:p w14:paraId="7FD9A0D3">
            <w:pPr>
              <w:widowControl w:val="0"/>
              <w:jc w:val="center"/>
              <w:rPr>
                <w:rFonts w:ascii="Arial" w:hAnsi="Arial" w:eastAsia="Arial" w:cs="Arial"/>
              </w:rPr>
            </w:pPr>
            <w:r>
              <w:rPr>
                <w:rFonts w:ascii="Arial" w:hAnsi="Arial" w:eastAsia="Arial" w:cs="Arial"/>
              </w:rPr>
              <w:t>Jantar</w:t>
            </w:r>
          </w:p>
        </w:tc>
        <w:tc>
          <w:tcPr>
            <w:tcW w:w="1426" w:type="dxa"/>
            <w:tcBorders>
              <w:left w:val="single" w:color="000000" w:sz="4" w:space="0"/>
              <w:bottom w:val="single" w:color="000000" w:sz="4" w:space="0"/>
            </w:tcBorders>
            <w:vAlign w:val="center"/>
          </w:tcPr>
          <w:p w14:paraId="5AFBBCC1">
            <w:pPr>
              <w:widowControl w:val="0"/>
              <w:jc w:val="center"/>
              <w:rPr>
                <w:rFonts w:ascii="Arial" w:hAnsi="Arial" w:eastAsia="Arial" w:cs="Arial"/>
              </w:rPr>
            </w:pPr>
            <w:r>
              <w:rPr>
                <w:rFonts w:ascii="Arial" w:hAnsi="Arial" w:eastAsia="Arial" w:cs="Arial"/>
              </w:rPr>
              <w:t>43000</w:t>
            </w:r>
          </w:p>
        </w:tc>
        <w:tc>
          <w:tcPr>
            <w:tcW w:w="850" w:type="dxa"/>
            <w:tcBorders>
              <w:left w:val="single" w:color="000000" w:sz="4" w:space="0"/>
              <w:bottom w:val="single" w:color="000000" w:sz="4" w:space="0"/>
            </w:tcBorders>
            <w:vAlign w:val="center"/>
          </w:tcPr>
          <w:p w14:paraId="06852CEE">
            <w:pPr>
              <w:widowControl w:val="0"/>
              <w:jc w:val="center"/>
              <w:rPr>
                <w:rFonts w:ascii="Arial" w:hAnsi="Arial" w:eastAsia="Arial" w:cs="Arial"/>
              </w:rPr>
            </w:pPr>
            <w:r>
              <w:rPr>
                <w:rFonts w:ascii="Arial" w:hAnsi="Arial" w:eastAsia="Arial" w:cs="Arial"/>
              </w:rPr>
              <w:t>R$ 6,35</w:t>
            </w:r>
          </w:p>
        </w:tc>
        <w:tc>
          <w:tcPr>
            <w:tcW w:w="1636" w:type="dxa"/>
            <w:tcBorders>
              <w:left w:val="single" w:color="000000" w:sz="4" w:space="0"/>
              <w:bottom w:val="single" w:color="000000" w:sz="4" w:space="0"/>
              <w:right w:val="single" w:color="000000" w:sz="4" w:space="0"/>
            </w:tcBorders>
            <w:vAlign w:val="center"/>
          </w:tcPr>
          <w:p w14:paraId="3E1960C1">
            <w:pPr>
              <w:widowControl w:val="0"/>
              <w:jc w:val="center"/>
              <w:rPr>
                <w:rFonts w:ascii="Arial" w:hAnsi="Arial" w:eastAsia="Arial" w:cs="Arial"/>
              </w:rPr>
            </w:pPr>
            <w:r>
              <w:rPr>
                <w:rFonts w:ascii="Arial" w:hAnsi="Arial" w:eastAsia="Arial" w:cs="Arial"/>
              </w:rPr>
              <w:t>R$ 273.050,00</w:t>
            </w:r>
          </w:p>
        </w:tc>
      </w:tr>
      <w:tr w14:paraId="1762DA37">
        <w:tblPrEx>
          <w:tblCellMar>
            <w:top w:w="0" w:type="dxa"/>
            <w:left w:w="108" w:type="dxa"/>
            <w:bottom w:w="0" w:type="dxa"/>
            <w:right w:w="108" w:type="dxa"/>
          </w:tblCellMar>
        </w:tblPrEx>
        <w:trPr>
          <w:trHeight w:val="156" w:hRule="atLeast"/>
        </w:trPr>
        <w:tc>
          <w:tcPr>
            <w:tcW w:w="8338" w:type="dxa"/>
            <w:gridSpan w:val="5"/>
            <w:tcBorders>
              <w:left w:val="single" w:color="000000" w:sz="4" w:space="0"/>
              <w:bottom w:val="single" w:color="000000" w:sz="4" w:space="0"/>
            </w:tcBorders>
            <w:shd w:val="clear" w:color="auto" w:fill="DDDDDD"/>
          </w:tcPr>
          <w:p w14:paraId="4C39FE5C">
            <w:pPr>
              <w:widowControl w:val="0"/>
              <w:spacing w:before="57" w:after="57" w:line="216" w:lineRule="auto"/>
              <w:jc w:val="right"/>
              <w:rPr>
                <w:rFonts w:ascii="Arial" w:hAnsi="Arial" w:eastAsia="Arial" w:cs="Arial"/>
              </w:rPr>
            </w:pPr>
            <w:r>
              <w:rPr>
                <w:rFonts w:ascii="Arial" w:hAnsi="Arial" w:eastAsia="Arial" w:cs="Arial"/>
                <w:b/>
              </w:rPr>
              <w:t>VALOR TOTAL</w:t>
            </w:r>
          </w:p>
        </w:tc>
        <w:tc>
          <w:tcPr>
            <w:tcW w:w="1636" w:type="dxa"/>
            <w:tcBorders>
              <w:left w:val="single" w:color="000000" w:sz="4" w:space="0"/>
              <w:bottom w:val="single" w:color="000000" w:sz="4" w:space="0"/>
              <w:right w:val="single" w:color="000000" w:sz="4" w:space="0"/>
            </w:tcBorders>
            <w:shd w:val="clear" w:color="auto" w:fill="DDDDDD"/>
          </w:tcPr>
          <w:p w14:paraId="67DFFFBD">
            <w:pPr>
              <w:widowControl w:val="0"/>
              <w:spacing w:before="57" w:after="57" w:line="216" w:lineRule="auto"/>
              <w:ind w:left="-57" w:right="-113"/>
              <w:jc w:val="center"/>
              <w:rPr>
                <w:rFonts w:ascii="Arial" w:hAnsi="Arial" w:eastAsia="Arial" w:cs="Arial"/>
              </w:rPr>
            </w:pPr>
            <w:r>
              <w:rPr>
                <w:rFonts w:ascii="Arial" w:hAnsi="Arial" w:eastAsia="Arial" w:cs="Arial"/>
                <w:b/>
              </w:rPr>
              <w:t>R$ 54.113.758,00</w:t>
            </w:r>
          </w:p>
        </w:tc>
      </w:tr>
    </w:tbl>
    <w:p w14:paraId="465A40AE">
      <w:pPr>
        <w:jc w:val="both"/>
        <w:rPr>
          <w:rFonts w:ascii="Arial" w:hAnsi="Arial" w:eastAsia="Arial" w:cs="Arial"/>
          <w:b/>
        </w:rPr>
      </w:pPr>
    </w:p>
    <w:p w14:paraId="0F701EBE">
      <w:pPr>
        <w:jc w:val="both"/>
        <w:rPr>
          <w:rFonts w:ascii="Arial" w:hAnsi="Arial" w:eastAsia="Arial" w:cs="Arial"/>
          <w:b/>
        </w:rPr>
      </w:pPr>
    </w:p>
    <w:p w14:paraId="5B581618">
      <w:pPr>
        <w:jc w:val="both"/>
        <w:rPr>
          <w:rFonts w:ascii="Arial" w:hAnsi="Arial" w:eastAsia="Arial" w:cs="Arial"/>
          <w:b/>
        </w:rPr>
      </w:pPr>
      <w:r>
        <w:rPr>
          <w:rFonts w:ascii="Arial" w:hAnsi="Arial" w:eastAsia="Arial" w:cs="Arial"/>
          <w:b/>
        </w:rPr>
        <w:t>CLÁUSULA TERCEIRA – DO REGIME DE EXECUÇÃO E FORMA DE PRESTAÇÃO DE SERVIÇOS</w:t>
      </w:r>
    </w:p>
    <w:p w14:paraId="5D5483F6">
      <w:pPr>
        <w:jc w:val="both"/>
        <w:rPr>
          <w:rFonts w:ascii="Arial" w:hAnsi="Arial" w:eastAsia="Arial" w:cs="Arial"/>
          <w:b/>
        </w:rPr>
      </w:pPr>
    </w:p>
    <w:p w14:paraId="0E576E21">
      <w:pPr>
        <w:jc w:val="both"/>
        <w:rPr>
          <w:rFonts w:ascii="Arial" w:hAnsi="Arial" w:eastAsia="Arial" w:cs="Arial"/>
          <w:b/>
        </w:rPr>
      </w:pPr>
      <w:r>
        <w:rPr>
          <w:rFonts w:ascii="Arial" w:hAnsi="Arial" w:eastAsia="Arial" w:cs="Arial"/>
          <w:b/>
        </w:rPr>
        <w:t xml:space="preserve">3.1. </w:t>
      </w:r>
      <w:r>
        <w:rPr>
          <w:rFonts w:ascii="Arial" w:hAnsi="Arial" w:eastAsia="Arial" w:cs="Arial"/>
        </w:rPr>
        <w:t>O regime de execução é diferido e o fornecimento do objeto se dará mediante solicitação realizada pelos órgãos municipais, por meio de ordem de fornecimento, devendo constar informações que identifique o solicitante</w:t>
      </w:r>
      <w:r>
        <w:rPr>
          <w:rFonts w:ascii="Arial" w:hAnsi="Arial" w:eastAsia="Arial" w:cs="Arial"/>
          <w:b/>
        </w:rPr>
        <w:t>;</w:t>
      </w:r>
    </w:p>
    <w:p w14:paraId="4B28A1D5">
      <w:pPr>
        <w:jc w:val="both"/>
        <w:rPr>
          <w:rFonts w:ascii="Arial" w:hAnsi="Arial" w:eastAsia="Arial" w:cs="Arial"/>
          <w:b/>
        </w:rPr>
      </w:pPr>
    </w:p>
    <w:p w14:paraId="70D54AE8">
      <w:pPr>
        <w:jc w:val="both"/>
        <w:rPr>
          <w:rFonts w:ascii="Arial" w:hAnsi="Arial" w:eastAsia="Arial" w:cs="Arial"/>
        </w:rPr>
      </w:pPr>
      <w:r>
        <w:rPr>
          <w:rFonts w:ascii="Arial" w:hAnsi="Arial" w:eastAsia="Arial" w:cs="Arial"/>
          <w:b/>
        </w:rPr>
        <w:t xml:space="preserve">3.2. </w:t>
      </w:r>
      <w:r>
        <w:rPr>
          <w:rFonts w:ascii="Arial" w:hAnsi="Arial" w:eastAsia="Arial" w:cs="Arial"/>
        </w:rPr>
        <w:t>Na execução do objeto deverão ainda serem observadas as condições estabelecidas no termo de referência, edital e seus anexos e Proposta da Contratada;</w:t>
      </w:r>
    </w:p>
    <w:p w14:paraId="41A7A104">
      <w:pPr>
        <w:jc w:val="both"/>
        <w:rPr>
          <w:rFonts w:ascii="Arial" w:hAnsi="Arial" w:eastAsia="Arial" w:cs="Arial"/>
          <w:b/>
        </w:rPr>
      </w:pPr>
    </w:p>
    <w:p w14:paraId="56D8DE4F">
      <w:pPr>
        <w:jc w:val="both"/>
        <w:rPr>
          <w:rFonts w:ascii="Arial" w:hAnsi="Arial" w:eastAsia="Arial" w:cs="Arial"/>
        </w:rPr>
      </w:pPr>
      <w:r>
        <w:rPr>
          <w:rFonts w:ascii="Arial" w:hAnsi="Arial" w:eastAsia="Arial" w:cs="Arial"/>
          <w:b/>
        </w:rPr>
        <w:t xml:space="preserve">3.3. </w:t>
      </w:r>
      <w:r>
        <w:rPr>
          <w:rFonts w:ascii="Arial" w:hAnsi="Arial" w:eastAsia="Arial" w:cs="Arial"/>
        </w:rPr>
        <w:t>A execução do objeto licitado terá início após a assinatura deste, expedição de nota de empenho e a emissão da ordem de fornecimento.</w:t>
      </w:r>
    </w:p>
    <w:p w14:paraId="58D55DF4">
      <w:pPr>
        <w:jc w:val="both"/>
        <w:rPr>
          <w:rFonts w:ascii="Arial" w:hAnsi="Arial" w:eastAsia="Arial" w:cs="Arial"/>
          <w:b/>
        </w:rPr>
      </w:pPr>
    </w:p>
    <w:p w14:paraId="0C825101">
      <w:pPr>
        <w:jc w:val="both"/>
        <w:rPr>
          <w:rFonts w:ascii="Arial" w:hAnsi="Arial" w:eastAsia="Arial" w:cs="Arial"/>
          <w:b/>
        </w:rPr>
      </w:pPr>
      <w:r>
        <w:rPr>
          <w:rFonts w:ascii="Arial" w:hAnsi="Arial" w:eastAsia="Arial" w:cs="Arial"/>
          <w:b/>
        </w:rPr>
        <w:t xml:space="preserve">CLÁUSULA QUARTA – DOS SERVIÇOS </w:t>
      </w:r>
    </w:p>
    <w:p w14:paraId="7E6A5466">
      <w:pPr>
        <w:jc w:val="both"/>
        <w:rPr>
          <w:rFonts w:ascii="Arial" w:hAnsi="Arial" w:eastAsia="Arial" w:cs="Arial"/>
          <w:b/>
        </w:rPr>
      </w:pPr>
    </w:p>
    <w:p w14:paraId="5034C05E">
      <w:pPr>
        <w:jc w:val="both"/>
        <w:rPr>
          <w:rFonts w:ascii="Arial" w:hAnsi="Arial" w:eastAsia="Arial" w:cs="Arial"/>
          <w:b/>
        </w:rPr>
      </w:pPr>
      <w:r>
        <w:rPr>
          <w:rFonts w:ascii="Arial" w:hAnsi="Arial" w:eastAsia="Arial" w:cs="Arial"/>
          <w:b/>
        </w:rPr>
        <w:t xml:space="preserve">4.1. </w:t>
      </w:r>
      <w:r>
        <w:rPr>
          <w:rFonts w:ascii="Arial" w:hAnsi="Arial" w:eastAsia="Arial" w:cs="Arial"/>
        </w:rPr>
        <w:t>O objeto licitado deverá ser fornecido conforme as especificações e quantidades licitadas e contratadas, constantes nos documentos da CLÁUSULA PRIMEIRA.</w:t>
      </w:r>
      <w:r>
        <w:rPr>
          <w:rFonts w:ascii="Arial" w:hAnsi="Arial" w:eastAsia="Arial" w:cs="Arial"/>
          <w:b/>
        </w:rPr>
        <w:t xml:space="preserve"> </w:t>
      </w:r>
    </w:p>
    <w:p w14:paraId="12C4C4F8">
      <w:pPr>
        <w:jc w:val="both"/>
        <w:rPr>
          <w:rFonts w:ascii="Arial" w:hAnsi="Arial" w:eastAsia="Arial" w:cs="Arial"/>
          <w:b/>
        </w:rPr>
      </w:pPr>
    </w:p>
    <w:p w14:paraId="21C52A5F">
      <w:pPr>
        <w:jc w:val="both"/>
        <w:rPr>
          <w:rFonts w:ascii="Arial" w:hAnsi="Arial" w:eastAsia="Arial" w:cs="Arial"/>
          <w:b/>
        </w:rPr>
      </w:pPr>
      <w:r>
        <w:rPr>
          <w:rFonts w:ascii="Arial" w:hAnsi="Arial" w:eastAsia="Arial" w:cs="Arial"/>
          <w:b/>
        </w:rPr>
        <w:t>CLÁUSULA QUINTA – DAS OBRIGAÇÕES DA CONTRATADA:</w:t>
      </w:r>
    </w:p>
    <w:p w14:paraId="23F754E8">
      <w:pPr>
        <w:jc w:val="both"/>
        <w:rPr>
          <w:rFonts w:ascii="Arial" w:hAnsi="Arial" w:eastAsia="Arial" w:cs="Arial"/>
          <w:b/>
        </w:rPr>
      </w:pPr>
    </w:p>
    <w:p w14:paraId="62810C50">
      <w:pPr>
        <w:jc w:val="both"/>
        <w:rPr>
          <w:rFonts w:ascii="Arial" w:hAnsi="Arial" w:eastAsia="Arial" w:cs="Arial"/>
        </w:rPr>
      </w:pPr>
      <w:r>
        <w:rPr>
          <w:rFonts w:ascii="Arial" w:hAnsi="Arial" w:eastAsia="Arial" w:cs="Arial"/>
          <w:b/>
        </w:rPr>
        <w:t>5.1.</w:t>
      </w:r>
      <w:r>
        <w:rPr>
          <w:rFonts w:ascii="Arial" w:hAnsi="Arial" w:eastAsia="Arial" w:cs="Arial"/>
        </w:rPr>
        <w:t xml:space="preserve"> Constituem obrigações da Contratada, além das demais previstas no Termo de Referência: </w:t>
      </w:r>
    </w:p>
    <w:p w14:paraId="0BC25692">
      <w:pPr>
        <w:jc w:val="both"/>
        <w:rPr>
          <w:rFonts w:ascii="Arial" w:hAnsi="Arial" w:eastAsia="Arial" w:cs="Arial"/>
        </w:rPr>
      </w:pPr>
    </w:p>
    <w:p w14:paraId="397FDC08">
      <w:pPr>
        <w:jc w:val="both"/>
        <w:rPr>
          <w:rFonts w:ascii="Arial" w:hAnsi="Arial" w:eastAsia="Arial" w:cs="Arial"/>
        </w:rPr>
      </w:pPr>
      <w:r>
        <w:rPr>
          <w:rFonts w:ascii="Arial" w:hAnsi="Arial" w:eastAsia="Arial" w:cs="Arial"/>
          <w:b/>
        </w:rPr>
        <w:t>5.2.</w:t>
      </w:r>
      <w:r>
        <w:rPr>
          <w:rFonts w:ascii="Arial" w:hAnsi="Arial" w:eastAsia="Arial" w:cs="Arial"/>
        </w:rPr>
        <w:t xml:space="preserve"> Cumprir o objeto da contratação, realizando os serviços especificados na Cláusula Segunda, conforme disposições contidas na cláusula quarta. </w:t>
      </w:r>
    </w:p>
    <w:p w14:paraId="7928F333">
      <w:pPr>
        <w:jc w:val="both"/>
        <w:rPr>
          <w:rFonts w:ascii="Arial" w:hAnsi="Arial" w:eastAsia="Arial" w:cs="Arial"/>
        </w:rPr>
      </w:pPr>
    </w:p>
    <w:p w14:paraId="3306D2A1">
      <w:pPr>
        <w:jc w:val="both"/>
        <w:rPr>
          <w:rFonts w:ascii="Arial" w:hAnsi="Arial" w:eastAsia="Arial" w:cs="Arial"/>
        </w:rPr>
      </w:pPr>
      <w:r>
        <w:rPr>
          <w:rFonts w:ascii="Arial" w:hAnsi="Arial" w:eastAsia="Arial" w:cs="Arial"/>
          <w:b/>
        </w:rPr>
        <w:t>5.3.</w:t>
      </w:r>
      <w:r>
        <w:rPr>
          <w:rFonts w:ascii="Arial" w:hAnsi="Arial" w:eastAsia="Arial" w:cs="Arial"/>
        </w:rPr>
        <w:t xml:space="preserve"> Cumprir todas as leis e posturas federais, estaduais e municipais pertinentes e responsabilizar-se por todos os prejuízos decorrentes de infrações a que houver dado causa. </w:t>
      </w:r>
    </w:p>
    <w:p w14:paraId="27CB41EE">
      <w:pPr>
        <w:jc w:val="both"/>
        <w:rPr>
          <w:rFonts w:ascii="Arial" w:hAnsi="Arial" w:eastAsia="Arial" w:cs="Arial"/>
        </w:rPr>
      </w:pPr>
    </w:p>
    <w:p w14:paraId="3BAD2054">
      <w:pPr>
        <w:jc w:val="both"/>
        <w:rPr>
          <w:rFonts w:ascii="Arial" w:hAnsi="Arial" w:eastAsia="Arial" w:cs="Arial"/>
        </w:rPr>
      </w:pPr>
      <w:r>
        <w:rPr>
          <w:rFonts w:ascii="Arial" w:hAnsi="Arial" w:eastAsia="Arial" w:cs="Arial"/>
          <w:b/>
        </w:rPr>
        <w:t>5.4.</w:t>
      </w:r>
      <w:r>
        <w:rPr>
          <w:rFonts w:ascii="Arial" w:hAnsi="Arial" w:eastAsia="Arial" w:cs="Arial"/>
        </w:rPr>
        <w:t xml:space="preserve"> Assumir, com exclusividade, todos os tributos, impostos e taxas que forem devidos em decorrência do objeto da contratação e quaisquer outras despesas que se fizerem necessárias ao cumprimento do objeto pactuado, inclusive quanto ao transporte, carga e descarga, configuração, despesas com pessoal e apresentar os respectivos comprovantes quando solicitado pelo </w:t>
      </w:r>
      <w:r>
        <w:rPr>
          <w:rFonts w:ascii="Arial" w:hAnsi="Arial" w:eastAsia="Arial" w:cs="Arial"/>
          <w:b/>
        </w:rPr>
        <w:t>CONTRATANTE</w:t>
      </w:r>
      <w:r>
        <w:rPr>
          <w:rFonts w:ascii="Arial" w:hAnsi="Arial" w:eastAsia="Arial" w:cs="Arial"/>
        </w:rPr>
        <w:t xml:space="preserve">. </w:t>
      </w:r>
    </w:p>
    <w:p w14:paraId="7BBDFA53">
      <w:pPr>
        <w:jc w:val="both"/>
        <w:rPr>
          <w:rFonts w:ascii="Arial" w:hAnsi="Arial" w:eastAsia="Arial" w:cs="Arial"/>
        </w:rPr>
      </w:pPr>
    </w:p>
    <w:p w14:paraId="42392AC1">
      <w:pPr>
        <w:jc w:val="both"/>
        <w:rPr>
          <w:rFonts w:ascii="Arial" w:hAnsi="Arial" w:eastAsia="Arial" w:cs="Arial"/>
        </w:rPr>
      </w:pPr>
      <w:r>
        <w:rPr>
          <w:rFonts w:ascii="Arial" w:hAnsi="Arial" w:eastAsia="Arial" w:cs="Arial"/>
          <w:b/>
        </w:rPr>
        <w:t>5.5.</w:t>
      </w:r>
      <w:r>
        <w:rPr>
          <w:rFonts w:ascii="Arial" w:hAnsi="Arial" w:eastAsia="Arial" w:cs="Arial"/>
        </w:rPr>
        <w:t xml:space="preserve"> Aceitar, nas mesmas condições contratuais, os acréscimos ou supressões que se fizerem, no objeto deste instrumento de até 25% (vinte e cinco por cento) do valor inicial atualizado da contratação. </w:t>
      </w:r>
    </w:p>
    <w:p w14:paraId="2629F778">
      <w:pPr>
        <w:jc w:val="both"/>
        <w:rPr>
          <w:rFonts w:ascii="Arial" w:hAnsi="Arial" w:eastAsia="Arial" w:cs="Arial"/>
          <w:b/>
        </w:rPr>
      </w:pPr>
    </w:p>
    <w:p w14:paraId="330789C4">
      <w:pPr>
        <w:jc w:val="both"/>
        <w:rPr>
          <w:rFonts w:ascii="Arial" w:hAnsi="Arial" w:eastAsia="Arial" w:cs="Arial"/>
        </w:rPr>
      </w:pPr>
      <w:r>
        <w:rPr>
          <w:rFonts w:ascii="Arial" w:hAnsi="Arial" w:eastAsia="Arial" w:cs="Arial"/>
          <w:b/>
        </w:rPr>
        <w:t>5.6.</w:t>
      </w:r>
      <w:r>
        <w:rPr>
          <w:rFonts w:ascii="Arial" w:hAnsi="Arial" w:eastAsia="Arial" w:cs="Arial"/>
        </w:rPr>
        <w:t xml:space="preserve"> Responder perante a </w:t>
      </w:r>
      <w:r>
        <w:rPr>
          <w:rFonts w:ascii="Arial" w:hAnsi="Arial" w:eastAsia="Arial" w:cs="Arial"/>
          <w:b/>
        </w:rPr>
        <w:t>CONTRATANTE</w:t>
      </w:r>
      <w:r>
        <w:rPr>
          <w:rFonts w:ascii="Arial" w:hAnsi="Arial" w:eastAsia="Arial" w:cs="Arial"/>
        </w:rPr>
        <w:t xml:space="preserve"> e terceiros por eventuais prejuízos e danos decorrentes de sua demora ou de sua omissão, na condução do objeto deste instrumento sob a sua responsabilidade ou por erro relativo à sua execução. </w:t>
      </w:r>
    </w:p>
    <w:p w14:paraId="433CEF82">
      <w:pPr>
        <w:jc w:val="both"/>
        <w:rPr>
          <w:rFonts w:ascii="Arial" w:hAnsi="Arial" w:eastAsia="Arial" w:cs="Arial"/>
        </w:rPr>
      </w:pPr>
    </w:p>
    <w:p w14:paraId="13BD16C3">
      <w:pPr>
        <w:jc w:val="both"/>
        <w:rPr>
          <w:rFonts w:ascii="Arial" w:hAnsi="Arial" w:eastAsia="Arial" w:cs="Arial"/>
        </w:rPr>
      </w:pPr>
      <w:r>
        <w:rPr>
          <w:rFonts w:ascii="Arial" w:hAnsi="Arial" w:eastAsia="Arial" w:cs="Arial"/>
          <w:b/>
        </w:rPr>
        <w:t>5.7.</w:t>
      </w:r>
      <w:r>
        <w:rPr>
          <w:rFonts w:ascii="Arial" w:hAnsi="Arial" w:eastAsia="Arial" w:cs="Arial"/>
        </w:rPr>
        <w:t xml:space="preserve"> Responsabilizar-se por quaisquer ônus decorrentes de omissões ou erros na elaboração de estimativa de custos e que redundem em aumento de despesas para o </w:t>
      </w:r>
      <w:r>
        <w:rPr>
          <w:rFonts w:ascii="Arial" w:hAnsi="Arial" w:eastAsia="Arial" w:cs="Arial"/>
          <w:b/>
        </w:rPr>
        <w:t>CONTRATANTE</w:t>
      </w:r>
      <w:r>
        <w:rPr>
          <w:rFonts w:ascii="Arial" w:hAnsi="Arial" w:eastAsia="Arial" w:cs="Arial"/>
        </w:rPr>
        <w:t xml:space="preserve">. </w:t>
      </w:r>
    </w:p>
    <w:p w14:paraId="581EE3B9">
      <w:pPr>
        <w:jc w:val="both"/>
        <w:rPr>
          <w:rFonts w:ascii="Arial" w:hAnsi="Arial" w:eastAsia="Arial" w:cs="Arial"/>
        </w:rPr>
      </w:pPr>
    </w:p>
    <w:p w14:paraId="3413027B">
      <w:pPr>
        <w:jc w:val="both"/>
        <w:rPr>
          <w:rFonts w:ascii="Arial" w:hAnsi="Arial" w:eastAsia="Arial" w:cs="Arial"/>
        </w:rPr>
      </w:pPr>
      <w:r>
        <w:rPr>
          <w:rFonts w:ascii="Arial" w:hAnsi="Arial" w:eastAsia="Arial" w:cs="Arial"/>
          <w:b/>
        </w:rPr>
        <w:t>5.8.</w:t>
      </w:r>
      <w:r>
        <w:rPr>
          <w:rFonts w:ascii="Arial" w:hAnsi="Arial" w:eastAsia="Arial" w:cs="Arial"/>
        </w:rPr>
        <w:t xml:space="preserve"> Responsabilizar-se pelo ônus resultante de quaisquer ações, demandas, custos e despesas decorrentes de danos causados por culpa ou dolo de seus empregados, prepostos e/ou contratados, bem como se obrigar por quaisquer responsabilidades decorrentes de ações judiciais que lhe venham a ser atribuídas por força de lei, relacionadas com o cumprimento da contratação. </w:t>
      </w:r>
    </w:p>
    <w:p w14:paraId="5852ED18">
      <w:pPr>
        <w:jc w:val="both"/>
        <w:rPr>
          <w:rFonts w:ascii="Arial" w:hAnsi="Arial" w:eastAsia="Arial" w:cs="Arial"/>
        </w:rPr>
      </w:pPr>
    </w:p>
    <w:p w14:paraId="005E8558">
      <w:pPr>
        <w:jc w:val="both"/>
        <w:rPr>
          <w:rFonts w:ascii="Arial" w:hAnsi="Arial" w:eastAsia="Arial" w:cs="Arial"/>
        </w:rPr>
      </w:pPr>
      <w:r>
        <w:rPr>
          <w:rFonts w:ascii="Arial" w:hAnsi="Arial" w:eastAsia="Arial" w:cs="Arial"/>
          <w:b/>
        </w:rPr>
        <w:t>5.9.</w:t>
      </w:r>
      <w:r>
        <w:rPr>
          <w:rFonts w:ascii="Arial" w:hAnsi="Arial" w:eastAsia="Arial" w:cs="Arial"/>
        </w:rPr>
        <w:t xml:space="preserve"> Manter-se, durante toda a execução do contrato, em compatibilidade com todas as condições de habilitação e qualificação exigidas na licitação. </w:t>
      </w:r>
    </w:p>
    <w:p w14:paraId="452E295B">
      <w:pPr>
        <w:jc w:val="both"/>
        <w:rPr>
          <w:rFonts w:ascii="Arial" w:hAnsi="Arial" w:eastAsia="Arial" w:cs="Arial"/>
        </w:rPr>
      </w:pPr>
    </w:p>
    <w:p w14:paraId="16F55E3B">
      <w:pPr>
        <w:jc w:val="both"/>
        <w:rPr>
          <w:rFonts w:ascii="Arial" w:hAnsi="Arial" w:eastAsia="Arial" w:cs="Arial"/>
        </w:rPr>
      </w:pPr>
      <w:r>
        <w:rPr>
          <w:rFonts w:ascii="Arial" w:hAnsi="Arial" w:eastAsia="Arial" w:cs="Arial"/>
          <w:b/>
        </w:rPr>
        <w:t>5.10.</w:t>
      </w:r>
      <w:r>
        <w:rPr>
          <w:rFonts w:ascii="Arial" w:hAnsi="Arial" w:eastAsia="Arial" w:cs="Arial"/>
        </w:rPr>
        <w:t xml:space="preserve"> Comunicar a Prefeitura Municipal qualquer alteração às condições em que se encontrava no momento da contratação dos serviços, como endereço, telefone, conta bancária, responsável pela empresa, etc. </w:t>
      </w:r>
    </w:p>
    <w:p w14:paraId="5E2CBAF3">
      <w:pPr>
        <w:jc w:val="both"/>
        <w:rPr>
          <w:rFonts w:ascii="Arial" w:hAnsi="Arial" w:eastAsia="Arial" w:cs="Arial"/>
        </w:rPr>
      </w:pPr>
    </w:p>
    <w:p w14:paraId="750CDAFC">
      <w:pPr>
        <w:jc w:val="both"/>
        <w:rPr>
          <w:rFonts w:ascii="Arial" w:hAnsi="Arial" w:eastAsia="Arial" w:cs="Arial"/>
        </w:rPr>
      </w:pPr>
      <w:r>
        <w:rPr>
          <w:rFonts w:ascii="Arial" w:hAnsi="Arial" w:eastAsia="Arial" w:cs="Arial"/>
          <w:b/>
        </w:rPr>
        <w:t>5.11</w:t>
      </w:r>
      <w:r>
        <w:rPr>
          <w:rFonts w:ascii="Arial" w:hAnsi="Arial" w:eastAsia="Arial" w:cs="Arial"/>
        </w:rPr>
        <w:t xml:space="preserve">. A </w:t>
      </w:r>
      <w:r>
        <w:rPr>
          <w:rFonts w:ascii="Arial" w:hAnsi="Arial" w:eastAsia="Arial" w:cs="Arial"/>
          <w:b/>
          <w:u w:val="single"/>
        </w:rPr>
        <w:t>CONTRATADA</w:t>
      </w:r>
      <w:r>
        <w:rPr>
          <w:rFonts w:ascii="Arial" w:hAnsi="Arial" w:eastAsia="Arial" w:cs="Arial"/>
        </w:rPr>
        <w:t xml:space="preserve"> se obriga a permitir que a auditoria interna da </w:t>
      </w:r>
      <w:r>
        <w:rPr>
          <w:rFonts w:ascii="Arial" w:hAnsi="Arial" w:eastAsia="Arial" w:cs="Arial"/>
          <w:b/>
          <w:u w:val="single"/>
        </w:rPr>
        <w:t>CONTRATANTE</w:t>
      </w:r>
      <w:r>
        <w:rPr>
          <w:rFonts w:ascii="Arial" w:hAnsi="Arial" w:eastAsia="Arial" w:cs="Arial"/>
        </w:rPr>
        <w:t xml:space="preserve"> por ela indicada, tenham acesso a todos os documentos fiscais e contábeis que digam respeito aos serviços fornecidos à </w:t>
      </w:r>
      <w:r>
        <w:rPr>
          <w:rFonts w:ascii="Arial" w:hAnsi="Arial" w:eastAsia="Arial" w:cs="Arial"/>
          <w:b/>
          <w:u w:val="single"/>
        </w:rPr>
        <w:t>CONTRATANTE</w:t>
      </w:r>
      <w:r>
        <w:rPr>
          <w:rFonts w:ascii="Arial" w:hAnsi="Arial" w:eastAsia="Arial" w:cs="Arial"/>
        </w:rPr>
        <w:t>.</w:t>
      </w:r>
    </w:p>
    <w:p w14:paraId="0939E62B">
      <w:pPr>
        <w:jc w:val="both"/>
        <w:rPr>
          <w:rFonts w:ascii="Arial" w:hAnsi="Arial" w:eastAsia="Arial" w:cs="Arial"/>
        </w:rPr>
      </w:pPr>
    </w:p>
    <w:p w14:paraId="0D3FB366">
      <w:pPr>
        <w:jc w:val="both"/>
        <w:rPr>
          <w:rFonts w:ascii="Arial" w:hAnsi="Arial" w:eastAsia="Arial" w:cs="Arial"/>
        </w:rPr>
      </w:pPr>
      <w:r>
        <w:rPr>
          <w:rFonts w:ascii="Arial" w:hAnsi="Arial" w:eastAsia="Arial" w:cs="Arial"/>
          <w:b/>
        </w:rPr>
        <w:t>5.12.</w:t>
      </w:r>
      <w:r>
        <w:rPr>
          <w:rFonts w:ascii="Arial" w:hAnsi="Arial" w:eastAsia="Arial" w:cs="Arial"/>
        </w:rPr>
        <w:t xml:space="preserve"> Executar o fornecimento dentro dos padrões estabelecidos, de acordo com a especificação dos serviços, responsabilizando-se por eventuais prejuízos decorrentes do descumprimento de condição estabelecida. </w:t>
      </w:r>
    </w:p>
    <w:p w14:paraId="5FD2173C">
      <w:pPr>
        <w:jc w:val="both"/>
        <w:rPr>
          <w:rFonts w:ascii="Arial" w:hAnsi="Arial" w:eastAsia="Arial" w:cs="Arial"/>
        </w:rPr>
      </w:pPr>
    </w:p>
    <w:p w14:paraId="19D24811">
      <w:pPr>
        <w:jc w:val="both"/>
        <w:rPr>
          <w:rFonts w:ascii="Arial" w:hAnsi="Arial" w:eastAsia="Arial" w:cs="Arial"/>
        </w:rPr>
      </w:pPr>
      <w:r>
        <w:rPr>
          <w:rFonts w:ascii="Arial" w:hAnsi="Arial" w:eastAsia="Arial" w:cs="Arial"/>
          <w:b/>
        </w:rPr>
        <w:t>5.13.</w:t>
      </w:r>
      <w:r>
        <w:rPr>
          <w:rFonts w:ascii="Arial" w:hAnsi="Arial" w:eastAsia="Arial" w:cs="Arial"/>
        </w:rPr>
        <w:t xml:space="preserve"> Cumprir com os prazos de entrega acordados junto à Secretaria solicitante dos serviços;</w:t>
      </w:r>
    </w:p>
    <w:p w14:paraId="332383E7">
      <w:pPr>
        <w:jc w:val="both"/>
        <w:rPr>
          <w:rFonts w:ascii="Arial" w:hAnsi="Arial" w:eastAsia="Arial" w:cs="Arial"/>
        </w:rPr>
      </w:pPr>
    </w:p>
    <w:p w14:paraId="7487F295">
      <w:pPr>
        <w:jc w:val="both"/>
        <w:rPr>
          <w:rFonts w:ascii="Arial" w:hAnsi="Arial" w:eastAsia="Arial" w:cs="Arial"/>
        </w:rPr>
      </w:pPr>
      <w:r>
        <w:rPr>
          <w:rFonts w:ascii="Arial" w:hAnsi="Arial" w:eastAsia="Arial" w:cs="Arial"/>
          <w:b/>
        </w:rPr>
        <w:t>5.14</w:t>
      </w:r>
      <w:r>
        <w:rPr>
          <w:rFonts w:ascii="Arial" w:hAnsi="Arial" w:eastAsia="Arial" w:cs="Arial"/>
        </w:rPr>
        <w:t>. Realizar a prestação dos serviços no endereço fornecido pela Secretaria;</w:t>
      </w:r>
    </w:p>
    <w:p w14:paraId="1E722AC7">
      <w:pPr>
        <w:jc w:val="both"/>
        <w:rPr>
          <w:rFonts w:ascii="Arial" w:hAnsi="Arial" w:eastAsia="Arial" w:cs="Arial"/>
          <w:b/>
        </w:rPr>
      </w:pPr>
    </w:p>
    <w:p w14:paraId="1CDFD675">
      <w:pPr>
        <w:jc w:val="both"/>
        <w:rPr>
          <w:rFonts w:ascii="Arial" w:hAnsi="Arial" w:eastAsia="Arial" w:cs="Arial"/>
        </w:rPr>
      </w:pPr>
      <w:r>
        <w:rPr>
          <w:rFonts w:ascii="Arial" w:hAnsi="Arial" w:eastAsia="Arial" w:cs="Arial"/>
          <w:b/>
        </w:rPr>
        <w:t>5.15.</w:t>
      </w:r>
      <w:r>
        <w:rPr>
          <w:rFonts w:ascii="Arial" w:hAnsi="Arial" w:eastAsia="Arial" w:cs="Arial"/>
        </w:rPr>
        <w:t xml:space="preserve"> Os serviços que se encontrarem em desconformidade com as condições exigidas, deverão ser substituídos num prazo de até 05 (cinco) dias a partir da data da solicitação da substituição dos mesmos. </w:t>
      </w:r>
    </w:p>
    <w:p w14:paraId="523308E4">
      <w:pPr>
        <w:jc w:val="both"/>
        <w:rPr>
          <w:rFonts w:ascii="Arial" w:hAnsi="Arial" w:eastAsia="Arial" w:cs="Arial"/>
          <w:b/>
        </w:rPr>
      </w:pPr>
    </w:p>
    <w:p w14:paraId="0AE8EA20">
      <w:pPr>
        <w:jc w:val="both"/>
        <w:rPr>
          <w:rFonts w:ascii="Arial" w:hAnsi="Arial" w:eastAsia="Arial" w:cs="Arial"/>
          <w:b/>
        </w:rPr>
      </w:pPr>
    </w:p>
    <w:p w14:paraId="246A7231">
      <w:pPr>
        <w:jc w:val="both"/>
        <w:rPr>
          <w:rFonts w:ascii="Arial" w:hAnsi="Arial" w:eastAsia="Arial" w:cs="Arial"/>
        </w:rPr>
      </w:pPr>
      <w:r>
        <w:rPr>
          <w:rFonts w:ascii="Arial" w:hAnsi="Arial" w:eastAsia="Arial" w:cs="Arial"/>
          <w:b/>
        </w:rPr>
        <w:t>5.16.</w:t>
      </w:r>
      <w:r>
        <w:rPr>
          <w:rFonts w:ascii="Arial" w:hAnsi="Arial" w:eastAsia="Arial" w:cs="Arial"/>
        </w:rPr>
        <w:t xml:space="preserve"> Prestar esclarecimentos que forem solicitados pelo Município, cujas reclamações se obriga a atender prontamente, bem como, oferecer condições para a mais ampla e completa fiscalização, durante a vigência deste Contrato, bem como de seu (s) aditivo (s), propiciando o acesso à toda documentação pertinente (s) a prestação dos serviços, atendendo às observações e exigências apresentadas pela fiscalização.</w:t>
      </w:r>
    </w:p>
    <w:p w14:paraId="22AB8DDB">
      <w:pPr>
        <w:jc w:val="both"/>
        <w:rPr>
          <w:rFonts w:ascii="Arial" w:hAnsi="Arial" w:eastAsia="Arial" w:cs="Arial"/>
        </w:rPr>
      </w:pPr>
    </w:p>
    <w:p w14:paraId="2A6DCC0C">
      <w:pPr>
        <w:jc w:val="both"/>
        <w:rPr>
          <w:rFonts w:ascii="Arial" w:hAnsi="Arial" w:eastAsia="Arial" w:cs="Arial"/>
        </w:rPr>
      </w:pPr>
      <w:r>
        <w:rPr>
          <w:rFonts w:ascii="Arial" w:hAnsi="Arial" w:eastAsia="Arial" w:cs="Arial"/>
          <w:b/>
        </w:rPr>
        <w:t>5.17.</w:t>
      </w:r>
      <w:r>
        <w:rPr>
          <w:rFonts w:ascii="Arial" w:hAnsi="Arial" w:eastAsia="Arial" w:cs="Arial"/>
        </w:rPr>
        <w:t xml:space="preserve"> A contratada se responsabilizará pela substituição dos serviços</w:t>
      </w:r>
      <w:r>
        <w:rPr>
          <w:rFonts w:ascii="Arial" w:hAnsi="Arial" w:eastAsia="Arial" w:cs="Arial"/>
          <w:b/>
        </w:rPr>
        <w:t xml:space="preserve"> </w:t>
      </w:r>
      <w:r>
        <w:rPr>
          <w:rFonts w:ascii="Arial" w:hAnsi="Arial" w:eastAsia="Arial" w:cs="Arial"/>
        </w:rPr>
        <w:t>que se encontrarem em desacordo com as especificações constantes deste Edital e seus anexos, isentando este Município de quaisquer ônus financeiros adicionais;</w:t>
      </w:r>
    </w:p>
    <w:p w14:paraId="5139B8C2">
      <w:pPr>
        <w:jc w:val="both"/>
        <w:rPr>
          <w:rFonts w:ascii="Arial" w:hAnsi="Arial" w:eastAsia="Arial" w:cs="Arial"/>
        </w:rPr>
      </w:pPr>
    </w:p>
    <w:p w14:paraId="2E71C07F">
      <w:pPr>
        <w:jc w:val="both"/>
        <w:rPr>
          <w:rFonts w:ascii="Arial" w:hAnsi="Arial" w:eastAsia="Arial" w:cs="Arial"/>
        </w:rPr>
      </w:pPr>
      <w:r>
        <w:rPr>
          <w:rFonts w:ascii="Arial" w:hAnsi="Arial" w:eastAsia="Arial" w:cs="Arial"/>
          <w:b/>
        </w:rPr>
        <w:t xml:space="preserve">5.18. </w:t>
      </w:r>
      <w:r>
        <w:rPr>
          <w:rFonts w:ascii="Arial" w:hAnsi="Arial" w:eastAsia="Arial" w:cs="Arial"/>
        </w:rPr>
        <w:t>A CONTRATADA tem a obrigação de atender as exigências de reserva de cargos prevista em lei, bem como em outras normas específicas, para pessoa com deficiência, para reabilitado da Previdência Social e para aprendiz; (Lei 14.133/2021 art. 92 – inciso XVII).</w:t>
      </w:r>
    </w:p>
    <w:p w14:paraId="5CF28FB1">
      <w:pPr>
        <w:jc w:val="both"/>
        <w:rPr>
          <w:rFonts w:ascii="Arial" w:hAnsi="Arial" w:eastAsia="Arial" w:cs="Arial"/>
        </w:rPr>
      </w:pPr>
    </w:p>
    <w:p w14:paraId="607F650C">
      <w:pPr>
        <w:jc w:val="both"/>
        <w:rPr>
          <w:rFonts w:ascii="Arial" w:hAnsi="Arial" w:eastAsia="Arial" w:cs="Arial"/>
        </w:rPr>
      </w:pPr>
      <w:r>
        <w:rPr>
          <w:rFonts w:ascii="Arial" w:hAnsi="Arial" w:eastAsia="Arial" w:cs="Arial"/>
          <w:b/>
        </w:rPr>
        <w:t>5.19.</w:t>
      </w:r>
      <w:r>
        <w:rPr>
          <w:rFonts w:ascii="Arial" w:hAnsi="Arial" w:eastAsia="Arial" w:cs="Arial"/>
        </w:rPr>
        <w:t xml:space="preserve"> Emitir mensalmente nota fiscal com discriminação dos serviços prestados, quantidade e período de utilização, acompanhada da documentação de regularidade fiscal atualizada.</w:t>
      </w:r>
    </w:p>
    <w:p w14:paraId="12545ED8">
      <w:pPr>
        <w:jc w:val="both"/>
        <w:rPr>
          <w:rFonts w:ascii="Arial" w:hAnsi="Arial" w:eastAsia="Arial" w:cs="Arial"/>
        </w:rPr>
      </w:pPr>
    </w:p>
    <w:p w14:paraId="49C74402">
      <w:pPr>
        <w:jc w:val="both"/>
        <w:rPr>
          <w:rFonts w:ascii="Arial" w:hAnsi="Arial" w:eastAsia="Arial" w:cs="Arial"/>
        </w:rPr>
      </w:pPr>
      <w:r>
        <w:rPr>
          <w:rFonts w:ascii="Arial" w:hAnsi="Arial" w:eastAsia="Arial" w:cs="Arial"/>
          <w:b/>
        </w:rPr>
        <w:t>5.20.</w:t>
      </w:r>
      <w:r>
        <w:rPr>
          <w:rFonts w:ascii="Arial" w:hAnsi="Arial" w:eastAsia="Arial" w:cs="Arial"/>
        </w:rPr>
        <w:t xml:space="preserve"> Responder integralmente por todas as despesas e encargos decorrentes da execução do contrato, inclusive tributos, encargos trabalhistas, previdenciários, taxas, seguros, deslocamentos e outros que incidam ou venham a incidir.</w:t>
      </w:r>
    </w:p>
    <w:p w14:paraId="7C88DBC3">
      <w:pPr>
        <w:jc w:val="both"/>
        <w:rPr>
          <w:rFonts w:ascii="Arial" w:hAnsi="Arial" w:eastAsia="Arial" w:cs="Arial"/>
        </w:rPr>
      </w:pPr>
    </w:p>
    <w:p w14:paraId="2963BC48">
      <w:pPr>
        <w:jc w:val="both"/>
        <w:rPr>
          <w:rFonts w:ascii="Arial" w:hAnsi="Arial" w:eastAsia="Arial" w:cs="Arial"/>
        </w:rPr>
      </w:pPr>
      <w:r>
        <w:rPr>
          <w:rFonts w:ascii="Arial" w:hAnsi="Arial" w:eastAsia="Arial" w:cs="Arial"/>
          <w:b/>
        </w:rPr>
        <w:t>5.21.</w:t>
      </w:r>
      <w:r>
        <w:rPr>
          <w:rFonts w:ascii="Arial" w:hAnsi="Arial" w:eastAsia="Arial" w:cs="Arial"/>
        </w:rPr>
        <w:t xml:space="preserve"> Responder por quaisquer danos, prejuízos ou perdas causadas à contratante ou a terceiros, por ação ou omissão dolosa ou culposa de seus prepostos, mesmo na ausência de fiscalização por parte da contratante.</w:t>
      </w:r>
    </w:p>
    <w:p w14:paraId="723AD41F">
      <w:pPr>
        <w:jc w:val="both"/>
        <w:rPr>
          <w:rFonts w:ascii="Arial" w:hAnsi="Arial" w:eastAsia="Arial" w:cs="Arial"/>
        </w:rPr>
      </w:pPr>
    </w:p>
    <w:p w14:paraId="55E88B6B">
      <w:pPr>
        <w:jc w:val="both"/>
        <w:rPr>
          <w:rFonts w:ascii="Arial" w:hAnsi="Arial" w:eastAsia="Arial" w:cs="Arial"/>
        </w:rPr>
      </w:pPr>
      <w:r>
        <w:rPr>
          <w:rFonts w:ascii="Arial" w:hAnsi="Arial" w:eastAsia="Arial" w:cs="Arial"/>
          <w:b/>
        </w:rPr>
        <w:t>5.22.</w:t>
      </w:r>
      <w:r>
        <w:rPr>
          <w:rFonts w:ascii="Arial" w:hAnsi="Arial" w:eastAsia="Arial" w:cs="Arial"/>
        </w:rPr>
        <w:t xml:space="preserve"> Atender prontamente às solicitações, reclamações e orientações da contratante e do gestor do contrato, prestando os esclarecimentos necessários, por escrito quando solicitado.</w:t>
      </w:r>
    </w:p>
    <w:p w14:paraId="55395FE9">
      <w:pPr>
        <w:jc w:val="both"/>
        <w:rPr>
          <w:rFonts w:ascii="Arial" w:hAnsi="Arial" w:eastAsia="Arial" w:cs="Arial"/>
        </w:rPr>
      </w:pPr>
    </w:p>
    <w:p w14:paraId="152157E5">
      <w:pPr>
        <w:jc w:val="both"/>
        <w:rPr>
          <w:rFonts w:ascii="Arial" w:hAnsi="Arial" w:eastAsia="Arial" w:cs="Arial"/>
        </w:rPr>
      </w:pPr>
      <w:r>
        <w:rPr>
          <w:rFonts w:ascii="Arial" w:hAnsi="Arial" w:eastAsia="Arial" w:cs="Arial"/>
          <w:b/>
        </w:rPr>
        <w:t>5.23.</w:t>
      </w:r>
      <w:r>
        <w:rPr>
          <w:rFonts w:ascii="Arial" w:hAnsi="Arial" w:eastAsia="Arial" w:cs="Arial"/>
        </w:rPr>
        <w:t xml:space="preserve"> Informar e encaminhar à contratante as notificações e boletos referentes a multas aplicadas aos veículos locados.</w:t>
      </w:r>
    </w:p>
    <w:p w14:paraId="3B35B566">
      <w:pPr>
        <w:jc w:val="both"/>
        <w:rPr>
          <w:rFonts w:ascii="Arial" w:hAnsi="Arial" w:eastAsia="Arial" w:cs="Arial"/>
        </w:rPr>
      </w:pPr>
    </w:p>
    <w:p w14:paraId="167CCF4B">
      <w:pPr>
        <w:jc w:val="both"/>
        <w:rPr>
          <w:rFonts w:ascii="Arial" w:hAnsi="Arial" w:eastAsia="Arial" w:cs="Arial"/>
        </w:rPr>
      </w:pPr>
      <w:r>
        <w:rPr>
          <w:rFonts w:ascii="Arial" w:hAnsi="Arial" w:eastAsia="Arial" w:cs="Arial"/>
          <w:b/>
        </w:rPr>
        <w:t>5.24.</w:t>
      </w:r>
      <w:r>
        <w:rPr>
          <w:rFonts w:ascii="Arial" w:hAnsi="Arial" w:eastAsia="Arial" w:cs="Arial"/>
        </w:rPr>
        <w:t xml:space="preserve"> Assegurar a continuidade da prestação dos serviços mesmo em situações excepcionais, como greves ou paralisações.</w:t>
      </w:r>
    </w:p>
    <w:p w14:paraId="4D291D6D">
      <w:pPr>
        <w:jc w:val="both"/>
        <w:rPr>
          <w:rFonts w:ascii="Arial" w:hAnsi="Arial" w:eastAsia="Arial" w:cs="Arial"/>
        </w:rPr>
      </w:pPr>
    </w:p>
    <w:p w14:paraId="3D5ACCBE">
      <w:pPr>
        <w:jc w:val="both"/>
        <w:rPr>
          <w:rFonts w:ascii="Arial" w:hAnsi="Arial" w:eastAsia="Arial" w:cs="Arial"/>
        </w:rPr>
      </w:pPr>
      <w:r>
        <w:rPr>
          <w:rFonts w:ascii="Arial" w:hAnsi="Arial" w:eastAsia="Arial" w:cs="Arial"/>
          <w:b/>
        </w:rPr>
        <w:t>5.25.</w:t>
      </w:r>
      <w:r>
        <w:rPr>
          <w:rFonts w:ascii="Arial" w:hAnsi="Arial" w:eastAsia="Arial" w:cs="Arial"/>
        </w:rPr>
        <w:t xml:space="preserve"> Cumprir integralmente todas as condições e exigências estabelecidas neste Termo de Referência e seus anexos.</w:t>
      </w:r>
    </w:p>
    <w:p w14:paraId="5F6D6F4F">
      <w:pPr>
        <w:jc w:val="both"/>
        <w:rPr>
          <w:rFonts w:ascii="Arial" w:hAnsi="Arial" w:eastAsia="Arial" w:cs="Arial"/>
        </w:rPr>
      </w:pPr>
    </w:p>
    <w:p w14:paraId="0454252F">
      <w:pPr>
        <w:jc w:val="both"/>
        <w:rPr>
          <w:rFonts w:ascii="Arial" w:hAnsi="Arial" w:eastAsia="Arial" w:cs="Arial"/>
        </w:rPr>
      </w:pPr>
      <w:r>
        <w:rPr>
          <w:rFonts w:ascii="Arial" w:hAnsi="Arial" w:eastAsia="Arial" w:cs="Arial"/>
          <w:b/>
        </w:rPr>
        <w:t>CLÁUSULA SEXTA – SUBCONTRATAÇÃO</w:t>
      </w:r>
      <w:r>
        <w:rPr>
          <w:rFonts w:ascii="Arial" w:hAnsi="Arial" w:eastAsia="Arial" w:cs="Arial"/>
        </w:rPr>
        <w:t xml:space="preserve"> </w:t>
      </w:r>
    </w:p>
    <w:p w14:paraId="2B233CBD">
      <w:pPr>
        <w:jc w:val="both"/>
        <w:rPr>
          <w:rFonts w:ascii="Arial" w:hAnsi="Arial" w:eastAsia="Arial" w:cs="Arial"/>
          <w:b/>
        </w:rPr>
      </w:pPr>
    </w:p>
    <w:p w14:paraId="01DDEF23">
      <w:pPr>
        <w:jc w:val="both"/>
        <w:rPr>
          <w:rFonts w:ascii="Arial" w:hAnsi="Arial" w:eastAsia="Arial" w:cs="Arial"/>
        </w:rPr>
      </w:pPr>
      <w:r>
        <w:rPr>
          <w:rFonts w:ascii="Arial" w:hAnsi="Arial" w:eastAsia="Arial" w:cs="Arial"/>
          <w:b/>
        </w:rPr>
        <w:t>6.1.</w:t>
      </w:r>
      <w:r>
        <w:rPr>
          <w:rFonts w:ascii="Arial" w:hAnsi="Arial" w:eastAsia="Arial" w:cs="Arial"/>
        </w:rPr>
        <w:t xml:space="preserve"> É vedada a subcontratação do objeto deste contrato.</w:t>
      </w:r>
    </w:p>
    <w:p w14:paraId="3A2BC857">
      <w:pPr>
        <w:jc w:val="both"/>
        <w:rPr>
          <w:rFonts w:ascii="Arial" w:hAnsi="Arial" w:eastAsia="Arial" w:cs="Arial"/>
        </w:rPr>
      </w:pPr>
    </w:p>
    <w:p w14:paraId="3CB1750B">
      <w:pPr>
        <w:jc w:val="both"/>
        <w:rPr>
          <w:rFonts w:ascii="Arial" w:hAnsi="Arial" w:eastAsia="Arial" w:cs="Arial"/>
          <w:b/>
        </w:rPr>
      </w:pPr>
      <w:r>
        <w:rPr>
          <w:rFonts w:ascii="Arial" w:hAnsi="Arial" w:eastAsia="Arial" w:cs="Arial"/>
          <w:b/>
        </w:rPr>
        <w:t>CLÁUSULA SÉTIMA – DA EXECUÇÃO DO CONTRATO E DA PRESTAÇÃO DE SERVIÇOS:</w:t>
      </w:r>
    </w:p>
    <w:p w14:paraId="7EE403C1">
      <w:pPr>
        <w:jc w:val="both"/>
        <w:rPr>
          <w:rFonts w:ascii="Arial" w:hAnsi="Arial" w:eastAsia="Arial" w:cs="Arial"/>
          <w:b/>
        </w:rPr>
      </w:pPr>
    </w:p>
    <w:p w14:paraId="0C70FE60">
      <w:pPr>
        <w:jc w:val="both"/>
        <w:rPr>
          <w:rFonts w:ascii="Arial" w:hAnsi="Arial" w:eastAsia="Arial" w:cs="Arial"/>
        </w:rPr>
      </w:pPr>
      <w:r>
        <w:rPr>
          <w:rFonts w:ascii="Arial" w:hAnsi="Arial" w:eastAsia="Arial" w:cs="Arial"/>
        </w:rPr>
        <w:t>7.1. O contrato deverá ser executado fielmente pelas partes, de acordo com Cláusulas contratuais e as normas da Lei 14.133/21, respondendo cada uma pelas consequências de sua inexecução total ou parcial.</w:t>
      </w:r>
    </w:p>
    <w:p w14:paraId="65DB54B5">
      <w:pPr>
        <w:jc w:val="both"/>
        <w:rPr>
          <w:rFonts w:ascii="Arial" w:hAnsi="Arial" w:eastAsia="Arial" w:cs="Arial"/>
        </w:rPr>
      </w:pPr>
    </w:p>
    <w:p w14:paraId="2A4D878F">
      <w:pPr>
        <w:jc w:val="both"/>
        <w:rPr>
          <w:rFonts w:ascii="Arial" w:hAnsi="Arial" w:eastAsia="Arial" w:cs="Arial"/>
        </w:rPr>
      </w:pPr>
      <w:r>
        <w:rPr>
          <w:rFonts w:ascii="Arial" w:hAnsi="Arial" w:eastAsia="Arial" w:cs="Arial"/>
        </w:rPr>
        <w:t>7.2. O recebimento do objeto deste contrato ocorrerá de acordo com as condições estabelecidas no Termo de Referência.</w:t>
      </w:r>
    </w:p>
    <w:p w14:paraId="7B5650B0">
      <w:pPr>
        <w:jc w:val="both"/>
        <w:rPr>
          <w:rFonts w:ascii="Arial" w:hAnsi="Arial" w:eastAsia="Arial" w:cs="Arial"/>
        </w:rPr>
      </w:pPr>
    </w:p>
    <w:p w14:paraId="396264AD">
      <w:pPr>
        <w:jc w:val="both"/>
        <w:rPr>
          <w:rFonts w:ascii="Arial" w:hAnsi="Arial" w:eastAsia="Arial" w:cs="Arial"/>
        </w:rPr>
      </w:pPr>
      <w:r>
        <w:rPr>
          <w:rFonts w:ascii="Arial" w:hAnsi="Arial" w:eastAsia="Arial" w:cs="Arial"/>
        </w:rPr>
        <w:t>7.3. A solicitação dos produtos será feita pela CONTRATANTE à CONTRATADA, após a assinatura deste Contrato, mediante Ordem de Fornecimento ou instrumento equivalente e de forma parcelada;</w:t>
      </w:r>
    </w:p>
    <w:p w14:paraId="0EBD1AB1">
      <w:pPr>
        <w:jc w:val="both"/>
        <w:rPr>
          <w:rFonts w:ascii="Arial" w:hAnsi="Arial" w:eastAsia="Arial" w:cs="Arial"/>
        </w:rPr>
      </w:pPr>
    </w:p>
    <w:p w14:paraId="07B5A39D">
      <w:pPr>
        <w:jc w:val="both"/>
        <w:rPr>
          <w:rFonts w:ascii="Arial" w:hAnsi="Arial" w:eastAsia="Arial" w:cs="Arial"/>
        </w:rPr>
      </w:pPr>
      <w:r>
        <w:rPr>
          <w:rFonts w:ascii="Arial" w:hAnsi="Arial" w:eastAsia="Arial" w:cs="Arial"/>
        </w:rPr>
        <w:t>7.4. O objeto licitado deverá ser entregue de acordo com as regras específicas fixadas no presente edital e seus anexos na Ordem de Fornecimento ou instrumento equivalente emitido pela Secretaria solicitante, de acordo termo de referência;</w:t>
      </w:r>
    </w:p>
    <w:p w14:paraId="5E52710F">
      <w:pPr>
        <w:jc w:val="both"/>
        <w:rPr>
          <w:rFonts w:ascii="Arial" w:hAnsi="Arial" w:eastAsia="Arial" w:cs="Arial"/>
        </w:rPr>
      </w:pPr>
    </w:p>
    <w:p w14:paraId="1BC8410A">
      <w:pPr>
        <w:jc w:val="both"/>
        <w:rPr>
          <w:rFonts w:ascii="Arial" w:hAnsi="Arial" w:eastAsia="Arial" w:cs="Arial"/>
        </w:rPr>
      </w:pPr>
    </w:p>
    <w:p w14:paraId="6C73E862">
      <w:pPr>
        <w:jc w:val="both"/>
        <w:rPr>
          <w:rFonts w:ascii="Arial" w:hAnsi="Arial" w:eastAsia="Arial" w:cs="Arial"/>
        </w:rPr>
      </w:pPr>
    </w:p>
    <w:p w14:paraId="35A6E9F1">
      <w:pPr>
        <w:jc w:val="both"/>
        <w:rPr>
          <w:rFonts w:ascii="Arial" w:hAnsi="Arial" w:eastAsia="Arial" w:cs="Arial"/>
        </w:rPr>
      </w:pPr>
    </w:p>
    <w:p w14:paraId="5F69A395">
      <w:pPr>
        <w:jc w:val="both"/>
        <w:rPr>
          <w:rFonts w:ascii="Arial" w:hAnsi="Arial" w:eastAsia="Arial" w:cs="Arial"/>
        </w:rPr>
      </w:pPr>
    </w:p>
    <w:p w14:paraId="72B56D95">
      <w:pPr>
        <w:jc w:val="both"/>
        <w:rPr>
          <w:rFonts w:ascii="Arial" w:hAnsi="Arial" w:eastAsia="Arial" w:cs="Arial"/>
          <w:sz w:val="22"/>
          <w:szCs w:val="22"/>
        </w:rPr>
      </w:pPr>
      <w:r>
        <w:rPr>
          <w:rFonts w:ascii="Arial" w:hAnsi="Arial" w:eastAsia="Arial" w:cs="Arial"/>
          <w:sz w:val="22"/>
          <w:szCs w:val="22"/>
        </w:rPr>
        <w:t>7.5. Forma de entrega do objeto: O objeto desta licitação refere-se a uma estimativa de fornecimento de XXXXXXXXXXXXXX por um período de 12 (doze) meses; assim, as entregas deverão ocorrer de forma parcial, de acordo com as quantidades estipuladas nos pedidos, através de ordem de fornecimento ou instrumento equivalente emitido pela contratante à contratada. O prazo de entrega após a solicitação deverá ocorrer em, até, 48 (quarenta e oito) horas úteis – após solicitação formal. (De acordo termo de referência)</w:t>
      </w:r>
    </w:p>
    <w:p w14:paraId="3539E0E5">
      <w:pPr>
        <w:jc w:val="both"/>
        <w:rPr>
          <w:rFonts w:ascii="Arial" w:hAnsi="Arial" w:eastAsia="Arial" w:cs="Arial"/>
          <w:sz w:val="22"/>
          <w:szCs w:val="22"/>
        </w:rPr>
      </w:pPr>
    </w:p>
    <w:p w14:paraId="08757D19">
      <w:pPr>
        <w:jc w:val="both"/>
        <w:rPr>
          <w:rFonts w:ascii="Arial" w:hAnsi="Arial" w:eastAsia="Arial" w:cs="Arial"/>
          <w:sz w:val="22"/>
          <w:szCs w:val="22"/>
        </w:rPr>
      </w:pPr>
      <w:r>
        <w:rPr>
          <w:rFonts w:ascii="Arial" w:hAnsi="Arial" w:eastAsia="Arial" w:cs="Arial"/>
          <w:sz w:val="22"/>
          <w:szCs w:val="22"/>
        </w:rPr>
        <w:t>7.6. O prazo previsto no subitem 7.4 poderá ser prorrogado/alterado, por solicitação justificada do adjudicatário e aceita pela Administração.</w:t>
      </w:r>
    </w:p>
    <w:p w14:paraId="1E4CDBA3">
      <w:pPr>
        <w:jc w:val="both"/>
        <w:rPr>
          <w:rFonts w:ascii="Arial" w:hAnsi="Arial" w:eastAsia="Arial" w:cs="Arial"/>
          <w:sz w:val="22"/>
          <w:szCs w:val="22"/>
        </w:rPr>
      </w:pPr>
    </w:p>
    <w:p w14:paraId="0592AE7F">
      <w:pPr>
        <w:jc w:val="both"/>
        <w:rPr>
          <w:rFonts w:ascii="Arial" w:hAnsi="Arial" w:eastAsia="Arial" w:cs="Arial"/>
          <w:sz w:val="22"/>
          <w:szCs w:val="22"/>
        </w:rPr>
      </w:pPr>
      <w:r>
        <w:rPr>
          <w:rFonts w:ascii="Arial" w:hAnsi="Arial" w:eastAsia="Arial" w:cs="Arial"/>
          <w:sz w:val="22"/>
          <w:szCs w:val="22"/>
        </w:rPr>
        <w:t>7.7. Os materiais deverão ser entregues em embalagens originais e deverão conter nas respectivas embalagens as seguintes informações:</w:t>
      </w:r>
    </w:p>
    <w:p w14:paraId="673CED0A">
      <w:pPr>
        <w:jc w:val="both"/>
        <w:rPr>
          <w:rFonts w:ascii="Arial" w:hAnsi="Arial" w:eastAsia="Arial" w:cs="Arial"/>
          <w:sz w:val="22"/>
          <w:szCs w:val="22"/>
        </w:rPr>
      </w:pPr>
    </w:p>
    <w:p w14:paraId="275E8D99">
      <w:pPr>
        <w:jc w:val="both"/>
        <w:rPr>
          <w:rFonts w:ascii="Arial" w:hAnsi="Arial" w:eastAsia="Arial" w:cs="Arial"/>
          <w:sz w:val="22"/>
          <w:szCs w:val="22"/>
        </w:rPr>
      </w:pPr>
      <w:r>
        <w:rPr>
          <w:rFonts w:ascii="Arial" w:hAnsi="Arial" w:eastAsia="Arial" w:cs="Arial"/>
          <w:sz w:val="22"/>
          <w:szCs w:val="22"/>
        </w:rPr>
        <w:t>a) Data de fabricação e data de vencimento;</w:t>
      </w:r>
    </w:p>
    <w:p w14:paraId="716AEECF">
      <w:pPr>
        <w:jc w:val="both"/>
        <w:rPr>
          <w:rFonts w:ascii="Arial" w:hAnsi="Arial" w:eastAsia="Arial" w:cs="Arial"/>
          <w:sz w:val="22"/>
          <w:szCs w:val="22"/>
        </w:rPr>
      </w:pPr>
      <w:r>
        <w:rPr>
          <w:rFonts w:ascii="Arial" w:hAnsi="Arial" w:eastAsia="Arial" w:cs="Arial"/>
          <w:sz w:val="22"/>
          <w:szCs w:val="22"/>
        </w:rPr>
        <w:t>b) Número de registro emitido pela pelo órgão competente (ex: Anvisa ou inmetro), quando for o caso;</w:t>
      </w:r>
    </w:p>
    <w:p w14:paraId="2E587F4D">
      <w:pPr>
        <w:jc w:val="both"/>
        <w:rPr>
          <w:rFonts w:ascii="Arial" w:hAnsi="Arial" w:eastAsia="Arial" w:cs="Arial"/>
          <w:sz w:val="22"/>
          <w:szCs w:val="22"/>
        </w:rPr>
      </w:pPr>
    </w:p>
    <w:p w14:paraId="14186971">
      <w:pPr>
        <w:jc w:val="both"/>
        <w:rPr>
          <w:rFonts w:ascii="Arial" w:hAnsi="Arial" w:eastAsia="Arial" w:cs="Arial"/>
          <w:sz w:val="22"/>
          <w:szCs w:val="22"/>
        </w:rPr>
      </w:pPr>
      <w:r>
        <w:rPr>
          <w:rFonts w:ascii="Arial" w:hAnsi="Arial" w:eastAsia="Arial" w:cs="Arial"/>
          <w:sz w:val="22"/>
          <w:szCs w:val="22"/>
        </w:rPr>
        <w:t>7.8. Local de entrega: A Contratada entregará os produtos de acordo termo de referência.</w:t>
      </w:r>
    </w:p>
    <w:p w14:paraId="0791DDEF">
      <w:pPr>
        <w:jc w:val="both"/>
        <w:rPr>
          <w:rFonts w:ascii="Arial" w:hAnsi="Arial" w:eastAsia="Arial" w:cs="Arial"/>
          <w:sz w:val="22"/>
          <w:szCs w:val="22"/>
        </w:rPr>
      </w:pPr>
    </w:p>
    <w:p w14:paraId="01FBD10D">
      <w:pPr>
        <w:jc w:val="both"/>
        <w:rPr>
          <w:rFonts w:ascii="Arial" w:hAnsi="Arial" w:eastAsia="Arial" w:cs="Arial"/>
          <w:sz w:val="22"/>
          <w:szCs w:val="22"/>
        </w:rPr>
      </w:pPr>
      <w:r>
        <w:rPr>
          <w:rFonts w:ascii="Arial" w:hAnsi="Arial" w:eastAsia="Arial" w:cs="Arial"/>
          <w:sz w:val="22"/>
          <w:szCs w:val="22"/>
        </w:rPr>
        <w:t>7.9. Os produtos licitados serão recebidos provisoriamente, para posterior verificação da qualidade, quantidade, validade, conformidade com a especificação solicitada e preço;</w:t>
      </w:r>
    </w:p>
    <w:p w14:paraId="348F8E2E">
      <w:pPr>
        <w:jc w:val="both"/>
        <w:rPr>
          <w:rFonts w:ascii="Arial" w:hAnsi="Arial" w:eastAsia="Arial" w:cs="Arial"/>
          <w:sz w:val="22"/>
          <w:szCs w:val="22"/>
        </w:rPr>
      </w:pPr>
    </w:p>
    <w:p w14:paraId="024E45DF">
      <w:pPr>
        <w:jc w:val="both"/>
        <w:rPr>
          <w:rFonts w:ascii="Arial" w:hAnsi="Arial" w:eastAsia="Arial" w:cs="Arial"/>
          <w:sz w:val="22"/>
          <w:szCs w:val="22"/>
        </w:rPr>
      </w:pPr>
      <w:r>
        <w:rPr>
          <w:rFonts w:ascii="Arial" w:hAnsi="Arial" w:eastAsia="Arial" w:cs="Arial"/>
          <w:sz w:val="22"/>
          <w:szCs w:val="22"/>
        </w:rPr>
        <w:t>7.10. A aceitação definitiva dar-se-á em até 48 (quarenta e oito) horas, quando a Nota Fiscal será atestada por servidor/comissão devidamente credenciado para este fim e liberado o canhoto de recebimento;</w:t>
      </w:r>
    </w:p>
    <w:p w14:paraId="0FDB2740">
      <w:pPr>
        <w:jc w:val="both"/>
        <w:rPr>
          <w:rFonts w:ascii="Arial" w:hAnsi="Arial" w:eastAsia="Arial" w:cs="Arial"/>
          <w:sz w:val="22"/>
          <w:szCs w:val="22"/>
        </w:rPr>
      </w:pPr>
    </w:p>
    <w:p w14:paraId="657D6E4F">
      <w:pPr>
        <w:jc w:val="both"/>
        <w:rPr>
          <w:rFonts w:ascii="Arial" w:hAnsi="Arial" w:eastAsia="Arial" w:cs="Arial"/>
          <w:sz w:val="22"/>
          <w:szCs w:val="22"/>
        </w:rPr>
      </w:pPr>
      <w:r>
        <w:rPr>
          <w:rFonts w:ascii="Arial" w:hAnsi="Arial" w:eastAsia="Arial" w:cs="Arial"/>
          <w:sz w:val="22"/>
          <w:szCs w:val="22"/>
        </w:rPr>
        <w:t>7.11. O aceite/aprovação do (s) produto (s) pela (s) Secretaria (s) solicitante (s) não exclui a responsabilidade civil do fornecedor por vícios de quantidade ou qualidade do(s) produto(s) ou disparidades com as especificações estabelecidas no Anexo Itens do Pregão, verificadas, posteriormente, garantindo-se ao órgão licitante as faculdades previstas no art. 18 da Lei n.º 8.078/90;</w:t>
      </w:r>
    </w:p>
    <w:p w14:paraId="17FDB60D">
      <w:pPr>
        <w:jc w:val="both"/>
        <w:rPr>
          <w:rFonts w:ascii="Arial" w:hAnsi="Arial" w:eastAsia="Arial" w:cs="Arial"/>
          <w:b/>
          <w:sz w:val="22"/>
          <w:szCs w:val="22"/>
        </w:rPr>
      </w:pPr>
    </w:p>
    <w:p w14:paraId="7B3DD308">
      <w:pPr>
        <w:jc w:val="both"/>
        <w:rPr>
          <w:rFonts w:ascii="Arial" w:hAnsi="Arial" w:eastAsia="Arial" w:cs="Arial"/>
          <w:b/>
          <w:sz w:val="22"/>
          <w:szCs w:val="22"/>
        </w:rPr>
      </w:pPr>
      <w:r>
        <w:rPr>
          <w:rFonts w:ascii="Arial" w:hAnsi="Arial" w:eastAsia="Arial" w:cs="Arial"/>
          <w:b/>
          <w:sz w:val="22"/>
          <w:szCs w:val="22"/>
        </w:rPr>
        <w:t>7.10.</w:t>
      </w:r>
      <w:r>
        <w:rPr>
          <w:rFonts w:ascii="Arial" w:hAnsi="Arial" w:eastAsia="Arial" w:cs="Arial"/>
          <w:sz w:val="22"/>
          <w:szCs w:val="22"/>
        </w:rPr>
        <w:t xml:space="preserve"> </w:t>
      </w:r>
      <w:r>
        <w:rPr>
          <w:rFonts w:ascii="Arial" w:hAnsi="Arial" w:eastAsia="Arial" w:cs="Arial"/>
          <w:b/>
          <w:sz w:val="22"/>
          <w:szCs w:val="22"/>
        </w:rPr>
        <w:t>O aceite/aprovação do(s) serviço(s) pela(s) Secretaria(s) solicitante(s) não exclui a responsabilidade civil do fornecedor por vícios de quantidade ou qualidade do(s) serviço(s) ou disparidades com as especificações estabelecidas no Anexo Itens do Pregão, verificadas, posteriormente, garantindo-se ao órgão licitante as faculdades previstas no art. 18 da Lei n.º 8.078/90;</w:t>
      </w:r>
    </w:p>
    <w:p w14:paraId="0DD5D099">
      <w:pPr>
        <w:jc w:val="both"/>
        <w:rPr>
          <w:rFonts w:ascii="Arial" w:hAnsi="Arial" w:eastAsia="Arial" w:cs="Arial"/>
          <w:sz w:val="22"/>
          <w:szCs w:val="22"/>
        </w:rPr>
      </w:pPr>
    </w:p>
    <w:p w14:paraId="5EB02644">
      <w:pPr>
        <w:jc w:val="both"/>
        <w:rPr>
          <w:rFonts w:ascii="Arial" w:hAnsi="Arial" w:eastAsia="Arial" w:cs="Arial"/>
          <w:b/>
          <w:sz w:val="22"/>
          <w:szCs w:val="22"/>
        </w:rPr>
      </w:pPr>
      <w:r>
        <w:rPr>
          <w:rFonts w:ascii="Arial" w:hAnsi="Arial" w:eastAsia="Arial" w:cs="Arial"/>
          <w:b/>
          <w:sz w:val="22"/>
          <w:szCs w:val="22"/>
        </w:rPr>
        <w:t>CLÁUSULA OITAVA – DAS OBRIGAÇÕES DA CONTRATANTE:</w:t>
      </w:r>
    </w:p>
    <w:p w14:paraId="26B8F0BF">
      <w:pPr>
        <w:jc w:val="both"/>
        <w:rPr>
          <w:rFonts w:ascii="Arial" w:hAnsi="Arial" w:eastAsia="Arial" w:cs="Arial"/>
          <w:b/>
          <w:sz w:val="22"/>
          <w:szCs w:val="22"/>
        </w:rPr>
      </w:pPr>
    </w:p>
    <w:p w14:paraId="1FF89466">
      <w:pPr>
        <w:jc w:val="both"/>
        <w:rPr>
          <w:rFonts w:ascii="Arial" w:hAnsi="Arial" w:eastAsia="Arial" w:cs="Arial"/>
          <w:sz w:val="22"/>
          <w:szCs w:val="22"/>
        </w:rPr>
      </w:pPr>
      <w:r>
        <w:rPr>
          <w:rFonts w:ascii="Arial" w:hAnsi="Arial" w:eastAsia="Arial" w:cs="Arial"/>
          <w:b/>
          <w:sz w:val="22"/>
          <w:szCs w:val="22"/>
        </w:rPr>
        <w:t>8.1.</w:t>
      </w:r>
      <w:r>
        <w:rPr>
          <w:rFonts w:ascii="Arial" w:hAnsi="Arial" w:eastAsia="Arial" w:cs="Arial"/>
          <w:sz w:val="22"/>
          <w:szCs w:val="22"/>
        </w:rPr>
        <w:t xml:space="preserve"> Constituem obrigações da </w:t>
      </w:r>
      <w:r>
        <w:rPr>
          <w:rFonts w:ascii="Arial" w:hAnsi="Arial" w:eastAsia="Arial" w:cs="Arial"/>
          <w:b/>
          <w:sz w:val="22"/>
          <w:szCs w:val="22"/>
        </w:rPr>
        <w:t>CONTRATANTE</w:t>
      </w:r>
      <w:r>
        <w:rPr>
          <w:rFonts w:ascii="Arial" w:hAnsi="Arial" w:eastAsia="Arial" w:cs="Arial"/>
          <w:sz w:val="22"/>
          <w:szCs w:val="22"/>
        </w:rPr>
        <w:t xml:space="preserve">: </w:t>
      </w:r>
    </w:p>
    <w:p w14:paraId="1E61CBB2">
      <w:pPr>
        <w:jc w:val="both"/>
        <w:rPr>
          <w:rFonts w:ascii="Arial" w:hAnsi="Arial" w:eastAsia="Arial" w:cs="Arial"/>
          <w:sz w:val="22"/>
          <w:szCs w:val="22"/>
        </w:rPr>
      </w:pPr>
    </w:p>
    <w:p w14:paraId="28D03FCF">
      <w:pPr>
        <w:jc w:val="both"/>
        <w:rPr>
          <w:rFonts w:ascii="Arial" w:hAnsi="Arial" w:eastAsia="Arial" w:cs="Arial"/>
          <w:sz w:val="22"/>
          <w:szCs w:val="22"/>
        </w:rPr>
      </w:pPr>
      <w:r>
        <w:rPr>
          <w:rFonts w:ascii="Arial" w:hAnsi="Arial" w:eastAsia="Arial" w:cs="Arial"/>
          <w:b/>
          <w:sz w:val="22"/>
          <w:szCs w:val="22"/>
        </w:rPr>
        <w:t>8.2.</w:t>
      </w:r>
      <w:r>
        <w:rPr>
          <w:rFonts w:ascii="Arial" w:hAnsi="Arial" w:eastAsia="Arial" w:cs="Arial"/>
          <w:sz w:val="22"/>
          <w:szCs w:val="22"/>
        </w:rPr>
        <w:t xml:space="preserve"> Cumprir todos os compromissos financeiros assumidos com a contratada, efetuando os pagamentos de acordo com a Cláusula Nona deste Contrato.</w:t>
      </w:r>
    </w:p>
    <w:p w14:paraId="582CC15D">
      <w:pPr>
        <w:jc w:val="both"/>
        <w:rPr>
          <w:rFonts w:ascii="Arial" w:hAnsi="Arial" w:eastAsia="Arial" w:cs="Arial"/>
          <w:b/>
          <w:sz w:val="22"/>
          <w:szCs w:val="22"/>
        </w:rPr>
      </w:pPr>
    </w:p>
    <w:p w14:paraId="4802EC78">
      <w:pPr>
        <w:jc w:val="both"/>
        <w:rPr>
          <w:rFonts w:ascii="Arial" w:hAnsi="Arial" w:eastAsia="Arial" w:cs="Arial"/>
          <w:sz w:val="22"/>
          <w:szCs w:val="22"/>
        </w:rPr>
      </w:pPr>
      <w:r>
        <w:rPr>
          <w:rFonts w:ascii="Arial" w:hAnsi="Arial" w:eastAsia="Arial" w:cs="Arial"/>
          <w:b/>
          <w:sz w:val="22"/>
          <w:szCs w:val="22"/>
        </w:rPr>
        <w:t>8.3.</w:t>
      </w:r>
      <w:r>
        <w:rPr>
          <w:rFonts w:ascii="Arial" w:hAnsi="Arial" w:eastAsia="Arial" w:cs="Arial"/>
          <w:sz w:val="22"/>
          <w:szCs w:val="22"/>
        </w:rPr>
        <w:t xml:space="preserve"> Fornecer e colocar à disposição da </w:t>
      </w:r>
      <w:r>
        <w:rPr>
          <w:rFonts w:ascii="Arial" w:hAnsi="Arial" w:eastAsia="Arial" w:cs="Arial"/>
          <w:b/>
          <w:sz w:val="22"/>
          <w:szCs w:val="22"/>
        </w:rPr>
        <w:t>CONTRATADA</w:t>
      </w:r>
      <w:r>
        <w:rPr>
          <w:rFonts w:ascii="Arial" w:hAnsi="Arial" w:eastAsia="Arial" w:cs="Arial"/>
          <w:sz w:val="22"/>
          <w:szCs w:val="22"/>
        </w:rPr>
        <w:t xml:space="preserve"> todos os elementos e informações que se fizerem necessários ao efetivo cumprimento do objeto contratado. </w:t>
      </w:r>
    </w:p>
    <w:p w14:paraId="33368FB6">
      <w:pPr>
        <w:jc w:val="both"/>
        <w:rPr>
          <w:rFonts w:ascii="Arial" w:hAnsi="Arial" w:eastAsia="Arial" w:cs="Arial"/>
          <w:b/>
          <w:sz w:val="22"/>
          <w:szCs w:val="22"/>
        </w:rPr>
      </w:pPr>
    </w:p>
    <w:p w14:paraId="4F3403F8">
      <w:pPr>
        <w:jc w:val="both"/>
        <w:rPr>
          <w:rFonts w:ascii="Arial" w:hAnsi="Arial" w:eastAsia="Arial" w:cs="Arial"/>
          <w:sz w:val="22"/>
          <w:szCs w:val="22"/>
        </w:rPr>
      </w:pPr>
      <w:r>
        <w:rPr>
          <w:rFonts w:ascii="Arial" w:hAnsi="Arial" w:eastAsia="Arial" w:cs="Arial"/>
          <w:b/>
          <w:sz w:val="22"/>
          <w:szCs w:val="22"/>
        </w:rPr>
        <w:t>8.4.</w:t>
      </w:r>
      <w:r>
        <w:rPr>
          <w:rFonts w:ascii="Arial" w:hAnsi="Arial" w:eastAsia="Arial" w:cs="Arial"/>
          <w:sz w:val="22"/>
          <w:szCs w:val="22"/>
        </w:rPr>
        <w:t xml:space="preserve"> Notificar, formal e tempestivamente, a contratada sobre as irregularidades observadas no cumprimento do objeto.</w:t>
      </w:r>
    </w:p>
    <w:p w14:paraId="19892C8B">
      <w:pPr>
        <w:jc w:val="both"/>
        <w:rPr>
          <w:rFonts w:ascii="Arial" w:hAnsi="Arial" w:eastAsia="Arial" w:cs="Arial"/>
          <w:sz w:val="22"/>
          <w:szCs w:val="22"/>
        </w:rPr>
      </w:pPr>
    </w:p>
    <w:p w14:paraId="3E7E961B">
      <w:pPr>
        <w:jc w:val="both"/>
        <w:rPr>
          <w:rFonts w:ascii="Arial" w:hAnsi="Arial" w:eastAsia="Arial" w:cs="Arial"/>
          <w:sz w:val="22"/>
          <w:szCs w:val="22"/>
        </w:rPr>
      </w:pPr>
      <w:r>
        <w:rPr>
          <w:rFonts w:ascii="Arial" w:hAnsi="Arial" w:eastAsia="Arial" w:cs="Arial"/>
          <w:b/>
          <w:sz w:val="22"/>
          <w:szCs w:val="22"/>
        </w:rPr>
        <w:t>8.5.</w:t>
      </w:r>
      <w:r>
        <w:rPr>
          <w:rFonts w:ascii="Arial" w:hAnsi="Arial" w:eastAsia="Arial" w:cs="Arial"/>
          <w:sz w:val="22"/>
          <w:szCs w:val="22"/>
        </w:rPr>
        <w:t xml:space="preserve"> Notificar a contratada, por escrito e com antecedência, sobre multas, penalidades e quaisquer débitos de sua responsabilidade. </w:t>
      </w:r>
    </w:p>
    <w:p w14:paraId="195159D6">
      <w:pPr>
        <w:jc w:val="both"/>
        <w:rPr>
          <w:rFonts w:ascii="Arial" w:hAnsi="Arial" w:eastAsia="Arial" w:cs="Arial"/>
          <w:sz w:val="22"/>
          <w:szCs w:val="22"/>
        </w:rPr>
      </w:pPr>
    </w:p>
    <w:p w14:paraId="60F019EB">
      <w:pPr>
        <w:jc w:val="both"/>
        <w:rPr>
          <w:rFonts w:ascii="Arial" w:hAnsi="Arial" w:eastAsia="Arial" w:cs="Arial"/>
          <w:sz w:val="22"/>
          <w:szCs w:val="22"/>
        </w:rPr>
      </w:pPr>
      <w:r>
        <w:rPr>
          <w:rFonts w:ascii="Arial" w:hAnsi="Arial" w:eastAsia="Arial" w:cs="Arial"/>
          <w:b/>
          <w:sz w:val="22"/>
          <w:szCs w:val="22"/>
        </w:rPr>
        <w:t>8.6.</w:t>
      </w:r>
      <w:r>
        <w:rPr>
          <w:rFonts w:ascii="Arial" w:hAnsi="Arial" w:eastAsia="Arial" w:cs="Arial"/>
          <w:sz w:val="22"/>
          <w:szCs w:val="22"/>
        </w:rPr>
        <w:t xml:space="preserve"> Acompanhar a prestação dos serviços pela contratada, podendo intervir durante a sua execução, para fins de ajustes ou suspensão do fornecimento. </w:t>
      </w:r>
    </w:p>
    <w:p w14:paraId="761F2888">
      <w:pPr>
        <w:jc w:val="both"/>
        <w:rPr>
          <w:rFonts w:ascii="Arial" w:hAnsi="Arial" w:eastAsia="Arial" w:cs="Arial"/>
          <w:b/>
          <w:sz w:val="22"/>
          <w:szCs w:val="22"/>
        </w:rPr>
      </w:pPr>
    </w:p>
    <w:p w14:paraId="2462D348">
      <w:pPr>
        <w:jc w:val="both"/>
        <w:rPr>
          <w:rFonts w:ascii="Arial" w:hAnsi="Arial" w:eastAsia="Arial" w:cs="Arial"/>
          <w:sz w:val="22"/>
          <w:szCs w:val="22"/>
        </w:rPr>
      </w:pPr>
      <w:r>
        <w:rPr>
          <w:rFonts w:ascii="Arial" w:hAnsi="Arial" w:eastAsia="Arial" w:cs="Arial"/>
          <w:b/>
          <w:sz w:val="22"/>
          <w:szCs w:val="22"/>
        </w:rPr>
        <w:t>8.7.</w:t>
      </w:r>
      <w:r>
        <w:rPr>
          <w:rFonts w:ascii="Arial" w:hAnsi="Arial" w:eastAsia="Arial" w:cs="Arial"/>
          <w:sz w:val="22"/>
          <w:szCs w:val="22"/>
        </w:rPr>
        <w:t xml:space="preserve"> Fiscalizar a execução do objeto contratual através de sua unidade competente que designará um representante para esse fim fiscal do contrato, podendo, em decorrência, solicitar providências da contratada, que atenderá ou justificará de imediato, e de tudo dará ciência à Administração, conforme art. 117 da Lei nº 14.133/2021. </w:t>
      </w:r>
    </w:p>
    <w:p w14:paraId="7E503DF4">
      <w:pPr>
        <w:tabs>
          <w:tab w:val="left" w:pos="1800"/>
        </w:tabs>
        <w:jc w:val="both"/>
        <w:rPr>
          <w:rFonts w:ascii="Arial" w:hAnsi="Arial" w:eastAsia="Arial" w:cs="Arial"/>
        </w:rPr>
      </w:pPr>
      <w:r>
        <w:rPr>
          <w:rFonts w:ascii="Arial" w:hAnsi="Arial" w:eastAsia="Arial" w:cs="Arial"/>
        </w:rPr>
        <w:tab/>
      </w:r>
    </w:p>
    <w:p w14:paraId="6765C0CF">
      <w:pPr>
        <w:jc w:val="both"/>
        <w:rPr>
          <w:rFonts w:ascii="Arial" w:hAnsi="Arial" w:eastAsia="Arial" w:cs="Arial"/>
          <w:b/>
        </w:rPr>
      </w:pPr>
      <w:r>
        <w:rPr>
          <w:rFonts w:ascii="Arial" w:hAnsi="Arial" w:eastAsia="Arial" w:cs="Arial"/>
          <w:b/>
        </w:rPr>
        <w:t xml:space="preserve">8.7.1. </w:t>
      </w:r>
      <w:r>
        <w:rPr>
          <w:rFonts w:ascii="Arial" w:hAnsi="Arial" w:eastAsia="Arial" w:cs="Arial"/>
        </w:rPr>
        <w:t>O gestor do contrato (secretário da pasta solicitante dos serviços) deverá nomear, via Portaria Interna e publicar no DIORONDON, o servidor responsável pelo acompanhamento e fiscalização da execução do objeto contrato, bem como, o pagamento da nota fiscal referente ao serviço realizado pelo contratado será condicionado à apresentação do relatório do Fiscal do contrato. (conf. Recomendação Técnica nº21/2014)</w:t>
      </w:r>
    </w:p>
    <w:p w14:paraId="45A2B91D">
      <w:pPr>
        <w:jc w:val="both"/>
        <w:rPr>
          <w:rFonts w:ascii="Arial" w:hAnsi="Arial" w:eastAsia="Arial" w:cs="Arial"/>
          <w:b/>
        </w:rPr>
      </w:pPr>
    </w:p>
    <w:p w14:paraId="0EA4674D">
      <w:pPr>
        <w:jc w:val="both"/>
        <w:rPr>
          <w:rFonts w:ascii="Arial" w:hAnsi="Arial" w:eastAsia="Arial" w:cs="Arial"/>
        </w:rPr>
      </w:pPr>
      <w:r>
        <w:rPr>
          <w:rFonts w:ascii="Arial" w:hAnsi="Arial" w:eastAsia="Arial" w:cs="Arial"/>
          <w:b/>
        </w:rPr>
        <w:t>8.8.</w:t>
      </w:r>
      <w:r>
        <w:rPr>
          <w:rFonts w:ascii="Arial" w:hAnsi="Arial" w:eastAsia="Arial" w:cs="Arial"/>
        </w:rPr>
        <w:t xml:space="preserve"> A fiscalização de que trata o subitem acima não exclui nem reduz a responsabilidade da contratada pelos danos causados diretamente à contratante ou a terceiros, decorrentes de sua culpa ou dolo na execução da contratação.</w:t>
      </w:r>
    </w:p>
    <w:p w14:paraId="541BBFAD">
      <w:pPr>
        <w:jc w:val="both"/>
        <w:rPr>
          <w:rFonts w:ascii="Arial" w:hAnsi="Arial" w:eastAsia="Arial" w:cs="Arial"/>
        </w:rPr>
      </w:pPr>
    </w:p>
    <w:p w14:paraId="47952D5C">
      <w:pPr>
        <w:jc w:val="both"/>
        <w:rPr>
          <w:rFonts w:ascii="Arial" w:hAnsi="Arial" w:eastAsia="Arial" w:cs="Arial"/>
        </w:rPr>
      </w:pPr>
      <w:r>
        <w:rPr>
          <w:rFonts w:ascii="Arial" w:hAnsi="Arial" w:eastAsia="Arial" w:cs="Arial"/>
          <w:b/>
        </w:rPr>
        <w:t>8.9.</w:t>
      </w:r>
      <w:r>
        <w:rPr>
          <w:rFonts w:ascii="Arial" w:hAnsi="Arial" w:eastAsia="Arial" w:cs="Arial"/>
        </w:rPr>
        <w:t xml:space="preserve">  Aplicar as sanções administrativas contratuais pertinentes, em caso de inadimplemento; </w:t>
      </w:r>
    </w:p>
    <w:p w14:paraId="40F9F046">
      <w:pPr>
        <w:jc w:val="both"/>
        <w:rPr>
          <w:rFonts w:ascii="Arial" w:hAnsi="Arial" w:eastAsia="Arial" w:cs="Arial"/>
        </w:rPr>
      </w:pPr>
    </w:p>
    <w:p w14:paraId="4F837CB4">
      <w:pPr>
        <w:jc w:val="both"/>
        <w:rPr>
          <w:rFonts w:ascii="Arial" w:hAnsi="Arial" w:eastAsia="Arial" w:cs="Arial"/>
        </w:rPr>
      </w:pPr>
      <w:r>
        <w:rPr>
          <w:rFonts w:ascii="Arial" w:hAnsi="Arial" w:eastAsia="Arial" w:cs="Arial"/>
          <w:b/>
        </w:rPr>
        <w:t xml:space="preserve">8.10. </w:t>
      </w:r>
      <w:r>
        <w:rPr>
          <w:rFonts w:ascii="Arial" w:hAnsi="Arial" w:eastAsia="Arial" w:cs="Arial"/>
        </w:rPr>
        <w:t xml:space="preserve"> Rejeitar, no todo ou em parte, os materiais/serviços entregues em desacordo com o contrato; </w:t>
      </w:r>
    </w:p>
    <w:p w14:paraId="0253E5FA">
      <w:pPr>
        <w:jc w:val="both"/>
        <w:rPr>
          <w:rFonts w:ascii="Arial" w:hAnsi="Arial" w:eastAsia="Arial" w:cs="Arial"/>
          <w:b/>
        </w:rPr>
      </w:pPr>
    </w:p>
    <w:p w14:paraId="67AA6077">
      <w:pPr>
        <w:jc w:val="both"/>
        <w:rPr>
          <w:rFonts w:ascii="Arial" w:hAnsi="Arial" w:eastAsia="Arial" w:cs="Arial"/>
          <w:b/>
        </w:rPr>
      </w:pPr>
      <w:r>
        <w:rPr>
          <w:rFonts w:ascii="Arial" w:hAnsi="Arial" w:eastAsia="Arial" w:cs="Arial"/>
          <w:b/>
        </w:rPr>
        <w:t xml:space="preserve">CLÁUSULA NONA – DA DOTAÇÃO ORÇAMENTÁRIA: </w:t>
      </w:r>
    </w:p>
    <w:p w14:paraId="0E439B5D">
      <w:pPr>
        <w:jc w:val="both"/>
        <w:rPr>
          <w:rFonts w:ascii="Arial" w:hAnsi="Arial" w:eastAsia="Arial" w:cs="Arial"/>
          <w:b/>
        </w:rPr>
      </w:pPr>
    </w:p>
    <w:p w14:paraId="52ABF901">
      <w:pPr>
        <w:jc w:val="both"/>
        <w:rPr>
          <w:rFonts w:ascii="Arial" w:hAnsi="Arial" w:eastAsia="Arial" w:cs="Arial"/>
        </w:rPr>
      </w:pPr>
      <w:r>
        <w:rPr>
          <w:rFonts w:ascii="Arial" w:hAnsi="Arial" w:eastAsia="Arial" w:cs="Arial"/>
          <w:b/>
        </w:rPr>
        <w:t>9.1.</w:t>
      </w:r>
      <w:r>
        <w:rPr>
          <w:rFonts w:ascii="Arial" w:hAnsi="Arial" w:eastAsia="Arial" w:cs="Arial"/>
        </w:rPr>
        <w:t xml:space="preserve"> Em licitação para registro de preços não é necessário indicar a dotação orçamentária, que somente será exigida para a formalização do contrato ou outro instrumento hábil. (Art. 299 § 2</w:t>
      </w:r>
      <w:r>
        <w:rPr>
          <w:rFonts w:ascii="Arial" w:hAnsi="Arial" w:eastAsia="Arial" w:cs="Arial"/>
          <w:u w:val="single"/>
          <w:vertAlign w:val="superscript"/>
        </w:rPr>
        <w:t>o</w:t>
      </w:r>
      <w:r>
        <w:rPr>
          <w:rFonts w:ascii="Arial" w:hAnsi="Arial" w:eastAsia="Arial" w:cs="Arial"/>
        </w:rPr>
        <w:t xml:space="preserve"> do Decreto Municipal n.º 11.685, de 18 de setembro de 2023).  </w:t>
      </w:r>
    </w:p>
    <w:p w14:paraId="2A7C7A60">
      <w:pPr>
        <w:rPr>
          <w:rFonts w:ascii="Arial" w:hAnsi="Arial" w:eastAsia="Arial" w:cs="Arial"/>
          <w:b/>
        </w:rPr>
      </w:pPr>
    </w:p>
    <w:p w14:paraId="046F74A5">
      <w:pPr>
        <w:rPr>
          <w:rFonts w:ascii="Arial" w:hAnsi="Arial" w:eastAsia="Arial" w:cs="Arial"/>
          <w:b/>
        </w:rPr>
      </w:pPr>
      <w:r>
        <w:rPr>
          <w:rFonts w:ascii="Arial" w:hAnsi="Arial" w:eastAsia="Arial" w:cs="Arial"/>
          <w:b/>
        </w:rPr>
        <w:t>CLÁUSULA DÉCIMA - DO VALOR E DAS CONDIÇÕES DE PAGAMENTO:</w:t>
      </w:r>
    </w:p>
    <w:p w14:paraId="42DA8128">
      <w:pPr>
        <w:jc w:val="both"/>
        <w:rPr>
          <w:rFonts w:ascii="Arial" w:hAnsi="Arial" w:eastAsia="Arial" w:cs="Arial"/>
          <w:b/>
        </w:rPr>
      </w:pPr>
    </w:p>
    <w:p w14:paraId="5399C39B">
      <w:pPr>
        <w:jc w:val="both"/>
        <w:rPr>
          <w:rFonts w:ascii="Arial" w:hAnsi="Arial" w:eastAsia="Arial" w:cs="Arial"/>
        </w:rPr>
      </w:pPr>
      <w:r>
        <w:rPr>
          <w:rFonts w:ascii="Arial" w:hAnsi="Arial" w:eastAsia="Arial" w:cs="Arial"/>
          <w:b/>
        </w:rPr>
        <w:t>10.1.</w:t>
      </w:r>
      <w:r>
        <w:rPr>
          <w:rFonts w:ascii="Arial" w:hAnsi="Arial" w:eastAsia="Arial" w:cs="Arial"/>
        </w:rPr>
        <w:t xml:space="preserve"> O valor global do presente Contrato é de </w:t>
      </w:r>
      <w:r>
        <w:rPr>
          <w:rFonts w:ascii="Arial" w:hAnsi="Arial" w:eastAsia="Arial" w:cs="Arial"/>
          <w:b/>
        </w:rPr>
        <w:t xml:space="preserve">R$ XXXXXX (..........................................), </w:t>
      </w:r>
      <w:r>
        <w:rPr>
          <w:rFonts w:ascii="Arial" w:hAnsi="Arial" w:eastAsia="Arial" w:cs="Arial"/>
        </w:rPr>
        <w:t>de acordo com a Proposta Comercial da Contratada, a serem pagos, mediante apresentação de nota fiscal, na Tesouraria desta Prefeitura;</w:t>
      </w:r>
    </w:p>
    <w:p w14:paraId="4CF1F69C">
      <w:pPr>
        <w:jc w:val="both"/>
        <w:rPr>
          <w:rFonts w:ascii="Arial" w:hAnsi="Arial" w:eastAsia="Arial" w:cs="Arial"/>
          <w:b/>
        </w:rPr>
      </w:pPr>
    </w:p>
    <w:p w14:paraId="798EAEB0">
      <w:pPr>
        <w:jc w:val="both"/>
        <w:rPr>
          <w:rFonts w:ascii="Arial" w:hAnsi="Arial" w:eastAsia="Arial" w:cs="Arial"/>
        </w:rPr>
      </w:pPr>
      <w:r>
        <w:rPr>
          <w:rFonts w:ascii="Arial" w:hAnsi="Arial" w:eastAsia="Arial" w:cs="Arial"/>
          <w:b/>
        </w:rPr>
        <w:t>10.2.</w:t>
      </w:r>
      <w:r>
        <w:rPr>
          <w:rFonts w:ascii="Arial" w:hAnsi="Arial" w:eastAsia="Arial" w:cs="Arial"/>
        </w:rPr>
        <w:t xml:space="preserve"> Nos preços supracitados estão incluídas todas as despesas relativas ao objeto contratado (tributos, seguros, encargos sociais, etc.). </w:t>
      </w:r>
    </w:p>
    <w:p w14:paraId="71D084FB">
      <w:pPr>
        <w:jc w:val="both"/>
        <w:rPr>
          <w:rFonts w:ascii="Arial" w:hAnsi="Arial" w:eastAsia="Arial" w:cs="Arial"/>
        </w:rPr>
      </w:pPr>
    </w:p>
    <w:p w14:paraId="678A7283">
      <w:pPr>
        <w:jc w:val="both"/>
        <w:rPr>
          <w:rFonts w:ascii="Arial" w:hAnsi="Arial" w:eastAsia="Arial" w:cs="Arial"/>
        </w:rPr>
      </w:pPr>
      <w:r>
        <w:rPr>
          <w:rFonts w:ascii="Arial" w:hAnsi="Arial" w:eastAsia="Arial" w:cs="Arial"/>
          <w:b/>
        </w:rPr>
        <w:t>10.3.</w:t>
      </w:r>
      <w:r>
        <w:rPr>
          <w:rFonts w:ascii="Arial" w:hAnsi="Arial" w:eastAsia="Arial" w:cs="Arial"/>
        </w:rPr>
        <w:t xml:space="preserve"> O pagamento será efetuado mediante ordem bancária emitida em favor da empresa contratada, após o recebimento definitivo dos serviços, até o 30º (trigésimo) dia, contados a partir da data de entrega da Nota Fiscal (ELETRÔNICA), conforme exigência prevista no Artigo 180, do RICMS (Regulamento do ICMS) a ser processada em duas vias, com todos os campos preenchidos discriminando valores unitários e totais dos itens, sem rasuras e devidamente atestada pelo servidor responsável pelo recebimento do serviço e/ou material da Secretaria Municipal solicitante, constando, ainda, o número do banco, da agência e da conta corrente onde deseja receber seu crédito.</w:t>
      </w:r>
    </w:p>
    <w:p w14:paraId="455809FE">
      <w:pPr>
        <w:jc w:val="both"/>
        <w:rPr>
          <w:rFonts w:ascii="Arial" w:hAnsi="Arial" w:eastAsia="Arial" w:cs="Arial"/>
          <w:b/>
        </w:rPr>
      </w:pPr>
    </w:p>
    <w:p w14:paraId="5D843F85">
      <w:pPr>
        <w:jc w:val="both"/>
        <w:rPr>
          <w:rFonts w:ascii="Arial" w:hAnsi="Arial" w:eastAsia="Arial" w:cs="Arial"/>
        </w:rPr>
      </w:pPr>
      <w:r>
        <w:rPr>
          <w:rFonts w:ascii="Arial" w:hAnsi="Arial" w:eastAsia="Arial" w:cs="Arial"/>
          <w:b/>
        </w:rPr>
        <w:t>10.3.1.</w:t>
      </w:r>
      <w:r>
        <w:rPr>
          <w:rFonts w:ascii="Arial" w:hAnsi="Arial" w:eastAsia="Arial" w:cs="Arial"/>
        </w:rPr>
        <w:t xml:space="preserve"> Apresentar, junto com a Nota Fiscal, as certidões que comprovem a regularidade com as condições de habilitação e qualificação exigidas na licitação conforme ao disposto n</w:t>
      </w:r>
      <w:r>
        <w:rPr>
          <w:rFonts w:ascii="Arial" w:hAnsi="Arial" w:eastAsia="Arial" w:cs="Arial"/>
          <w:b/>
        </w:rPr>
        <w:t xml:space="preserve">o artigo 55 inciso </w:t>
      </w:r>
      <w:r>
        <w:rPr>
          <w:rFonts w:ascii="Arial" w:hAnsi="Arial" w:eastAsia="Arial" w:cs="Arial"/>
        </w:rPr>
        <w:t xml:space="preserve">XIII </w:t>
      </w:r>
      <w:r>
        <w:fldChar w:fldCharType="begin"/>
      </w:r>
      <w:r>
        <w:instrText xml:space="preserve"> HYPERLINK "http://legislacao.planalto.gov.br/legisla/legislacao.nsf/Viw_Identificacao/lei%208.666-1993?OpenDocument" \h </w:instrText>
      </w:r>
      <w:r>
        <w:fldChar w:fldCharType="separate"/>
      </w:r>
      <w:r>
        <w:rPr>
          <w:rFonts w:ascii="Arial" w:hAnsi="Arial" w:eastAsia="Arial" w:cs="Arial"/>
        </w:rPr>
        <w:t>Lei nº 8.666, de 21 de junho de 1993</w:t>
      </w:r>
      <w:r>
        <w:rPr>
          <w:rFonts w:ascii="Arial" w:hAnsi="Arial" w:eastAsia="Arial" w:cs="Arial"/>
        </w:rPr>
        <w:fldChar w:fldCharType="end"/>
      </w:r>
      <w:r>
        <w:rPr>
          <w:rFonts w:ascii="Arial" w:hAnsi="Arial" w:eastAsia="Arial" w:cs="Arial"/>
        </w:rPr>
        <w:t>.</w:t>
      </w:r>
    </w:p>
    <w:p w14:paraId="3585C0E3">
      <w:pPr>
        <w:ind w:left="1134"/>
        <w:jc w:val="both"/>
        <w:rPr>
          <w:rFonts w:ascii="Arial" w:hAnsi="Arial" w:eastAsia="Arial" w:cs="Arial"/>
        </w:rPr>
      </w:pPr>
      <w:r>
        <w:rPr>
          <w:rFonts w:ascii="Arial" w:hAnsi="Arial" w:eastAsia="Arial" w:cs="Arial"/>
        </w:rPr>
        <w:t xml:space="preserve"> “XIII - a obrigação do contratado de manter, durante toda a execução do contrato, em compatibilidade com as obrigações por ele assumidas, todas as condições de habilitação e qualificação exigidas na licitação”.</w:t>
      </w:r>
    </w:p>
    <w:p w14:paraId="674589B2">
      <w:pPr>
        <w:jc w:val="both"/>
        <w:rPr>
          <w:rFonts w:ascii="Arial" w:hAnsi="Arial" w:eastAsia="Arial" w:cs="Arial"/>
        </w:rPr>
      </w:pPr>
    </w:p>
    <w:p w14:paraId="71C06B92">
      <w:pPr>
        <w:jc w:val="both"/>
        <w:rPr>
          <w:rFonts w:ascii="Arial" w:hAnsi="Arial" w:eastAsia="Arial" w:cs="Arial"/>
        </w:rPr>
      </w:pPr>
      <w:r>
        <w:rPr>
          <w:rFonts w:ascii="Arial" w:hAnsi="Arial" w:eastAsia="Arial" w:cs="Arial"/>
          <w:b/>
        </w:rPr>
        <w:t xml:space="preserve">10.3.2. </w:t>
      </w:r>
      <w:r>
        <w:rPr>
          <w:rFonts w:ascii="Arial" w:hAnsi="Arial" w:eastAsia="Arial" w:cs="Arial"/>
        </w:rPr>
        <w:t xml:space="preserve">Constatando-se qualquer incorreção na Nota Fiscal, bem como, qualquer outra circunstância que desaconselhe o seu pagamento, o prazo constante no item 10.3 fluirá a partir da respectiva data de regularização. </w:t>
      </w:r>
    </w:p>
    <w:p w14:paraId="7DEBAE2E">
      <w:pPr>
        <w:jc w:val="both"/>
        <w:rPr>
          <w:rFonts w:ascii="Arial" w:hAnsi="Arial" w:eastAsia="Arial" w:cs="Arial"/>
          <w:b/>
        </w:rPr>
      </w:pPr>
    </w:p>
    <w:p w14:paraId="55861B83">
      <w:pPr>
        <w:jc w:val="both"/>
        <w:rPr>
          <w:rFonts w:ascii="Arial" w:hAnsi="Arial" w:eastAsia="Arial" w:cs="Arial"/>
        </w:rPr>
      </w:pPr>
      <w:r>
        <w:rPr>
          <w:rFonts w:ascii="Arial" w:hAnsi="Arial" w:eastAsia="Arial" w:cs="Arial"/>
          <w:b/>
        </w:rPr>
        <w:t>10.4.</w:t>
      </w:r>
      <w:r>
        <w:rPr>
          <w:rFonts w:ascii="Arial" w:hAnsi="Arial" w:eastAsia="Arial" w:cs="Arial"/>
        </w:rPr>
        <w:t xml:space="preserve"> Nenhum pagamento será efetuado à Contratada enquanto pendente de liquidação qualquer obrigação, não podendo este fato ensejar direito de reajustamento de preços ou a atualização monetária.</w:t>
      </w:r>
    </w:p>
    <w:p w14:paraId="14DA53B9">
      <w:pPr>
        <w:jc w:val="both"/>
        <w:rPr>
          <w:rFonts w:ascii="Arial" w:hAnsi="Arial" w:eastAsia="Arial" w:cs="Arial"/>
          <w:b/>
        </w:rPr>
      </w:pPr>
    </w:p>
    <w:p w14:paraId="16CA9F99">
      <w:pPr>
        <w:jc w:val="both"/>
        <w:rPr>
          <w:rFonts w:ascii="Arial" w:hAnsi="Arial" w:eastAsia="Arial" w:cs="Arial"/>
        </w:rPr>
      </w:pPr>
      <w:r>
        <w:rPr>
          <w:rFonts w:ascii="Arial" w:hAnsi="Arial" w:eastAsia="Arial" w:cs="Arial"/>
          <w:b/>
        </w:rPr>
        <w:t>10.5.</w:t>
      </w:r>
      <w:r>
        <w:rPr>
          <w:rFonts w:ascii="Arial" w:hAnsi="Arial" w:eastAsia="Arial" w:cs="Arial"/>
        </w:rPr>
        <w:t xml:space="preserve"> Os pagamentos não realizados dentro do prazo, motivados pela CONTRATADA, não serão geradores de direito a reajustamento de preços. </w:t>
      </w:r>
    </w:p>
    <w:p w14:paraId="76597DAE">
      <w:pPr>
        <w:jc w:val="both"/>
        <w:rPr>
          <w:rFonts w:ascii="Arial" w:hAnsi="Arial" w:eastAsia="Arial" w:cs="Arial"/>
        </w:rPr>
      </w:pPr>
    </w:p>
    <w:p w14:paraId="623778E4">
      <w:pPr>
        <w:jc w:val="both"/>
        <w:rPr>
          <w:rFonts w:ascii="Arial" w:hAnsi="Arial" w:eastAsia="Arial" w:cs="Arial"/>
          <w:b/>
          <w:u w:val="single"/>
        </w:rPr>
      </w:pPr>
      <w:r>
        <w:rPr>
          <w:rFonts w:ascii="Arial" w:hAnsi="Arial" w:eastAsia="Arial" w:cs="Arial"/>
          <w:b/>
        </w:rPr>
        <w:t>10.6.</w:t>
      </w:r>
      <w:r>
        <w:rPr>
          <w:rFonts w:ascii="Arial" w:hAnsi="Arial" w:eastAsia="Arial" w:cs="Arial"/>
        </w:rPr>
        <w:t xml:space="preserve"> As notas fiscais deverão estar devidamente atestada (s) pelos Secretários responsáveis pelas Secretarias solicitantes;</w:t>
      </w:r>
      <w:r>
        <w:rPr>
          <w:rFonts w:ascii="Arial" w:hAnsi="Arial" w:eastAsia="Arial" w:cs="Arial"/>
          <w:b/>
          <w:u w:val="single"/>
        </w:rPr>
        <w:t xml:space="preserve"> </w:t>
      </w:r>
    </w:p>
    <w:p w14:paraId="0525A643">
      <w:pPr>
        <w:jc w:val="both"/>
        <w:rPr>
          <w:rFonts w:ascii="Arial" w:hAnsi="Arial" w:eastAsia="Arial" w:cs="Arial"/>
          <w:b/>
        </w:rPr>
      </w:pPr>
    </w:p>
    <w:p w14:paraId="10680D3E">
      <w:pPr>
        <w:jc w:val="both"/>
        <w:rPr>
          <w:rFonts w:ascii="Arial" w:hAnsi="Arial" w:eastAsia="Arial" w:cs="Arial"/>
          <w:b/>
        </w:rPr>
      </w:pPr>
      <w:r>
        <w:rPr>
          <w:rFonts w:ascii="Arial" w:hAnsi="Arial" w:eastAsia="Arial" w:cs="Arial"/>
          <w:b/>
        </w:rPr>
        <w:t>10.7. As Notas Fiscais deverão ser emitidas até o dia 25 de cada mês, conforme disposto no artigo 3º, § 1º da Instrução Normativa n. 03/2008. Nas Notas Fiscais deverão constar o número do processo e da modalidade da licitação, bem como a Secretaria solicitante.</w:t>
      </w:r>
    </w:p>
    <w:p w14:paraId="02D0C025">
      <w:pPr>
        <w:jc w:val="both"/>
        <w:rPr>
          <w:rFonts w:ascii="Arial" w:hAnsi="Arial" w:eastAsia="Arial" w:cs="Arial"/>
          <w:b/>
        </w:rPr>
      </w:pPr>
    </w:p>
    <w:p w14:paraId="1D67FCE6">
      <w:pPr>
        <w:jc w:val="both"/>
        <w:rPr>
          <w:rFonts w:ascii="Arial" w:hAnsi="Arial" w:eastAsia="Arial" w:cs="Arial"/>
        </w:rPr>
      </w:pPr>
      <w:r>
        <w:rPr>
          <w:rFonts w:ascii="Arial" w:hAnsi="Arial" w:eastAsia="Arial" w:cs="Arial"/>
          <w:b/>
        </w:rPr>
        <w:t>10.8.</w:t>
      </w:r>
      <w:r>
        <w:rPr>
          <w:rFonts w:ascii="Arial" w:hAnsi="Arial" w:eastAsia="Arial" w:cs="Arial"/>
        </w:rPr>
        <w:t xml:space="preserve"> O Município de Rondonópolis-MT, só autorizará a realização dos pagamentos, se houver por parte do setor requisitante dos serviços, o necessário ATESTO dos serviços entregues pela empresa vencedora, no verso da Nota Fiscal.</w:t>
      </w:r>
    </w:p>
    <w:p w14:paraId="395DB28A">
      <w:pPr>
        <w:jc w:val="both"/>
        <w:rPr>
          <w:rFonts w:ascii="Arial" w:hAnsi="Arial" w:eastAsia="Arial" w:cs="Arial"/>
        </w:rPr>
      </w:pPr>
    </w:p>
    <w:p w14:paraId="5A971E57">
      <w:pPr>
        <w:jc w:val="both"/>
        <w:rPr>
          <w:rFonts w:ascii="Arial" w:hAnsi="Arial" w:eastAsia="Arial" w:cs="Arial"/>
        </w:rPr>
      </w:pPr>
      <w:r>
        <w:rPr>
          <w:rFonts w:ascii="Arial" w:hAnsi="Arial" w:eastAsia="Arial" w:cs="Arial"/>
          <w:b/>
        </w:rPr>
        <w:t xml:space="preserve">10.9. </w:t>
      </w:r>
      <w:r>
        <w:rPr>
          <w:rFonts w:ascii="Arial" w:hAnsi="Arial" w:eastAsia="Arial" w:cs="Arial"/>
        </w:rPr>
        <w:t>Quando do pagamento, será efetuada a retenção tributária prevista na legislação aplicável.</w:t>
      </w:r>
    </w:p>
    <w:p w14:paraId="7273D102">
      <w:pPr>
        <w:jc w:val="both"/>
        <w:rPr>
          <w:rFonts w:ascii="Arial" w:hAnsi="Arial" w:eastAsia="Arial" w:cs="Arial"/>
        </w:rPr>
      </w:pPr>
    </w:p>
    <w:p w14:paraId="60263F06">
      <w:pPr>
        <w:tabs>
          <w:tab w:val="left" w:pos="1440"/>
        </w:tabs>
        <w:jc w:val="both"/>
        <w:rPr>
          <w:rFonts w:ascii="Arial" w:hAnsi="Arial" w:eastAsia="Arial" w:cs="Arial"/>
        </w:rPr>
      </w:pPr>
      <w:r>
        <w:rPr>
          <w:rFonts w:ascii="Arial" w:hAnsi="Arial" w:eastAsia="Arial" w:cs="Arial"/>
          <w:b/>
        </w:rPr>
        <w:t xml:space="preserve">10.9.1. </w:t>
      </w:r>
      <w:r>
        <w:rPr>
          <w:rFonts w:ascii="Arial" w:hAnsi="Arial" w:eastAsia="Arial" w:cs="Arial"/>
        </w:rPr>
        <w:t>A Contratada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364CA86A">
      <w:pPr>
        <w:tabs>
          <w:tab w:val="left" w:pos="1440"/>
        </w:tabs>
        <w:jc w:val="both"/>
        <w:rPr>
          <w:rFonts w:ascii="Arial" w:hAnsi="Arial" w:eastAsia="Arial" w:cs="Arial"/>
        </w:rPr>
      </w:pPr>
    </w:p>
    <w:p w14:paraId="35E5BF2D">
      <w:pPr>
        <w:jc w:val="both"/>
        <w:rPr>
          <w:rFonts w:ascii="Arial" w:hAnsi="Arial" w:eastAsia="Arial" w:cs="Arial"/>
        </w:rPr>
      </w:pPr>
      <w:r>
        <w:rPr>
          <w:rFonts w:ascii="Arial" w:hAnsi="Arial" w:eastAsia="Arial" w:cs="Arial"/>
          <w:b/>
        </w:rPr>
        <w:t>10.10.</w:t>
      </w:r>
      <w:r>
        <w:rPr>
          <w:rFonts w:ascii="Arial" w:hAnsi="Arial" w:eastAsia="Arial" w:cs="Arial"/>
        </w:rPr>
        <w:t xml:space="preserve"> A liquidação e o pagamento não isentam o contratado das suas responsabilidades e obrigações vinculadas ao fornecimento, especialmente àquelas relacionadas à qualidade e garantia dos produtos/serviços, tampouco implicará aceitação definitiva do fornecimento.</w:t>
      </w:r>
    </w:p>
    <w:p w14:paraId="49E404ED">
      <w:pPr>
        <w:jc w:val="both"/>
        <w:rPr>
          <w:rFonts w:ascii="Arial" w:hAnsi="Arial" w:eastAsia="Arial" w:cs="Arial"/>
        </w:rPr>
      </w:pPr>
    </w:p>
    <w:p w14:paraId="4B9DE14C">
      <w:pPr>
        <w:jc w:val="both"/>
        <w:rPr>
          <w:rFonts w:ascii="Arial" w:hAnsi="Arial" w:eastAsia="Arial" w:cs="Arial"/>
        </w:rPr>
      </w:pPr>
      <w:r>
        <w:rPr>
          <w:rFonts w:ascii="Arial" w:hAnsi="Arial" w:eastAsia="Arial" w:cs="Arial"/>
          <w:b/>
        </w:rPr>
        <w:t>10.11.</w:t>
      </w:r>
      <w:r>
        <w:rPr>
          <w:rFonts w:ascii="Arial" w:hAnsi="Arial" w:eastAsia="Arial" w:cs="Arial"/>
        </w:rPr>
        <w:t xml:space="preserve"> As despesas bancárias decorrentes de transferência de valores para outras praças, serão de responsabilidade do contratado.</w:t>
      </w:r>
    </w:p>
    <w:p w14:paraId="02D8FB5A">
      <w:pPr>
        <w:jc w:val="both"/>
        <w:rPr>
          <w:rFonts w:ascii="Arial" w:hAnsi="Arial" w:eastAsia="Arial" w:cs="Arial"/>
          <w:b/>
        </w:rPr>
      </w:pPr>
    </w:p>
    <w:p w14:paraId="592F5DE5">
      <w:pPr>
        <w:jc w:val="both"/>
        <w:rPr>
          <w:rFonts w:ascii="Arial" w:hAnsi="Arial" w:eastAsia="Arial" w:cs="Arial"/>
          <w:b/>
        </w:rPr>
      </w:pPr>
      <w:r>
        <w:rPr>
          <w:rFonts w:ascii="Arial" w:hAnsi="Arial" w:eastAsia="Arial" w:cs="Arial"/>
          <w:b/>
        </w:rPr>
        <w:t>CLÁUSULA DÉCIMA PRIMEIRA - REAJUSTE – REVISÃO DE PREÇOS</w:t>
      </w:r>
    </w:p>
    <w:p w14:paraId="09320EDC">
      <w:pPr>
        <w:jc w:val="both"/>
        <w:rPr>
          <w:rFonts w:ascii="Arial" w:hAnsi="Arial" w:eastAsia="Arial" w:cs="Arial"/>
          <w:b/>
        </w:rPr>
      </w:pPr>
    </w:p>
    <w:p w14:paraId="6070D148">
      <w:pPr>
        <w:jc w:val="both"/>
        <w:rPr>
          <w:rFonts w:ascii="Arial" w:hAnsi="Arial" w:eastAsia="Arial" w:cs="Arial"/>
        </w:rPr>
      </w:pPr>
      <w:r>
        <w:rPr>
          <w:rFonts w:ascii="Arial" w:hAnsi="Arial" w:eastAsia="Arial" w:cs="Arial"/>
          <w:b/>
        </w:rPr>
        <w:t>11.1.</w:t>
      </w:r>
      <w:r>
        <w:rPr>
          <w:rFonts w:ascii="Arial" w:hAnsi="Arial" w:eastAsia="Arial" w:cs="Arial"/>
        </w:rPr>
        <w:t xml:space="preserve"> Os preços inicialmente contratados são fixos e irreajustáveis pelo prazo de um ano contado da data do orçamento estimado.</w:t>
      </w:r>
    </w:p>
    <w:p w14:paraId="63199C4F">
      <w:pPr>
        <w:jc w:val="both"/>
        <w:rPr>
          <w:rFonts w:ascii="Arial" w:hAnsi="Arial" w:eastAsia="Arial" w:cs="Arial"/>
        </w:rPr>
      </w:pPr>
    </w:p>
    <w:p w14:paraId="688E64C7">
      <w:pPr>
        <w:widowControl w:val="0"/>
        <w:tabs>
          <w:tab w:val="left" w:pos="426"/>
        </w:tabs>
        <w:jc w:val="both"/>
        <w:rPr>
          <w:rFonts w:ascii="Arial" w:hAnsi="Arial" w:eastAsia="Arial" w:cs="Arial"/>
          <w:color w:val="000000"/>
        </w:rPr>
      </w:pPr>
      <w:r>
        <w:rPr>
          <w:rFonts w:ascii="Arial" w:hAnsi="Arial" w:eastAsia="Arial" w:cs="Arial"/>
          <w:b/>
          <w:color w:val="000000"/>
        </w:rPr>
        <w:t>11.1.1.</w:t>
      </w:r>
      <w:r>
        <w:rPr>
          <w:rFonts w:ascii="Arial" w:hAnsi="Arial" w:eastAsia="Arial" w:cs="Arial"/>
          <w:color w:val="000000"/>
        </w:rPr>
        <w:t xml:space="preserve"> Considera-se preço registrado aquele atribuído ao produto, incluindo todas as despesas tais como: tributos (impostos, taxas, emolumentos, contribuições fiscais e para fiscais) e qualquer despesa, acessória e/ou complementar e outras não especificadas neste edital, mas que incidam no cumprimento das obrigações assumidas pela empresa detentora da Ata na execução da mesma.</w:t>
      </w:r>
    </w:p>
    <w:p w14:paraId="39BD1D94">
      <w:pPr>
        <w:jc w:val="both"/>
        <w:rPr>
          <w:rFonts w:ascii="Arial" w:hAnsi="Arial" w:eastAsia="Arial" w:cs="Arial"/>
        </w:rPr>
      </w:pPr>
    </w:p>
    <w:p w14:paraId="27249733">
      <w:pPr>
        <w:jc w:val="both"/>
        <w:rPr>
          <w:rFonts w:ascii="Arial" w:hAnsi="Arial" w:eastAsia="Arial" w:cs="Arial"/>
        </w:rPr>
      </w:pPr>
      <w:r>
        <w:rPr>
          <w:rFonts w:ascii="Arial" w:hAnsi="Arial" w:eastAsia="Arial" w:cs="Arial"/>
          <w:b/>
        </w:rPr>
        <w:t>11.2.</w:t>
      </w:r>
      <w:r>
        <w:rPr>
          <w:rFonts w:ascii="Arial" w:hAnsi="Arial" w:eastAsia="Arial" w:cs="Arial"/>
        </w:rPr>
        <w:t xml:space="preserve"> Após o intervalo de um ano, os preços iniciais serão reajustados por meio da aplicação do Índice Nacional de Preços ao Consumidor Amplo (IPCA), divulgado pelo Instituto Brasileiro de Geografia e Estatística – IBGE.</w:t>
      </w:r>
    </w:p>
    <w:p w14:paraId="41C9509A">
      <w:pPr>
        <w:jc w:val="both"/>
        <w:rPr>
          <w:rFonts w:ascii="Arial" w:hAnsi="Arial" w:eastAsia="Arial" w:cs="Arial"/>
        </w:rPr>
      </w:pPr>
    </w:p>
    <w:p w14:paraId="6325EBF3">
      <w:pPr>
        <w:jc w:val="both"/>
        <w:rPr>
          <w:rFonts w:ascii="Arial" w:hAnsi="Arial" w:eastAsia="Arial" w:cs="Arial"/>
        </w:rPr>
      </w:pPr>
      <w:r>
        <w:rPr>
          <w:rFonts w:ascii="Arial" w:hAnsi="Arial" w:eastAsia="Arial" w:cs="Arial"/>
          <w:b/>
        </w:rPr>
        <w:t>11.3.</w:t>
      </w:r>
      <w:r>
        <w:rPr>
          <w:rFonts w:ascii="Arial" w:hAnsi="Arial" w:eastAsia="Arial" w:cs="Arial"/>
        </w:rPr>
        <w:t xml:space="preserve"> Os reajustes deverão ser precedidos de solicitação do contratado, acompanhada de memorial do cálculo.</w:t>
      </w:r>
    </w:p>
    <w:p w14:paraId="40D9B879">
      <w:pPr>
        <w:jc w:val="both"/>
        <w:rPr>
          <w:rFonts w:ascii="Arial" w:hAnsi="Arial" w:eastAsia="Arial" w:cs="Arial"/>
        </w:rPr>
      </w:pPr>
    </w:p>
    <w:p w14:paraId="7B86C2B6">
      <w:pPr>
        <w:jc w:val="both"/>
        <w:rPr>
          <w:rFonts w:ascii="Arial" w:hAnsi="Arial" w:eastAsia="Arial" w:cs="Arial"/>
        </w:rPr>
      </w:pPr>
      <w:r>
        <w:rPr>
          <w:rFonts w:ascii="Arial" w:hAnsi="Arial" w:eastAsia="Arial" w:cs="Arial"/>
          <w:b/>
        </w:rPr>
        <w:t>11.4.</w:t>
      </w:r>
      <w:r>
        <w:rPr>
          <w:rFonts w:ascii="Arial" w:hAnsi="Arial" w:eastAsia="Arial" w:cs="Arial"/>
        </w:rPr>
        <w:t xml:space="preserve"> Independentemente do requerimento de reajuste formulado pelo contratado, o contratante verificará, a cada anualidade, se houve deflação do índice adotado que justifique o recálculo dos custos em valor menor, promovendo, em caso positivo, a redução dos valores correspondentes da planilha contratual.</w:t>
      </w:r>
    </w:p>
    <w:p w14:paraId="7BE8A844">
      <w:pPr>
        <w:jc w:val="both"/>
        <w:rPr>
          <w:rFonts w:ascii="Arial" w:hAnsi="Arial" w:eastAsia="Arial" w:cs="Arial"/>
        </w:rPr>
      </w:pPr>
    </w:p>
    <w:p w14:paraId="278C2520">
      <w:pPr>
        <w:jc w:val="both"/>
        <w:rPr>
          <w:rFonts w:ascii="Arial" w:hAnsi="Arial" w:eastAsia="Arial" w:cs="Arial"/>
        </w:rPr>
      </w:pPr>
      <w:r>
        <w:rPr>
          <w:rFonts w:ascii="Arial" w:hAnsi="Arial" w:eastAsia="Arial" w:cs="Arial"/>
          <w:b/>
        </w:rPr>
        <w:t>11.5.</w:t>
      </w:r>
      <w:r>
        <w:rPr>
          <w:rFonts w:ascii="Arial" w:hAnsi="Arial" w:eastAsia="Arial" w:cs="Arial"/>
        </w:rPr>
        <w:t xml:space="preserve"> Nos reajustes subsequentes ao primeiro, o intervalo mínimo de um ano será contado a partir dos efeitos financeiros do último reajuste.</w:t>
      </w:r>
    </w:p>
    <w:p w14:paraId="4679102C">
      <w:pPr>
        <w:jc w:val="both"/>
        <w:rPr>
          <w:rFonts w:ascii="Arial" w:hAnsi="Arial" w:eastAsia="Arial" w:cs="Arial"/>
          <w:b/>
        </w:rPr>
      </w:pPr>
    </w:p>
    <w:p w14:paraId="2D6E2FC4">
      <w:pPr>
        <w:jc w:val="both"/>
        <w:rPr>
          <w:rFonts w:ascii="Arial" w:hAnsi="Arial" w:eastAsia="Arial" w:cs="Arial"/>
        </w:rPr>
      </w:pPr>
      <w:r>
        <w:rPr>
          <w:rFonts w:ascii="Arial" w:hAnsi="Arial" w:eastAsia="Arial" w:cs="Arial"/>
          <w:b/>
        </w:rPr>
        <w:t>11.6.</w:t>
      </w:r>
      <w:r>
        <w:rPr>
          <w:rFonts w:ascii="Arial" w:hAnsi="Arial" w:eastAsia="Arial" w:cs="Arial"/>
        </w:rPr>
        <w:t xml:space="preserve"> No caso de atraso ou não divulgação do(s) índice (s) de reajustamento, o contratante pagará ao contratado a importância calculada pela última variação conhecida, liquidando a diferença correspondente tão logo seja(m) divulgado(s) o(s) índice(s) definitivo(s).</w:t>
      </w:r>
    </w:p>
    <w:p w14:paraId="772B4C7D">
      <w:pPr>
        <w:jc w:val="both"/>
        <w:rPr>
          <w:rFonts w:ascii="Arial" w:hAnsi="Arial" w:eastAsia="Arial" w:cs="Arial"/>
        </w:rPr>
      </w:pPr>
    </w:p>
    <w:p w14:paraId="532252E4">
      <w:pPr>
        <w:jc w:val="both"/>
        <w:rPr>
          <w:rFonts w:ascii="Arial" w:hAnsi="Arial" w:eastAsia="Arial" w:cs="Arial"/>
        </w:rPr>
      </w:pPr>
      <w:r>
        <w:rPr>
          <w:rFonts w:ascii="Arial" w:hAnsi="Arial" w:eastAsia="Arial" w:cs="Arial"/>
          <w:b/>
        </w:rPr>
        <w:t>11.7</w:t>
      </w:r>
      <w:r>
        <w:rPr>
          <w:rFonts w:ascii="Arial" w:hAnsi="Arial" w:eastAsia="Arial" w:cs="Arial"/>
        </w:rPr>
        <w:t>. A prorrogação contratual sem a solicitação do reajuste implica a preclusão deste, sem prejuízo dos futuros reajustes nos termos pactuados.</w:t>
      </w:r>
    </w:p>
    <w:p w14:paraId="66D2DBDA">
      <w:pPr>
        <w:jc w:val="both"/>
        <w:rPr>
          <w:rFonts w:ascii="Arial" w:hAnsi="Arial" w:eastAsia="Arial" w:cs="Arial"/>
        </w:rPr>
      </w:pPr>
    </w:p>
    <w:p w14:paraId="42493108">
      <w:pPr>
        <w:jc w:val="both"/>
        <w:rPr>
          <w:rFonts w:ascii="Arial" w:hAnsi="Arial" w:eastAsia="Arial" w:cs="Arial"/>
        </w:rPr>
      </w:pPr>
      <w:r>
        <w:rPr>
          <w:rFonts w:ascii="Arial" w:hAnsi="Arial" w:eastAsia="Arial" w:cs="Arial"/>
          <w:b/>
        </w:rPr>
        <w:t>11.8.</w:t>
      </w:r>
      <w:r>
        <w:rPr>
          <w:rFonts w:ascii="Arial" w:hAnsi="Arial" w:eastAsia="Arial" w:cs="Arial"/>
        </w:rPr>
        <w:t xml:space="preserve"> Caso o(s) índice(s) estabelecido(s) para reajustamento venha(m) a ser extinto(s) ou de qualquer forma não possa(m) mais ser utilizado(s), será(ão) adotado(s), em substituição, o(s) que vier(em) a ser determinado(s) pela legislação então em vigor.</w:t>
      </w:r>
    </w:p>
    <w:p w14:paraId="0CEADCE5">
      <w:pPr>
        <w:jc w:val="both"/>
        <w:rPr>
          <w:rFonts w:ascii="Arial" w:hAnsi="Arial" w:eastAsia="Arial" w:cs="Arial"/>
        </w:rPr>
      </w:pPr>
    </w:p>
    <w:p w14:paraId="292900A1">
      <w:pPr>
        <w:jc w:val="both"/>
        <w:rPr>
          <w:rFonts w:ascii="Arial" w:hAnsi="Arial" w:eastAsia="Arial" w:cs="Arial"/>
        </w:rPr>
      </w:pPr>
      <w:r>
        <w:rPr>
          <w:rFonts w:ascii="Arial" w:hAnsi="Arial" w:eastAsia="Arial" w:cs="Arial"/>
          <w:b/>
        </w:rPr>
        <w:t>11.9.</w:t>
      </w:r>
      <w:r>
        <w:rPr>
          <w:rFonts w:ascii="Arial" w:hAnsi="Arial" w:eastAsia="Arial" w:cs="Arial"/>
        </w:rPr>
        <w:t xml:space="preserve"> Na ausência de previsão legal quanto ao índice substituto, as partes elegerão novo índice oficial, para reajustamento do preço do valor remanescente, por meio de termo aditivo.</w:t>
      </w:r>
    </w:p>
    <w:p w14:paraId="2509E640">
      <w:pPr>
        <w:jc w:val="both"/>
        <w:rPr>
          <w:rFonts w:ascii="Arial" w:hAnsi="Arial" w:eastAsia="Arial" w:cs="Arial"/>
        </w:rPr>
      </w:pPr>
    </w:p>
    <w:p w14:paraId="07D2DCDA">
      <w:pPr>
        <w:jc w:val="both"/>
        <w:rPr>
          <w:rFonts w:ascii="Arial" w:hAnsi="Arial" w:eastAsia="Arial" w:cs="Arial"/>
        </w:rPr>
      </w:pPr>
      <w:r>
        <w:rPr>
          <w:rFonts w:ascii="Arial" w:hAnsi="Arial" w:eastAsia="Arial" w:cs="Arial"/>
          <w:b/>
        </w:rPr>
        <w:t>11.10</w:t>
      </w:r>
      <w:r>
        <w:rPr>
          <w:rFonts w:ascii="Arial" w:hAnsi="Arial" w:eastAsia="Arial" w:cs="Arial"/>
        </w:rPr>
        <w:t>. O reajuste será realizado por apostilamento.</w:t>
      </w:r>
    </w:p>
    <w:p w14:paraId="3F6F4221">
      <w:pPr>
        <w:jc w:val="both"/>
        <w:rPr>
          <w:rFonts w:ascii="Arial" w:hAnsi="Arial" w:eastAsia="Arial" w:cs="Arial"/>
        </w:rPr>
      </w:pPr>
    </w:p>
    <w:p w14:paraId="2A48C8E7">
      <w:pPr>
        <w:jc w:val="both"/>
        <w:rPr>
          <w:rFonts w:ascii="Arial" w:hAnsi="Arial" w:eastAsia="Arial" w:cs="Arial"/>
        </w:rPr>
      </w:pPr>
      <w:r>
        <w:rPr>
          <w:rFonts w:ascii="Arial" w:hAnsi="Arial" w:eastAsia="Arial" w:cs="Arial"/>
          <w:b/>
        </w:rPr>
        <w:t>11.11.</w:t>
      </w:r>
      <w:r>
        <w:rPr>
          <w:rFonts w:ascii="Arial" w:hAnsi="Arial" w:eastAsia="Arial" w:cs="Arial"/>
        </w:rPr>
        <w:t xml:space="preserve"> O prazo para resposta para pedido de pedido de reajuste, pedido de equilíbrio econômico-financeiro será de até 30 (trinta) dias úteis.</w:t>
      </w:r>
    </w:p>
    <w:p w14:paraId="45500263">
      <w:pPr>
        <w:jc w:val="both"/>
        <w:rPr>
          <w:rFonts w:ascii="Arial" w:hAnsi="Arial" w:eastAsia="Arial" w:cs="Arial"/>
        </w:rPr>
      </w:pPr>
    </w:p>
    <w:p w14:paraId="297859D9">
      <w:pPr>
        <w:rPr>
          <w:rFonts w:ascii="Arial" w:hAnsi="Arial" w:eastAsia="Arial" w:cs="Arial"/>
          <w:b/>
        </w:rPr>
      </w:pPr>
      <w:r>
        <w:rPr>
          <w:rFonts w:ascii="Arial" w:hAnsi="Arial" w:eastAsia="Arial" w:cs="Arial"/>
          <w:b/>
        </w:rPr>
        <w:t>CLÁUSULA DÉCIMA SEGUNDA – DA VIGÊNCIA:</w:t>
      </w:r>
    </w:p>
    <w:p w14:paraId="091B910F">
      <w:pPr>
        <w:jc w:val="both"/>
        <w:rPr>
          <w:rFonts w:ascii="Arial" w:hAnsi="Arial" w:eastAsia="Arial" w:cs="Arial"/>
          <w:b/>
        </w:rPr>
      </w:pPr>
    </w:p>
    <w:p w14:paraId="01989AE9">
      <w:pPr>
        <w:jc w:val="both"/>
        <w:rPr>
          <w:rFonts w:ascii="Arial" w:hAnsi="Arial" w:eastAsia="Arial" w:cs="Arial"/>
        </w:rPr>
      </w:pPr>
      <w:r>
        <w:rPr>
          <w:rFonts w:ascii="Arial" w:hAnsi="Arial" w:eastAsia="Arial" w:cs="Arial"/>
          <w:b/>
        </w:rPr>
        <w:t xml:space="preserve">12.1. </w:t>
      </w:r>
      <w:r>
        <w:rPr>
          <w:rFonts w:ascii="Arial" w:hAnsi="Arial" w:eastAsia="Arial" w:cs="Arial"/>
        </w:rPr>
        <w:t>Nos termos do art. 106, inciso I, da Lei nº 14.133/2021, atesto que a contratação com prazo de até 01 (um) ano, prorrogável por igual período, para prestação contínua dos serviços especializados de nutrição e fornecimento de alimentação escolar, conforme descrito no Termo de Referência, representa a maior vantagem econômica para a Administração Pública, considerando os seguintes fundamentos:</w:t>
      </w:r>
    </w:p>
    <w:p w14:paraId="567B816F">
      <w:pPr>
        <w:jc w:val="both"/>
        <w:rPr>
          <w:rFonts w:ascii="Arial" w:hAnsi="Arial" w:eastAsia="Arial" w:cs="Arial"/>
        </w:rPr>
      </w:pPr>
    </w:p>
    <w:p w14:paraId="5B216048">
      <w:pPr>
        <w:numPr>
          <w:ilvl w:val="0"/>
          <w:numId w:val="22"/>
        </w:numPr>
        <w:jc w:val="both"/>
        <w:rPr>
          <w:rFonts w:ascii="Arial" w:hAnsi="Arial" w:eastAsia="Arial" w:cs="Arial"/>
        </w:rPr>
      </w:pPr>
      <w:r>
        <w:rPr>
          <w:rFonts w:ascii="Arial" w:hAnsi="Arial" w:eastAsia="Arial" w:cs="Arial"/>
        </w:rPr>
        <w:t>Economia de escala: a contratação por prazo plurianual permite melhores condições comerciais junto aos fornecedores, especialmente no tocante a contratação de empresa especializada na prestação e serviços de nutrição e fornecimento alimentação escolar, possibilitando redução de custos unitários.</w:t>
      </w:r>
    </w:p>
    <w:p w14:paraId="2A77911C">
      <w:pPr>
        <w:numPr>
          <w:ilvl w:val="0"/>
          <w:numId w:val="22"/>
        </w:numPr>
        <w:jc w:val="both"/>
        <w:rPr>
          <w:rFonts w:ascii="Arial" w:hAnsi="Arial" w:eastAsia="Arial" w:cs="Arial"/>
        </w:rPr>
      </w:pPr>
      <w:r>
        <w:rPr>
          <w:rFonts w:ascii="Arial" w:hAnsi="Arial" w:eastAsia="Arial" w:cs="Arial"/>
        </w:rPr>
        <w:t>Previsibilidade e estabilidade contratual: o planejamento de longo prazo favorece a estabilização dos preços e evita reajustes repentinos oriundos de contratações de curto prazo, o que contribui para uma gestão orçamentária mais eficiente.</w:t>
      </w:r>
    </w:p>
    <w:p w14:paraId="4806A8AD">
      <w:pPr>
        <w:numPr>
          <w:ilvl w:val="0"/>
          <w:numId w:val="22"/>
        </w:numPr>
        <w:jc w:val="both"/>
        <w:rPr>
          <w:rFonts w:ascii="Arial" w:hAnsi="Arial" w:eastAsia="Arial" w:cs="Arial"/>
        </w:rPr>
      </w:pPr>
      <w:r>
        <w:rPr>
          <w:rFonts w:ascii="Arial" w:hAnsi="Arial" w:eastAsia="Arial" w:cs="Arial"/>
        </w:rPr>
        <w:t>Evita descontinuidade do serviço: a contratação por período prolongado reduz riscos operacionais e institucionais relacionados à repetição de certames e à possível descontinuidade do serviço essencial prestado aos alunos da rede pública.</w:t>
      </w:r>
    </w:p>
    <w:p w14:paraId="4281D5F4">
      <w:pPr>
        <w:numPr>
          <w:ilvl w:val="0"/>
          <w:numId w:val="22"/>
        </w:numPr>
        <w:jc w:val="both"/>
        <w:rPr>
          <w:rFonts w:ascii="Arial" w:hAnsi="Arial" w:eastAsia="Arial" w:cs="Arial"/>
        </w:rPr>
      </w:pPr>
      <w:r>
        <w:rPr>
          <w:rFonts w:ascii="Arial" w:hAnsi="Arial" w:eastAsia="Arial" w:cs="Arial"/>
        </w:rPr>
        <w:t>Qualidade e eficiência operacional: contratos contínuos incentivam o investimento por parte da contratada em pessoal qualificado, equipamentos e estrutura, com reflexos positivos na qualidade das refeições e na segurança alimentar dos estudantes.</w:t>
      </w:r>
    </w:p>
    <w:p w14:paraId="09F9DB11">
      <w:pPr>
        <w:numPr>
          <w:ilvl w:val="0"/>
          <w:numId w:val="22"/>
        </w:numPr>
        <w:jc w:val="both"/>
        <w:rPr>
          <w:rFonts w:ascii="Arial" w:hAnsi="Arial" w:eastAsia="Arial" w:cs="Arial"/>
        </w:rPr>
      </w:pPr>
      <w:r>
        <w:rPr>
          <w:rFonts w:ascii="Arial" w:hAnsi="Arial" w:eastAsia="Arial" w:cs="Arial"/>
        </w:rPr>
        <w:t>Menor custo administrativo: a redução da necessidade de processos licitatórios anuais diminui custos com recursos humanos, materiais e tempo, otimizando os procedimentos administrativos.</w:t>
      </w:r>
    </w:p>
    <w:p w14:paraId="5155E474">
      <w:pPr>
        <w:ind w:left="720"/>
        <w:jc w:val="both"/>
        <w:rPr>
          <w:rFonts w:ascii="Arial" w:hAnsi="Arial" w:eastAsia="Arial" w:cs="Arial"/>
        </w:rPr>
      </w:pPr>
    </w:p>
    <w:p w14:paraId="672A28B4">
      <w:pPr>
        <w:jc w:val="both"/>
        <w:rPr>
          <w:rFonts w:ascii="Arial" w:hAnsi="Arial" w:eastAsia="Arial" w:cs="Arial"/>
        </w:rPr>
      </w:pPr>
      <w:r>
        <w:rPr>
          <w:rFonts w:ascii="Arial" w:hAnsi="Arial" w:eastAsia="Arial" w:cs="Arial"/>
          <w:b/>
        </w:rPr>
        <w:t>12.2.</w:t>
      </w:r>
      <w:r>
        <w:rPr>
          <w:rFonts w:ascii="Arial" w:hAnsi="Arial" w:eastAsia="Arial" w:cs="Arial"/>
        </w:rPr>
        <w:t xml:space="preserve"> Diante do exposto, atesto a vantajosidade econômica da contratação plurianual pelo período de até 5 (cinco) anos, prorrogável por igual período, nos termos da legislação vigente, por se tratar de prestação de serviço contínuo com ganhos de economicidade, eficiência e qualidade à Administração.</w:t>
      </w:r>
    </w:p>
    <w:p w14:paraId="5768772D">
      <w:pPr>
        <w:jc w:val="both"/>
        <w:rPr>
          <w:rFonts w:ascii="Arial" w:hAnsi="Arial" w:eastAsia="Arial" w:cs="Arial"/>
        </w:rPr>
      </w:pPr>
    </w:p>
    <w:p w14:paraId="5DB0E7DE">
      <w:pPr>
        <w:jc w:val="both"/>
        <w:rPr>
          <w:rFonts w:ascii="Arial" w:hAnsi="Arial" w:eastAsia="Arial" w:cs="Arial"/>
        </w:rPr>
      </w:pPr>
      <w:r>
        <w:rPr>
          <w:rFonts w:ascii="Arial" w:hAnsi="Arial" w:eastAsia="Arial" w:cs="Arial"/>
          <w:b/>
        </w:rPr>
        <w:t>CLÁUSULA DÉCIMA TERCEIRA – DA ALTERAÇÃO DO CONTRATO</w:t>
      </w:r>
      <w:r>
        <w:rPr>
          <w:rFonts w:ascii="Arial" w:hAnsi="Arial" w:eastAsia="Arial" w:cs="Arial"/>
        </w:rPr>
        <w:t>:</w:t>
      </w:r>
    </w:p>
    <w:p w14:paraId="66BC066A">
      <w:pPr>
        <w:jc w:val="both"/>
        <w:rPr>
          <w:rFonts w:ascii="Arial" w:hAnsi="Arial" w:eastAsia="Arial" w:cs="Arial"/>
        </w:rPr>
      </w:pPr>
    </w:p>
    <w:p w14:paraId="564EF762">
      <w:pPr>
        <w:jc w:val="both"/>
        <w:rPr>
          <w:rFonts w:ascii="Arial" w:hAnsi="Arial" w:eastAsia="Arial" w:cs="Arial"/>
        </w:rPr>
      </w:pPr>
      <w:r>
        <w:rPr>
          <w:rFonts w:ascii="Arial" w:hAnsi="Arial" w:eastAsia="Arial" w:cs="Arial"/>
          <w:b/>
        </w:rPr>
        <w:t>13.1.</w:t>
      </w:r>
      <w:r>
        <w:rPr>
          <w:rFonts w:ascii="Arial" w:hAnsi="Arial" w:eastAsia="Arial" w:cs="Arial"/>
        </w:rPr>
        <w:t xml:space="preserve"> O contrato poderá ser alterado na forma do artigo 124 e seguintes da Lei nº 14.133/2021 e Decreto Municipal nº 11.685/2023.</w:t>
      </w:r>
    </w:p>
    <w:p w14:paraId="2E755381">
      <w:pPr>
        <w:jc w:val="both"/>
        <w:rPr>
          <w:rFonts w:ascii="Arial" w:hAnsi="Arial" w:eastAsia="Arial" w:cs="Arial"/>
        </w:rPr>
      </w:pPr>
    </w:p>
    <w:p w14:paraId="66113ABA">
      <w:pPr>
        <w:jc w:val="both"/>
        <w:rPr>
          <w:rFonts w:ascii="Arial" w:hAnsi="Arial" w:eastAsia="Arial" w:cs="Arial"/>
        </w:rPr>
      </w:pPr>
      <w:r>
        <w:rPr>
          <w:rFonts w:ascii="Arial" w:hAnsi="Arial" w:eastAsia="Arial" w:cs="Arial"/>
          <w:b/>
        </w:rPr>
        <w:t>13.2.</w:t>
      </w:r>
      <w:r>
        <w:rPr>
          <w:rFonts w:ascii="Arial" w:hAnsi="Arial" w:eastAsia="Arial" w:cs="Arial"/>
        </w:rPr>
        <w:t xml:space="preserve"> O contratado é obrigado a aceitar, nas mesmas condições contratuais, os acréscimos ou supressões que se fizerem necessários, até o limite de 25% (vinte e cinco por cento) do valor inicial atualizado do contrato.</w:t>
      </w:r>
    </w:p>
    <w:p w14:paraId="3E06DA9F">
      <w:pPr>
        <w:jc w:val="both"/>
        <w:rPr>
          <w:rFonts w:ascii="Arial" w:hAnsi="Arial" w:eastAsia="Arial" w:cs="Arial"/>
        </w:rPr>
      </w:pPr>
      <w:r>
        <w:rPr>
          <w:rFonts w:ascii="Arial" w:hAnsi="Arial" w:eastAsia="Arial" w:cs="Arial"/>
          <w:b/>
        </w:rPr>
        <w:t>13.3.</w:t>
      </w:r>
      <w:r>
        <w:rPr>
          <w:rFonts w:ascii="Arial" w:hAnsi="Arial" w:eastAsia="Arial" w:cs="Arial"/>
        </w:rPr>
        <w:t xml:space="preserve"> Registros que não caracterizam alteração do contrato podem ser realizados por simples apostila, dispensada a celebração de termo aditivo, na forma do artigo 136 da Lei nº 14.133, de 2021.</w:t>
      </w:r>
    </w:p>
    <w:p w14:paraId="27FDD291">
      <w:pPr>
        <w:jc w:val="both"/>
        <w:rPr>
          <w:rFonts w:ascii="Arial" w:hAnsi="Arial" w:eastAsia="Arial" w:cs="Arial"/>
        </w:rPr>
      </w:pPr>
    </w:p>
    <w:p w14:paraId="4F83BF1F">
      <w:pPr>
        <w:jc w:val="both"/>
        <w:rPr>
          <w:rFonts w:ascii="Arial" w:hAnsi="Arial" w:eastAsia="Arial" w:cs="Arial"/>
        </w:rPr>
      </w:pPr>
      <w:r>
        <w:rPr>
          <w:rFonts w:ascii="Arial" w:hAnsi="Arial" w:eastAsia="Arial" w:cs="Arial"/>
          <w:b/>
        </w:rPr>
        <w:t>13.4.</w:t>
      </w:r>
      <w:r>
        <w:rPr>
          <w:rFonts w:ascii="Arial" w:hAnsi="Arial" w:eastAsia="Arial" w:cs="Arial"/>
        </w:rPr>
        <w:t xml:space="preserve"> Durante a vigência do contrato o contratado poderá solicitar a revisão dos preços para manter o equilíbrio econômico-financeiro obtido na licitação, mediante a comprovação dos fatos previstos no artigo 124, inciso II, alínea “d”, da Lei nº 14.133/2021, conforme cláusula décima primeira.</w:t>
      </w:r>
    </w:p>
    <w:p w14:paraId="0C47D5D1">
      <w:pPr>
        <w:jc w:val="both"/>
        <w:rPr>
          <w:rFonts w:ascii="Arial" w:hAnsi="Arial" w:eastAsia="Arial" w:cs="Arial"/>
        </w:rPr>
      </w:pPr>
    </w:p>
    <w:p w14:paraId="3AE26654">
      <w:pPr>
        <w:jc w:val="both"/>
        <w:rPr>
          <w:rFonts w:ascii="Arial" w:hAnsi="Arial" w:eastAsia="Arial" w:cs="Arial"/>
        </w:rPr>
      </w:pPr>
      <w:r>
        <w:rPr>
          <w:rFonts w:ascii="Arial" w:hAnsi="Arial" w:eastAsia="Arial" w:cs="Arial"/>
          <w:b/>
        </w:rPr>
        <w:t>CLÁUSULA DÉCIMA QUARTA – DA EXTINÇÃO DO CONTRATO</w:t>
      </w:r>
      <w:r>
        <w:rPr>
          <w:rFonts w:ascii="Arial" w:hAnsi="Arial" w:eastAsia="Arial" w:cs="Arial"/>
        </w:rPr>
        <w:t>:</w:t>
      </w:r>
    </w:p>
    <w:p w14:paraId="1A7C6F39">
      <w:pPr>
        <w:jc w:val="both"/>
        <w:rPr>
          <w:rFonts w:ascii="Arial" w:hAnsi="Arial" w:eastAsia="Arial" w:cs="Arial"/>
          <w:b/>
        </w:rPr>
      </w:pPr>
    </w:p>
    <w:p w14:paraId="32C394DB">
      <w:pPr>
        <w:jc w:val="both"/>
        <w:rPr>
          <w:rFonts w:ascii="Arial" w:hAnsi="Arial" w:eastAsia="Arial" w:cs="Arial"/>
        </w:rPr>
      </w:pPr>
      <w:r>
        <w:rPr>
          <w:rFonts w:ascii="Arial" w:hAnsi="Arial" w:eastAsia="Arial" w:cs="Arial"/>
          <w:b/>
        </w:rPr>
        <w:t>14.1.</w:t>
      </w:r>
      <w:r>
        <w:rPr>
          <w:rFonts w:ascii="Arial" w:hAnsi="Arial" w:eastAsia="Arial" w:cs="Arial"/>
        </w:rPr>
        <w:t xml:space="preserve"> O contrato se extingue quando cumpridas as obrigações de ambas as partes, ainda que isso ocorra antes do prazo estipulado para tanto.</w:t>
      </w:r>
    </w:p>
    <w:p w14:paraId="14326369">
      <w:pPr>
        <w:jc w:val="both"/>
        <w:rPr>
          <w:rFonts w:ascii="Arial" w:hAnsi="Arial" w:eastAsia="Arial" w:cs="Arial"/>
        </w:rPr>
      </w:pPr>
    </w:p>
    <w:p w14:paraId="6C1C826B">
      <w:pPr>
        <w:jc w:val="both"/>
        <w:rPr>
          <w:rFonts w:ascii="Arial" w:hAnsi="Arial" w:eastAsia="Arial" w:cs="Arial"/>
        </w:rPr>
      </w:pPr>
      <w:r>
        <w:rPr>
          <w:rFonts w:ascii="Arial" w:hAnsi="Arial" w:eastAsia="Arial" w:cs="Arial"/>
          <w:b/>
        </w:rPr>
        <w:t>14.2.</w:t>
      </w:r>
      <w:r>
        <w:rPr>
          <w:rFonts w:ascii="Arial" w:hAnsi="Arial" w:eastAsia="Arial" w:cs="Arial"/>
        </w:rPr>
        <w:t xml:space="preserve"> O presente termo de contrato poderá ser extinto nas hipóteses previstas no rol do artigo 137 da Lei nº 14.133/202, devendo a extinção ser formalmente motivada nos autos do processo, assegurado o contraditório e ampla defesa e respeitados os procedimentos descritos no Decreto Municipal nº 11.685/2023 e nas demais legislações aplicáveis.</w:t>
      </w:r>
    </w:p>
    <w:p w14:paraId="1CC42375">
      <w:pPr>
        <w:jc w:val="both"/>
        <w:rPr>
          <w:rFonts w:ascii="Arial" w:hAnsi="Arial" w:eastAsia="Arial" w:cs="Arial"/>
        </w:rPr>
      </w:pPr>
    </w:p>
    <w:p w14:paraId="2B90F83A">
      <w:pPr>
        <w:jc w:val="both"/>
        <w:rPr>
          <w:rFonts w:ascii="Arial" w:hAnsi="Arial" w:eastAsia="Arial" w:cs="Arial"/>
        </w:rPr>
      </w:pPr>
      <w:r>
        <w:rPr>
          <w:rFonts w:ascii="Arial" w:hAnsi="Arial" w:eastAsia="Arial" w:cs="Arial"/>
          <w:b/>
        </w:rPr>
        <w:t>14.2.1.</w:t>
      </w:r>
      <w:r>
        <w:rPr>
          <w:rFonts w:ascii="Arial" w:hAnsi="Arial" w:eastAsia="Arial" w:cs="Arial"/>
        </w:rPr>
        <w:t xml:space="preserve"> Nesta hipótese, aplicam-se também os artigos 138 e 139 da Lei 14.133/2021.</w:t>
      </w:r>
    </w:p>
    <w:p w14:paraId="738F8FCD">
      <w:pPr>
        <w:jc w:val="both"/>
        <w:rPr>
          <w:rFonts w:ascii="Arial" w:hAnsi="Arial" w:eastAsia="Arial" w:cs="Arial"/>
        </w:rPr>
      </w:pPr>
    </w:p>
    <w:p w14:paraId="658C974B">
      <w:pPr>
        <w:jc w:val="both"/>
        <w:rPr>
          <w:rFonts w:ascii="Arial" w:hAnsi="Arial" w:eastAsia="Arial" w:cs="Arial"/>
        </w:rPr>
      </w:pPr>
      <w:r>
        <w:rPr>
          <w:rFonts w:ascii="Arial" w:hAnsi="Arial" w:eastAsia="Arial" w:cs="Arial"/>
          <w:b/>
        </w:rPr>
        <w:t>14.2.2.</w:t>
      </w:r>
      <w:r>
        <w:rPr>
          <w:rFonts w:ascii="Arial" w:hAnsi="Arial" w:eastAsia="Arial" w:cs="Arial"/>
        </w:rPr>
        <w:t xml:space="preserve"> A alteração social ou a modificação da finalidade ou da estrutura da empresa não ensejará a rescisão se não restringir sua capacidade de concluir o contrato.</w:t>
      </w:r>
    </w:p>
    <w:p w14:paraId="5D9500C5">
      <w:pPr>
        <w:jc w:val="both"/>
        <w:rPr>
          <w:rFonts w:ascii="Arial" w:hAnsi="Arial" w:eastAsia="Arial" w:cs="Arial"/>
        </w:rPr>
      </w:pPr>
    </w:p>
    <w:p w14:paraId="384B6E51">
      <w:pPr>
        <w:jc w:val="both"/>
        <w:rPr>
          <w:rFonts w:ascii="Arial" w:hAnsi="Arial" w:eastAsia="Arial" w:cs="Arial"/>
        </w:rPr>
      </w:pPr>
      <w:r>
        <w:rPr>
          <w:rFonts w:ascii="Arial" w:hAnsi="Arial" w:eastAsia="Arial" w:cs="Arial"/>
          <w:b/>
        </w:rPr>
        <w:t>14.2.3.</w:t>
      </w:r>
      <w:r>
        <w:rPr>
          <w:rFonts w:ascii="Arial" w:hAnsi="Arial" w:eastAsia="Arial" w:cs="Arial"/>
        </w:rPr>
        <w:t xml:space="preserve"> Se a operação implicar mudança da pessoa jurídica contratada, deverá ser formalizado termo aditivo para alteração subjetiva.</w:t>
      </w:r>
    </w:p>
    <w:p w14:paraId="40D3F0B8">
      <w:pPr>
        <w:jc w:val="both"/>
        <w:rPr>
          <w:rFonts w:ascii="Arial" w:hAnsi="Arial" w:eastAsia="Arial" w:cs="Arial"/>
        </w:rPr>
      </w:pPr>
    </w:p>
    <w:p w14:paraId="1DC68DC6">
      <w:pPr>
        <w:jc w:val="both"/>
        <w:rPr>
          <w:rFonts w:ascii="Arial" w:hAnsi="Arial" w:eastAsia="Arial" w:cs="Arial"/>
        </w:rPr>
      </w:pPr>
      <w:r>
        <w:rPr>
          <w:rFonts w:ascii="Arial" w:hAnsi="Arial" w:eastAsia="Arial" w:cs="Arial"/>
          <w:b/>
        </w:rPr>
        <w:t>14.3.</w:t>
      </w:r>
      <w:r>
        <w:rPr>
          <w:rFonts w:ascii="Arial" w:hAnsi="Arial" w:eastAsia="Arial" w:cs="Arial"/>
        </w:rPr>
        <w:t xml:space="preserve"> A extinção determinada por ato unilateral da Administração e a extinção consensual deverão ser precedidas de autorização escrita e fundamentada da autoridade competente e reduzidas a termo no respectivo processo.</w:t>
      </w:r>
    </w:p>
    <w:p w14:paraId="6539B0FB">
      <w:pPr>
        <w:jc w:val="both"/>
        <w:rPr>
          <w:rFonts w:ascii="Arial" w:hAnsi="Arial" w:eastAsia="Arial" w:cs="Arial"/>
        </w:rPr>
      </w:pPr>
    </w:p>
    <w:p w14:paraId="71477508">
      <w:pPr>
        <w:jc w:val="both"/>
        <w:rPr>
          <w:rFonts w:ascii="Arial" w:hAnsi="Arial" w:eastAsia="Arial" w:cs="Arial"/>
        </w:rPr>
      </w:pPr>
      <w:r>
        <w:rPr>
          <w:rFonts w:ascii="Arial" w:hAnsi="Arial" w:eastAsia="Arial" w:cs="Arial"/>
          <w:b/>
        </w:rPr>
        <w:t>14.4.</w:t>
      </w:r>
      <w:r>
        <w:rPr>
          <w:rFonts w:ascii="Arial" w:hAnsi="Arial" w:eastAsia="Arial" w:cs="Arial"/>
        </w:rPr>
        <w:t xml:space="preserve"> 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5D61AAAB">
      <w:pPr>
        <w:jc w:val="both"/>
        <w:rPr>
          <w:rFonts w:ascii="Arial" w:hAnsi="Arial" w:eastAsia="Arial" w:cs="Arial"/>
        </w:rPr>
      </w:pPr>
    </w:p>
    <w:p w14:paraId="06DD3838">
      <w:pPr>
        <w:jc w:val="both"/>
        <w:rPr>
          <w:rFonts w:ascii="Arial" w:hAnsi="Arial" w:eastAsia="Arial" w:cs="Arial"/>
          <w:b/>
        </w:rPr>
      </w:pPr>
      <w:r>
        <w:rPr>
          <w:rFonts w:ascii="Arial" w:hAnsi="Arial" w:eastAsia="Arial" w:cs="Arial"/>
          <w:b/>
        </w:rPr>
        <w:t>14.5.</w:t>
      </w:r>
      <w:r>
        <w:rPr>
          <w:rFonts w:ascii="Arial" w:hAnsi="Arial" w:eastAsia="Arial" w:cs="Arial"/>
        </w:rPr>
        <w:t xml:space="preserve"> A extinção do contrato não configura óbice para o reconhecimento do desequilíbrio econômico-financeiro, hipótese em que será concedida indenização por meio de termo indenizatório (art. 131, </w:t>
      </w:r>
      <w:r>
        <w:rPr>
          <w:rFonts w:ascii="Arial" w:hAnsi="Arial" w:eastAsia="Arial" w:cs="Arial"/>
          <w:i/>
        </w:rPr>
        <w:t xml:space="preserve">caput, </w:t>
      </w:r>
      <w:r>
        <w:rPr>
          <w:rFonts w:ascii="Arial" w:hAnsi="Arial" w:eastAsia="Arial" w:cs="Arial"/>
        </w:rPr>
        <w:t>da Lei nº 14.133, de 2021).</w:t>
      </w:r>
    </w:p>
    <w:p w14:paraId="6FC26481">
      <w:pPr>
        <w:jc w:val="both"/>
        <w:rPr>
          <w:rFonts w:ascii="Arial" w:hAnsi="Arial" w:eastAsia="Arial" w:cs="Arial"/>
        </w:rPr>
      </w:pPr>
    </w:p>
    <w:p w14:paraId="0F96907E">
      <w:pPr>
        <w:jc w:val="both"/>
        <w:rPr>
          <w:rFonts w:ascii="Arial" w:hAnsi="Arial" w:eastAsia="Arial" w:cs="Arial"/>
        </w:rPr>
      </w:pPr>
      <w:r>
        <w:rPr>
          <w:rFonts w:ascii="Arial" w:hAnsi="Arial" w:eastAsia="Arial" w:cs="Arial"/>
          <w:b/>
        </w:rPr>
        <w:t>CLÁUSULA DÉCIMA QUINTA – DA FISCALIZAÇÃO E GESTÃO DO CONTRATO</w:t>
      </w:r>
      <w:r>
        <w:rPr>
          <w:rFonts w:ascii="Arial" w:hAnsi="Arial" w:eastAsia="Arial" w:cs="Arial"/>
        </w:rPr>
        <w:t>:</w:t>
      </w:r>
    </w:p>
    <w:p w14:paraId="1E31ED58">
      <w:pPr>
        <w:jc w:val="both"/>
        <w:rPr>
          <w:rFonts w:ascii="Arial" w:hAnsi="Arial" w:eastAsia="Arial" w:cs="Arial"/>
          <w:b/>
        </w:rPr>
      </w:pPr>
    </w:p>
    <w:p w14:paraId="7C6B0BF4">
      <w:pPr>
        <w:jc w:val="both"/>
        <w:rPr>
          <w:rFonts w:ascii="Arial" w:hAnsi="Arial" w:eastAsia="Arial" w:cs="Arial"/>
        </w:rPr>
      </w:pPr>
      <w:r>
        <w:rPr>
          <w:rFonts w:ascii="Arial" w:hAnsi="Arial" w:eastAsia="Arial" w:cs="Arial"/>
          <w:b/>
        </w:rPr>
        <w:t>15.1.</w:t>
      </w:r>
      <w:r>
        <w:rPr>
          <w:rFonts w:ascii="Arial" w:hAnsi="Arial" w:eastAsia="Arial" w:cs="Arial"/>
        </w:rPr>
        <w:t xml:space="preserve"> Será designado, pelo contratante, um servidor qualificado ou uma comissão para exercer a fiscalização e acompanhamento do contrato, que terá, dentre outras, a incumbência de informar as ocorrências relevantes verificadas na execução contratual, inclusive quanto a eventuais atrasos e descumprimentos de cláusulas contratuais; solicitar ao contratado documentos exigidos para o fornecimento do bem, correção de falhas na execução contratual, cumprimento da legislação aplicável, e, sendo o caso, determinar a substituição de serviços em desacordos com o Edital; informar as autoridades competentes a ocorrência de ilegalidades e irregularidades que constatar;</w:t>
      </w:r>
    </w:p>
    <w:p w14:paraId="31B67851">
      <w:pPr>
        <w:jc w:val="both"/>
        <w:rPr>
          <w:rFonts w:ascii="Arial" w:hAnsi="Arial" w:eastAsia="Arial" w:cs="Arial"/>
        </w:rPr>
      </w:pPr>
    </w:p>
    <w:p w14:paraId="40328BD3">
      <w:pPr>
        <w:jc w:val="both"/>
        <w:rPr>
          <w:rFonts w:ascii="Arial" w:hAnsi="Arial" w:eastAsia="Arial" w:cs="Arial"/>
        </w:rPr>
      </w:pPr>
      <w:r>
        <w:rPr>
          <w:rFonts w:ascii="Arial" w:hAnsi="Arial" w:eastAsia="Arial" w:cs="Arial"/>
          <w:b/>
        </w:rPr>
        <w:t>15.2</w:t>
      </w:r>
      <w:r>
        <w:rPr>
          <w:rFonts w:ascii="Arial" w:hAnsi="Arial" w:eastAsia="Arial" w:cs="Arial"/>
        </w:rPr>
        <w:t>. A execução do contrato deverá ser acompanhada e fiscalizada por um ou mais fiscais de contratos, representantes da Administração especialmente designados, nos termos do art. 117 da Lei nº 14.133/2021.</w:t>
      </w:r>
    </w:p>
    <w:p w14:paraId="6E2AF3AB">
      <w:pPr>
        <w:jc w:val="both"/>
        <w:rPr>
          <w:rFonts w:ascii="Arial" w:hAnsi="Arial" w:eastAsia="Arial" w:cs="Arial"/>
        </w:rPr>
      </w:pPr>
    </w:p>
    <w:p w14:paraId="00D2D50C">
      <w:pPr>
        <w:jc w:val="both"/>
        <w:rPr>
          <w:rFonts w:ascii="Arial" w:hAnsi="Arial" w:eastAsia="Arial" w:cs="Arial"/>
        </w:rPr>
      </w:pPr>
      <w:r>
        <w:rPr>
          <w:rFonts w:ascii="Arial" w:hAnsi="Arial" w:eastAsia="Arial" w:cs="Arial"/>
          <w:b/>
        </w:rPr>
        <w:t xml:space="preserve">15.3. </w:t>
      </w:r>
      <w:r>
        <w:rPr>
          <w:rFonts w:ascii="Arial" w:hAnsi="Arial" w:eastAsia="Arial" w:cs="Arial"/>
        </w:rPr>
        <w:t>A fiscalização exercida pelo contratante na entrega dos bens não exclui a responsabilidade do contratado, por quaisquer irregularidades resultantes de imperfeições técnicas, vícios redibitórios, ou emprego de material inadequado ou de qualidade inferior e, na ocorrência deste, não implica co-responsabilidade do contratante ou de seus agentes e prepostos.</w:t>
      </w:r>
    </w:p>
    <w:p w14:paraId="3343CC75">
      <w:pPr>
        <w:jc w:val="both"/>
        <w:rPr>
          <w:rFonts w:ascii="Arial" w:hAnsi="Arial" w:eastAsia="Arial" w:cs="Arial"/>
        </w:rPr>
      </w:pPr>
    </w:p>
    <w:p w14:paraId="4B076697">
      <w:pPr>
        <w:jc w:val="both"/>
        <w:rPr>
          <w:rFonts w:ascii="Arial" w:hAnsi="Arial" w:eastAsia="Arial" w:cs="Arial"/>
        </w:rPr>
      </w:pPr>
      <w:r>
        <w:rPr>
          <w:rFonts w:ascii="Arial" w:hAnsi="Arial" w:eastAsia="Arial" w:cs="Arial"/>
          <w:b/>
        </w:rPr>
        <w:t>15.4.</w:t>
      </w:r>
      <w:r>
        <w:rPr>
          <w:rFonts w:ascii="Arial" w:hAnsi="Arial" w:eastAsia="Arial" w:cs="Arial"/>
        </w:rPr>
        <w:t xml:space="preserve"> Em caso de impedimento, ordem de paralisação ou suspensão do contrato, o cronograma de execução será prorrogado automaticamente pelo tempo correspondente, anotadas tais circunstâncias mediante simples apostilamento.</w:t>
      </w:r>
    </w:p>
    <w:p w14:paraId="75F79C23">
      <w:pPr>
        <w:jc w:val="both"/>
        <w:rPr>
          <w:rFonts w:ascii="Arial" w:hAnsi="Arial" w:eastAsia="Arial" w:cs="Arial"/>
        </w:rPr>
      </w:pPr>
      <w:r>
        <w:rPr>
          <w:rFonts w:ascii="Arial" w:hAnsi="Arial" w:eastAsia="Arial" w:cs="Arial"/>
          <w:b/>
        </w:rPr>
        <w:t>15.5.</w:t>
      </w:r>
      <w:r>
        <w:rPr>
          <w:rFonts w:ascii="Arial" w:hAnsi="Arial" w:eastAsia="Arial" w:cs="Arial"/>
        </w:rPr>
        <w:t xml:space="preserve"> A execução do contrato deverá ser acompanhada e fiscalizada pelo(s) fiscal(is) do contrato, ou, em caso de afastamentos legais, pelos respectivos substitutos.</w:t>
      </w:r>
    </w:p>
    <w:p w14:paraId="372DD4D0">
      <w:pPr>
        <w:jc w:val="both"/>
        <w:rPr>
          <w:rFonts w:ascii="Arial" w:hAnsi="Arial" w:eastAsia="Arial" w:cs="Arial"/>
        </w:rPr>
      </w:pPr>
    </w:p>
    <w:p w14:paraId="744A1131">
      <w:pPr>
        <w:jc w:val="both"/>
        <w:rPr>
          <w:rFonts w:ascii="Arial" w:hAnsi="Arial" w:eastAsia="Arial" w:cs="Arial"/>
        </w:rPr>
      </w:pPr>
      <w:r>
        <w:rPr>
          <w:rFonts w:ascii="Arial" w:hAnsi="Arial" w:eastAsia="Arial" w:cs="Arial"/>
          <w:b/>
        </w:rPr>
        <w:t>15.6.</w:t>
      </w:r>
      <w:r>
        <w:rPr>
          <w:rFonts w:ascii="Arial" w:hAnsi="Arial" w:eastAsia="Arial" w:cs="Arial"/>
        </w:rPr>
        <w:t xml:space="preserve"> Os gestores e fiscais de contrato devem ser previamente designados, por portaria geral ou específica, conforme Decreto Municipal nº 11.685/2023 e cientificados de forma expressa, preferencialmente por meio eletrônico, bem como os titulares e substitutos.</w:t>
      </w:r>
    </w:p>
    <w:p w14:paraId="588278A4">
      <w:pPr>
        <w:jc w:val="both"/>
        <w:rPr>
          <w:rFonts w:ascii="Arial" w:hAnsi="Arial" w:eastAsia="Arial" w:cs="Arial"/>
        </w:rPr>
      </w:pPr>
    </w:p>
    <w:p w14:paraId="205AFE87">
      <w:pPr>
        <w:jc w:val="both"/>
        <w:rPr>
          <w:rFonts w:ascii="Arial" w:hAnsi="Arial" w:eastAsia="Arial" w:cs="Arial"/>
        </w:rPr>
      </w:pPr>
      <w:r>
        <w:rPr>
          <w:rFonts w:ascii="Arial" w:hAnsi="Arial" w:eastAsia="Arial" w:cs="Arial"/>
          <w:b/>
        </w:rPr>
        <w:t>15.7.</w:t>
      </w:r>
      <w:r>
        <w:rPr>
          <w:rFonts w:ascii="Arial" w:hAnsi="Arial" w:eastAsia="Arial" w:cs="Arial"/>
        </w:rPr>
        <w:t xml:space="preserve"> Não obstante o contratado seja o único e exclusivo responsável pela execução do Contrato, o contratante reserva-se o direito de, sem que de qualquer forma restrinja a plenitude dessa responsabilidade, exercer a mais ampla e completa fiscalização sobre a execução do objeto contratado.</w:t>
      </w:r>
    </w:p>
    <w:p w14:paraId="5DE33770">
      <w:pPr>
        <w:jc w:val="both"/>
        <w:rPr>
          <w:rFonts w:ascii="Arial" w:hAnsi="Arial" w:eastAsia="Arial" w:cs="Arial"/>
        </w:rPr>
      </w:pPr>
    </w:p>
    <w:p w14:paraId="70D2BEF1">
      <w:pPr>
        <w:jc w:val="both"/>
        <w:rPr>
          <w:rFonts w:ascii="Arial" w:hAnsi="Arial" w:eastAsia="Arial" w:cs="Arial"/>
          <w:b/>
        </w:rPr>
      </w:pPr>
      <w:r>
        <w:rPr>
          <w:rFonts w:ascii="Arial" w:hAnsi="Arial" w:eastAsia="Arial" w:cs="Arial"/>
          <w:b/>
        </w:rPr>
        <w:t xml:space="preserve">CLÁUSULA DÉCIMA SEXTA - DAS INFRAÇÕES E SANÇÕES ADMINISTRATIVAS: </w:t>
      </w:r>
    </w:p>
    <w:p w14:paraId="5FF41C09">
      <w:pPr>
        <w:jc w:val="both"/>
        <w:rPr>
          <w:rFonts w:ascii="Arial" w:hAnsi="Arial" w:eastAsia="Arial" w:cs="Arial"/>
          <w:b/>
        </w:rPr>
      </w:pPr>
    </w:p>
    <w:p w14:paraId="32E4621B">
      <w:pPr>
        <w:jc w:val="both"/>
        <w:rPr>
          <w:rFonts w:ascii="Arial" w:hAnsi="Arial" w:eastAsia="Arial" w:cs="Arial"/>
        </w:rPr>
      </w:pPr>
      <w:r>
        <w:rPr>
          <w:rFonts w:ascii="Arial" w:hAnsi="Arial" w:eastAsia="Arial" w:cs="Arial"/>
          <w:b/>
        </w:rPr>
        <w:t>16.1.</w:t>
      </w:r>
      <w:r>
        <w:rPr>
          <w:rFonts w:ascii="Arial" w:hAnsi="Arial" w:eastAsia="Arial" w:cs="Arial"/>
        </w:rPr>
        <w:t xml:space="preserve"> Comete infração administrativa, nos termos da Lei nº 14.133/2021 (art. 155) e do Decreto Municipal nº 11.685/2023 o contratado que:</w:t>
      </w:r>
    </w:p>
    <w:p w14:paraId="7E9481AB">
      <w:pPr>
        <w:jc w:val="both"/>
        <w:rPr>
          <w:rFonts w:ascii="Arial" w:hAnsi="Arial" w:eastAsia="Arial" w:cs="Arial"/>
        </w:rPr>
      </w:pPr>
    </w:p>
    <w:p w14:paraId="223F717D">
      <w:pPr>
        <w:jc w:val="both"/>
        <w:rPr>
          <w:rFonts w:ascii="Arial" w:hAnsi="Arial" w:eastAsia="Arial" w:cs="Arial"/>
        </w:rPr>
      </w:pPr>
      <w:r>
        <w:rPr>
          <w:rFonts w:ascii="Arial" w:hAnsi="Arial" w:eastAsia="Arial" w:cs="Arial"/>
          <w:b/>
        </w:rPr>
        <w:t>16.1.1.</w:t>
      </w:r>
      <w:r>
        <w:rPr>
          <w:rFonts w:ascii="Arial" w:hAnsi="Arial" w:eastAsia="Arial" w:cs="Arial"/>
        </w:rPr>
        <w:t xml:space="preserve"> Dar causa à inexecução parcial do contrato que cause grave dano à Administração, ao funcionamento dos serviços públicos ou ao interesse coletivo.</w:t>
      </w:r>
    </w:p>
    <w:p w14:paraId="76F17F54">
      <w:pPr>
        <w:jc w:val="both"/>
        <w:rPr>
          <w:rFonts w:ascii="Arial" w:hAnsi="Arial" w:eastAsia="Arial" w:cs="Arial"/>
        </w:rPr>
      </w:pPr>
    </w:p>
    <w:p w14:paraId="29AEBF30">
      <w:pPr>
        <w:jc w:val="both"/>
        <w:rPr>
          <w:rFonts w:ascii="Arial" w:hAnsi="Arial" w:eastAsia="Arial" w:cs="Arial"/>
        </w:rPr>
      </w:pPr>
      <w:r>
        <w:rPr>
          <w:rFonts w:ascii="Arial" w:hAnsi="Arial" w:eastAsia="Arial" w:cs="Arial"/>
          <w:b/>
        </w:rPr>
        <w:t>16.1.2.</w:t>
      </w:r>
      <w:r>
        <w:rPr>
          <w:rFonts w:ascii="Arial" w:hAnsi="Arial" w:eastAsia="Arial" w:cs="Arial"/>
        </w:rPr>
        <w:t xml:space="preserve"> Dar causa à inexecução total do contrato. </w:t>
      </w:r>
    </w:p>
    <w:p w14:paraId="2FE97013">
      <w:pPr>
        <w:jc w:val="both"/>
        <w:rPr>
          <w:rFonts w:ascii="Arial" w:hAnsi="Arial" w:eastAsia="Arial" w:cs="Arial"/>
        </w:rPr>
      </w:pPr>
    </w:p>
    <w:p w14:paraId="297D685D">
      <w:pPr>
        <w:jc w:val="both"/>
        <w:rPr>
          <w:rFonts w:ascii="Arial" w:hAnsi="Arial" w:eastAsia="Arial" w:cs="Arial"/>
        </w:rPr>
      </w:pPr>
      <w:r>
        <w:rPr>
          <w:rFonts w:ascii="Arial" w:hAnsi="Arial" w:eastAsia="Arial" w:cs="Arial"/>
          <w:b/>
        </w:rPr>
        <w:t>16.1.3.</w:t>
      </w:r>
      <w:r>
        <w:rPr>
          <w:rFonts w:ascii="Arial" w:hAnsi="Arial" w:eastAsia="Arial" w:cs="Arial"/>
        </w:rPr>
        <w:t xml:space="preserve"> Não celebrar o contrato ou não entregar a documentação exigida para a contratação, quando convocado dentro do prazo de validade de sua proposta.</w:t>
      </w:r>
    </w:p>
    <w:p w14:paraId="4B197AFF">
      <w:pPr>
        <w:jc w:val="both"/>
        <w:rPr>
          <w:rFonts w:ascii="Arial" w:hAnsi="Arial" w:eastAsia="Arial" w:cs="Arial"/>
        </w:rPr>
      </w:pPr>
    </w:p>
    <w:p w14:paraId="2B905FDB">
      <w:pPr>
        <w:jc w:val="both"/>
        <w:rPr>
          <w:rFonts w:ascii="Arial" w:hAnsi="Arial" w:eastAsia="Arial" w:cs="Arial"/>
        </w:rPr>
      </w:pPr>
      <w:r>
        <w:rPr>
          <w:rFonts w:ascii="Arial" w:hAnsi="Arial" w:eastAsia="Arial" w:cs="Arial"/>
          <w:b/>
        </w:rPr>
        <w:t>16.1.4.</w:t>
      </w:r>
      <w:r>
        <w:rPr>
          <w:rFonts w:ascii="Arial" w:hAnsi="Arial" w:eastAsia="Arial" w:cs="Arial"/>
        </w:rPr>
        <w:t xml:space="preserve"> Ensejar o retardamento da execução ou da entrega do objeto da licitação sem motivo justificado.</w:t>
      </w:r>
    </w:p>
    <w:p w14:paraId="5CBA1884">
      <w:pPr>
        <w:jc w:val="both"/>
        <w:rPr>
          <w:rFonts w:ascii="Arial" w:hAnsi="Arial" w:eastAsia="Arial" w:cs="Arial"/>
          <w:b/>
        </w:rPr>
      </w:pPr>
    </w:p>
    <w:p w14:paraId="6A4B767D">
      <w:pPr>
        <w:jc w:val="both"/>
        <w:rPr>
          <w:rFonts w:ascii="Arial" w:hAnsi="Arial" w:eastAsia="Arial" w:cs="Arial"/>
        </w:rPr>
      </w:pPr>
      <w:r>
        <w:rPr>
          <w:rFonts w:ascii="Arial" w:hAnsi="Arial" w:eastAsia="Arial" w:cs="Arial"/>
          <w:b/>
        </w:rPr>
        <w:t>16.1.5.</w:t>
      </w:r>
      <w:r>
        <w:rPr>
          <w:rFonts w:ascii="Arial" w:hAnsi="Arial" w:eastAsia="Arial" w:cs="Arial"/>
        </w:rPr>
        <w:t xml:space="preserve"> Apresentar declaração ou documentação falsa exigida para o certame ou prestar declaração falsa durante a licitação ou a execução do contrato.</w:t>
      </w:r>
    </w:p>
    <w:p w14:paraId="6C0D80E2">
      <w:pPr>
        <w:jc w:val="both"/>
        <w:rPr>
          <w:rFonts w:ascii="Arial" w:hAnsi="Arial" w:eastAsia="Arial" w:cs="Arial"/>
        </w:rPr>
      </w:pPr>
    </w:p>
    <w:p w14:paraId="5D165862">
      <w:pPr>
        <w:jc w:val="both"/>
        <w:rPr>
          <w:rFonts w:ascii="Arial" w:hAnsi="Arial" w:eastAsia="Arial" w:cs="Arial"/>
        </w:rPr>
      </w:pPr>
      <w:r>
        <w:rPr>
          <w:rFonts w:ascii="Arial" w:hAnsi="Arial" w:eastAsia="Arial" w:cs="Arial"/>
          <w:b/>
        </w:rPr>
        <w:t xml:space="preserve">16.1.6. </w:t>
      </w:r>
      <w:r>
        <w:rPr>
          <w:rFonts w:ascii="Arial" w:hAnsi="Arial" w:eastAsia="Arial" w:cs="Arial"/>
        </w:rPr>
        <w:t>Fraudar a licitação ou praticar ato fraudulento na execução do contrato.</w:t>
      </w:r>
    </w:p>
    <w:p w14:paraId="3D49923A">
      <w:pPr>
        <w:jc w:val="both"/>
        <w:rPr>
          <w:rFonts w:ascii="Arial" w:hAnsi="Arial" w:eastAsia="Arial" w:cs="Arial"/>
        </w:rPr>
      </w:pPr>
    </w:p>
    <w:p w14:paraId="4A7B80C1">
      <w:pPr>
        <w:jc w:val="both"/>
        <w:rPr>
          <w:rFonts w:ascii="Arial" w:hAnsi="Arial" w:eastAsia="Arial" w:cs="Arial"/>
        </w:rPr>
      </w:pPr>
      <w:r>
        <w:rPr>
          <w:rFonts w:ascii="Arial" w:hAnsi="Arial" w:eastAsia="Arial" w:cs="Arial"/>
          <w:b/>
        </w:rPr>
        <w:t>16.1.7.</w:t>
      </w:r>
      <w:r>
        <w:rPr>
          <w:rFonts w:ascii="Arial" w:hAnsi="Arial" w:eastAsia="Arial" w:cs="Arial"/>
        </w:rPr>
        <w:t xml:space="preserve"> Comportar-se de modo inidôneo ou cometer fraude de qualquer natureza.</w:t>
      </w:r>
    </w:p>
    <w:p w14:paraId="7F07431A">
      <w:pPr>
        <w:jc w:val="both"/>
        <w:rPr>
          <w:rFonts w:ascii="Arial" w:hAnsi="Arial" w:eastAsia="Arial" w:cs="Arial"/>
        </w:rPr>
      </w:pPr>
    </w:p>
    <w:p w14:paraId="54A6383A">
      <w:pPr>
        <w:jc w:val="both"/>
        <w:rPr>
          <w:rFonts w:ascii="Arial" w:hAnsi="Arial" w:eastAsia="Arial" w:cs="Arial"/>
        </w:rPr>
      </w:pPr>
      <w:r>
        <w:rPr>
          <w:rFonts w:ascii="Arial" w:hAnsi="Arial" w:eastAsia="Arial" w:cs="Arial"/>
          <w:b/>
        </w:rPr>
        <w:t>16.1.8.</w:t>
      </w:r>
      <w:r>
        <w:rPr>
          <w:rFonts w:ascii="Arial" w:hAnsi="Arial" w:eastAsia="Arial" w:cs="Arial"/>
        </w:rPr>
        <w:t xml:space="preserve"> Praticar atos ilícitos com vistas a frustrar os objetivos da licitação.</w:t>
      </w:r>
    </w:p>
    <w:p w14:paraId="07C7E59C">
      <w:pPr>
        <w:jc w:val="both"/>
        <w:rPr>
          <w:rFonts w:ascii="Arial" w:hAnsi="Arial" w:eastAsia="Arial" w:cs="Arial"/>
        </w:rPr>
      </w:pPr>
    </w:p>
    <w:p w14:paraId="1AC051AA">
      <w:pPr>
        <w:jc w:val="both"/>
        <w:rPr>
          <w:rFonts w:ascii="Arial" w:hAnsi="Arial" w:eastAsia="Arial" w:cs="Arial"/>
        </w:rPr>
      </w:pPr>
      <w:r>
        <w:rPr>
          <w:rFonts w:ascii="Arial" w:hAnsi="Arial" w:eastAsia="Arial" w:cs="Arial"/>
          <w:b/>
        </w:rPr>
        <w:t>16.1.9.</w:t>
      </w:r>
      <w:r>
        <w:rPr>
          <w:rFonts w:ascii="Arial" w:hAnsi="Arial" w:eastAsia="Arial" w:cs="Arial"/>
        </w:rPr>
        <w:t xml:space="preserve"> Praticar ato lesivo previsto no art. 5º, da Lei nº 12.846/2013.</w:t>
      </w:r>
    </w:p>
    <w:p w14:paraId="5F099EE1">
      <w:pPr>
        <w:jc w:val="both"/>
        <w:rPr>
          <w:rFonts w:ascii="Arial" w:hAnsi="Arial" w:eastAsia="Arial" w:cs="Arial"/>
        </w:rPr>
      </w:pPr>
    </w:p>
    <w:p w14:paraId="0F20F974">
      <w:pPr>
        <w:jc w:val="both"/>
        <w:rPr>
          <w:rFonts w:ascii="Arial" w:hAnsi="Arial" w:eastAsia="Arial" w:cs="Arial"/>
        </w:rPr>
      </w:pPr>
      <w:r>
        <w:rPr>
          <w:rFonts w:ascii="Arial" w:hAnsi="Arial" w:eastAsia="Arial" w:cs="Arial"/>
          <w:b/>
        </w:rPr>
        <w:t>16.2.</w:t>
      </w:r>
      <w:r>
        <w:rPr>
          <w:rFonts w:ascii="Arial" w:hAnsi="Arial" w:eastAsia="Arial" w:cs="Arial"/>
        </w:rPr>
        <w:t xml:space="preserve"> Serão aplicadas ao contratado que incorrer nas infrações acima descritas as seguintes sanções:</w:t>
      </w:r>
    </w:p>
    <w:p w14:paraId="7F0E9733">
      <w:pPr>
        <w:jc w:val="both"/>
        <w:rPr>
          <w:rFonts w:ascii="Arial" w:hAnsi="Arial" w:eastAsia="Arial" w:cs="Arial"/>
        </w:rPr>
      </w:pPr>
    </w:p>
    <w:p w14:paraId="6DCB8B57">
      <w:pPr>
        <w:jc w:val="both"/>
        <w:rPr>
          <w:rFonts w:ascii="Arial" w:hAnsi="Arial" w:eastAsia="Arial" w:cs="Arial"/>
        </w:rPr>
      </w:pPr>
      <w:r>
        <w:rPr>
          <w:rFonts w:ascii="Arial" w:hAnsi="Arial" w:eastAsia="Arial" w:cs="Arial"/>
          <w:b/>
        </w:rPr>
        <w:t>16.2.1.</w:t>
      </w:r>
      <w:r>
        <w:rPr>
          <w:rFonts w:ascii="Arial" w:hAnsi="Arial" w:eastAsia="Arial" w:cs="Arial"/>
        </w:rPr>
        <w:t xml:space="preserve"> Advertência, quando o contratado der causa à inexecução parcial do contrato que não implique em prejuízo ou dano à administração, bem como na hipótese de descumprimento de pequena relevância praticado pelo contratado e que não justifique imposição de penalidade mais grave;</w:t>
      </w:r>
    </w:p>
    <w:p w14:paraId="34AD86B6">
      <w:pPr>
        <w:jc w:val="both"/>
        <w:rPr>
          <w:rFonts w:ascii="Arial" w:hAnsi="Arial" w:eastAsia="Arial" w:cs="Arial"/>
        </w:rPr>
      </w:pPr>
    </w:p>
    <w:p w14:paraId="0015C292">
      <w:pPr>
        <w:jc w:val="both"/>
        <w:rPr>
          <w:rFonts w:ascii="Arial" w:hAnsi="Arial" w:eastAsia="Arial" w:cs="Arial"/>
        </w:rPr>
      </w:pPr>
      <w:r>
        <w:rPr>
          <w:rFonts w:ascii="Arial" w:hAnsi="Arial" w:eastAsia="Arial" w:cs="Arial"/>
          <w:b/>
        </w:rPr>
        <w:t>16.2.2.</w:t>
      </w:r>
      <w:r>
        <w:rPr>
          <w:rFonts w:ascii="Arial" w:hAnsi="Arial" w:eastAsia="Arial" w:cs="Arial"/>
        </w:rPr>
        <w:t xml:space="preserve"> Multa:</w:t>
      </w:r>
    </w:p>
    <w:p w14:paraId="5DD61555">
      <w:pPr>
        <w:jc w:val="both"/>
        <w:rPr>
          <w:rFonts w:ascii="Arial" w:hAnsi="Arial" w:eastAsia="Arial" w:cs="Arial"/>
        </w:rPr>
      </w:pPr>
    </w:p>
    <w:p w14:paraId="78FD43DB">
      <w:pPr>
        <w:jc w:val="both"/>
        <w:rPr>
          <w:rFonts w:ascii="Arial" w:hAnsi="Arial" w:eastAsia="Arial" w:cs="Arial"/>
        </w:rPr>
      </w:pPr>
      <w:r>
        <w:rPr>
          <w:rFonts w:ascii="Arial" w:hAnsi="Arial" w:eastAsia="Arial" w:cs="Arial"/>
          <w:b/>
        </w:rPr>
        <w:t>16.2.2.1.</w:t>
      </w:r>
      <w:r>
        <w:rPr>
          <w:rFonts w:ascii="Arial" w:hAnsi="Arial" w:eastAsia="Arial" w:cs="Arial"/>
        </w:rPr>
        <w:t xml:space="preserve"> Moratória: em razão do atraso injustificado: na proporção de 5 % (cinco por cento) do valor da parcela inadimplida por dia de atraso injustificado até o limite de 30 (trinta) dias corridos.</w:t>
      </w:r>
    </w:p>
    <w:p w14:paraId="27211834">
      <w:pPr>
        <w:jc w:val="both"/>
        <w:rPr>
          <w:rFonts w:ascii="Arial" w:hAnsi="Arial" w:eastAsia="Arial" w:cs="Arial"/>
        </w:rPr>
      </w:pPr>
    </w:p>
    <w:p w14:paraId="3BAA4F3E">
      <w:pPr>
        <w:jc w:val="both"/>
        <w:rPr>
          <w:rFonts w:ascii="Arial" w:hAnsi="Arial" w:eastAsia="Arial" w:cs="Arial"/>
        </w:rPr>
      </w:pPr>
      <w:r>
        <w:rPr>
          <w:rFonts w:ascii="Arial" w:hAnsi="Arial" w:eastAsia="Arial" w:cs="Arial"/>
          <w:b/>
        </w:rPr>
        <w:t>16.2.2.1.1</w:t>
      </w:r>
      <w:r>
        <w:rPr>
          <w:rFonts w:ascii="Arial" w:hAnsi="Arial" w:eastAsia="Arial" w:cs="Arial"/>
        </w:rPr>
        <w:t>. O atraso superior a 30 (trinta) dias autoriza a Administração a promover a extinção do contrato por descumprimento ou cumprimento irregular de suas cláusulas, conforme dispõe o inciso I do art. 137 da Lei n.</w:t>
      </w:r>
    </w:p>
    <w:p w14:paraId="0FAEDAE3">
      <w:pPr>
        <w:jc w:val="both"/>
        <w:rPr>
          <w:rFonts w:ascii="Arial" w:hAnsi="Arial" w:eastAsia="Arial" w:cs="Arial"/>
        </w:rPr>
      </w:pPr>
      <w:r>
        <w:rPr>
          <w:rFonts w:ascii="Arial" w:hAnsi="Arial" w:eastAsia="Arial" w:cs="Arial"/>
        </w:rPr>
        <w:t>14.133, de 2021.</w:t>
      </w:r>
    </w:p>
    <w:p w14:paraId="420FF661">
      <w:pPr>
        <w:jc w:val="both"/>
        <w:rPr>
          <w:rFonts w:ascii="Arial" w:hAnsi="Arial" w:eastAsia="Arial" w:cs="Arial"/>
        </w:rPr>
      </w:pPr>
    </w:p>
    <w:p w14:paraId="796BBEC0">
      <w:pPr>
        <w:jc w:val="both"/>
        <w:rPr>
          <w:rFonts w:ascii="Arial" w:hAnsi="Arial" w:eastAsia="Arial" w:cs="Arial"/>
        </w:rPr>
      </w:pPr>
      <w:r>
        <w:rPr>
          <w:rFonts w:ascii="Arial" w:hAnsi="Arial" w:eastAsia="Arial" w:cs="Arial"/>
          <w:b/>
        </w:rPr>
        <w:t>16.2.2.2.</w:t>
      </w:r>
      <w:r>
        <w:rPr>
          <w:rFonts w:ascii="Arial" w:hAnsi="Arial" w:eastAsia="Arial" w:cs="Arial"/>
        </w:rPr>
        <w:t xml:space="preserve"> Compensatória: será aplicada multa de 0,5% até 30% sobre o valor do contrato, devendo a autoridade competente observar, na dosimetria da pena, as seguintes recomendações:</w:t>
      </w:r>
    </w:p>
    <w:p w14:paraId="3581D1F3">
      <w:pPr>
        <w:jc w:val="both"/>
        <w:rPr>
          <w:rFonts w:ascii="Arial" w:hAnsi="Arial" w:eastAsia="Arial" w:cs="Arial"/>
        </w:rPr>
      </w:pPr>
    </w:p>
    <w:p w14:paraId="5060170A">
      <w:pPr>
        <w:jc w:val="both"/>
        <w:rPr>
          <w:rFonts w:ascii="Arial" w:hAnsi="Arial" w:eastAsia="Arial" w:cs="Arial"/>
        </w:rPr>
      </w:pPr>
      <w:r>
        <w:rPr>
          <w:rFonts w:ascii="Arial" w:hAnsi="Arial" w:eastAsia="Arial" w:cs="Arial"/>
          <w:b/>
        </w:rPr>
        <w:t xml:space="preserve">16.2.2.2.1. </w:t>
      </w:r>
      <w:r>
        <w:rPr>
          <w:rFonts w:ascii="Arial" w:hAnsi="Arial" w:eastAsia="Arial" w:cs="Arial"/>
        </w:rPr>
        <w:t xml:space="preserve">Em casos de inexecução parcial do contrato, que cause grave dano à Administração, ao funcionamento dos serviços públicos ou ao interesse coletivo (ítem 16.1.1), bem como quantos aos itens: 16.1.3 e 16.1.4, a multa será de 0,5% a 15% do valor do contrato licitado. </w:t>
      </w:r>
    </w:p>
    <w:p w14:paraId="1160CA94">
      <w:pPr>
        <w:jc w:val="both"/>
        <w:rPr>
          <w:rFonts w:ascii="Arial" w:hAnsi="Arial" w:eastAsia="Arial" w:cs="Arial"/>
        </w:rPr>
      </w:pPr>
    </w:p>
    <w:p w14:paraId="4948517A">
      <w:pPr>
        <w:jc w:val="both"/>
        <w:rPr>
          <w:rFonts w:ascii="Arial" w:hAnsi="Arial" w:eastAsia="Arial" w:cs="Arial"/>
        </w:rPr>
      </w:pPr>
      <w:r>
        <w:rPr>
          <w:rFonts w:ascii="Arial" w:hAnsi="Arial" w:eastAsia="Arial" w:cs="Arial"/>
          <w:b/>
        </w:rPr>
        <w:t>16.2.2.2.2.</w:t>
      </w:r>
      <w:r>
        <w:rPr>
          <w:rFonts w:ascii="Arial" w:hAnsi="Arial" w:eastAsia="Arial" w:cs="Arial"/>
        </w:rPr>
        <w:t xml:space="preserve"> Em casos de inexecução total do contrato (ítem 16.1.2), bem como quanto aos itens: 16.1.5; 16.1.6; 16.1.7; 16.1.8 e 16.1.9) nas hipóteses de atos fraudulentos com o objetivo de obter vantagens indevidas, a multa será fixada entre 15% a 30% do valor do contrato licitado. </w:t>
      </w:r>
    </w:p>
    <w:p w14:paraId="766A9A9F">
      <w:pPr>
        <w:jc w:val="both"/>
        <w:rPr>
          <w:rFonts w:ascii="Arial" w:hAnsi="Arial" w:eastAsia="Arial" w:cs="Arial"/>
        </w:rPr>
      </w:pPr>
    </w:p>
    <w:p w14:paraId="72BAB5C7">
      <w:pPr>
        <w:jc w:val="both"/>
        <w:rPr>
          <w:rFonts w:ascii="Arial" w:hAnsi="Arial" w:eastAsia="Arial" w:cs="Arial"/>
        </w:rPr>
      </w:pPr>
      <w:r>
        <w:rPr>
          <w:rFonts w:ascii="Arial" w:hAnsi="Arial" w:eastAsia="Arial" w:cs="Arial"/>
          <w:b/>
        </w:rPr>
        <w:t>16.2.2.2.3.</w:t>
      </w:r>
      <w:r>
        <w:rPr>
          <w:rFonts w:ascii="Arial" w:hAnsi="Arial" w:eastAsia="Arial" w:cs="Arial"/>
        </w:rPr>
        <w:t xml:space="preserve"> No caso de inexecução total, a multa será aplicada independentemente da existência ou não do prejuízo ao contratante, implicando ainda na possibilidade de rescisão do contrato.</w:t>
      </w:r>
    </w:p>
    <w:p w14:paraId="7FDC8268">
      <w:pPr>
        <w:jc w:val="both"/>
        <w:rPr>
          <w:rFonts w:ascii="Arial" w:hAnsi="Arial" w:eastAsia="Arial" w:cs="Arial"/>
        </w:rPr>
      </w:pPr>
    </w:p>
    <w:p w14:paraId="4983DE5F">
      <w:pPr>
        <w:jc w:val="both"/>
        <w:rPr>
          <w:rFonts w:ascii="Arial" w:hAnsi="Arial" w:eastAsia="Arial" w:cs="Arial"/>
        </w:rPr>
      </w:pPr>
      <w:r>
        <w:rPr>
          <w:rFonts w:ascii="Arial" w:hAnsi="Arial" w:eastAsia="Arial" w:cs="Arial"/>
          <w:b/>
        </w:rPr>
        <w:t>16.2.2.3.</w:t>
      </w:r>
      <w:r>
        <w:rPr>
          <w:rFonts w:ascii="Arial" w:hAnsi="Arial" w:eastAsia="Arial" w:cs="Arial"/>
        </w:rPr>
        <w:t xml:space="preserve"> Antes da aplicação da multa será facultada a defesa do interessado no prazo de 15 (quinze) dias úteis, contado da data de sua intimação.</w:t>
      </w:r>
    </w:p>
    <w:p w14:paraId="62F6AF76">
      <w:pPr>
        <w:jc w:val="both"/>
        <w:rPr>
          <w:rFonts w:ascii="Arial" w:hAnsi="Arial" w:eastAsia="Arial" w:cs="Arial"/>
        </w:rPr>
      </w:pPr>
    </w:p>
    <w:p w14:paraId="2CB6309D">
      <w:pPr>
        <w:jc w:val="both"/>
        <w:rPr>
          <w:rFonts w:ascii="Arial" w:hAnsi="Arial" w:eastAsia="Arial" w:cs="Arial"/>
        </w:rPr>
      </w:pPr>
      <w:r>
        <w:rPr>
          <w:rFonts w:ascii="Arial" w:hAnsi="Arial" w:eastAsia="Arial" w:cs="Arial"/>
          <w:b/>
        </w:rPr>
        <w:t>16.2.2.4.</w:t>
      </w:r>
      <w:r>
        <w:rPr>
          <w:rFonts w:ascii="Arial" w:hAnsi="Arial" w:eastAsia="Arial" w:cs="Arial"/>
        </w:rPr>
        <w:t xml:space="preserve"> Se a multa aplicada e as indenizações cabíveis forem superiores ao valor do pagamento eventualmente devido pelo contratante ao contratado, além da perda desse valor, a diferença será descontada da garantia prestada ou será cobrada judicialmente.</w:t>
      </w:r>
    </w:p>
    <w:p w14:paraId="6473BC58">
      <w:pPr>
        <w:jc w:val="both"/>
        <w:rPr>
          <w:rFonts w:ascii="Arial" w:hAnsi="Arial" w:eastAsia="Arial" w:cs="Arial"/>
        </w:rPr>
      </w:pPr>
    </w:p>
    <w:p w14:paraId="470D567B">
      <w:pPr>
        <w:jc w:val="both"/>
        <w:rPr>
          <w:rFonts w:ascii="Arial" w:hAnsi="Arial" w:eastAsia="Arial" w:cs="Arial"/>
        </w:rPr>
      </w:pPr>
      <w:r>
        <w:rPr>
          <w:rFonts w:ascii="Arial" w:hAnsi="Arial" w:eastAsia="Arial" w:cs="Arial"/>
          <w:b/>
        </w:rPr>
        <w:t>16.2.2.5.</w:t>
      </w:r>
      <w:r>
        <w:rPr>
          <w:rFonts w:ascii="Arial" w:hAnsi="Arial" w:eastAsia="Arial" w:cs="Arial"/>
        </w:rPr>
        <w:t xml:space="preserve"> Caso o contratado não tenha nenhum valor a receber do contratante, ou os valores do pagamento e da garantia contratual forem insuficientes, o contratante concederá o prazo de 05 (cinco) dias úteis, contados do recebimento de sua intimação, para que a multa seja paga.</w:t>
      </w:r>
    </w:p>
    <w:p w14:paraId="65BB96B5">
      <w:pPr>
        <w:jc w:val="both"/>
        <w:rPr>
          <w:rFonts w:ascii="Arial" w:hAnsi="Arial" w:eastAsia="Arial" w:cs="Arial"/>
        </w:rPr>
      </w:pPr>
    </w:p>
    <w:p w14:paraId="6891786A">
      <w:pPr>
        <w:jc w:val="both"/>
        <w:rPr>
          <w:rFonts w:ascii="Arial" w:hAnsi="Arial" w:eastAsia="Arial" w:cs="Arial"/>
        </w:rPr>
      </w:pPr>
      <w:r>
        <w:rPr>
          <w:rFonts w:ascii="Arial" w:hAnsi="Arial" w:eastAsia="Arial" w:cs="Arial"/>
          <w:b/>
        </w:rPr>
        <w:t>16.2.2.6.</w:t>
      </w:r>
      <w:r>
        <w:rPr>
          <w:rFonts w:ascii="Arial" w:hAnsi="Arial" w:eastAsia="Arial" w:cs="Arial"/>
        </w:rPr>
        <w:t xml:space="preserve"> Esgotados os meios administrativos para a cobrança dos valores devidos, o contratante providenciará o encaminhamento do processo à Procuradoria-Geral do Município para que seja realizada a cobrança judicial.</w:t>
      </w:r>
    </w:p>
    <w:p w14:paraId="2FC57278">
      <w:pPr>
        <w:jc w:val="both"/>
        <w:rPr>
          <w:rFonts w:ascii="Arial" w:hAnsi="Arial" w:eastAsia="Arial" w:cs="Arial"/>
        </w:rPr>
      </w:pPr>
    </w:p>
    <w:p w14:paraId="44C53804">
      <w:pPr>
        <w:jc w:val="both"/>
        <w:rPr>
          <w:rFonts w:ascii="Arial" w:hAnsi="Arial" w:eastAsia="Arial" w:cs="Arial"/>
        </w:rPr>
      </w:pPr>
      <w:r>
        <w:rPr>
          <w:rFonts w:ascii="Arial" w:hAnsi="Arial" w:eastAsia="Arial" w:cs="Arial"/>
          <w:b/>
        </w:rPr>
        <w:t>16.2.2.7.</w:t>
      </w:r>
      <w:r>
        <w:rPr>
          <w:rFonts w:ascii="Arial" w:hAnsi="Arial" w:eastAsia="Arial" w:cs="Arial"/>
        </w:rPr>
        <w:t xml:space="preserve"> Caso o contratante tenha de recorrer ou comparecer a juízo para haver o que lhe for devido, o contratado ficará sujeita ao pagamento, além do principal do débito, da pena convencional de 10% (dez por cento) sobre o valor do litígio, dos juros de mora de 1% (um por cento) ao mês, despesas de processo e honorários de advogado, estes fixados, desde logo, em 20% (vinte por cento) sobre o valor em litígio.</w:t>
      </w:r>
    </w:p>
    <w:p w14:paraId="5D02C3CC">
      <w:pPr>
        <w:jc w:val="both"/>
        <w:rPr>
          <w:rFonts w:ascii="Arial" w:hAnsi="Arial" w:eastAsia="Arial" w:cs="Arial"/>
        </w:rPr>
      </w:pPr>
    </w:p>
    <w:p w14:paraId="4E1E5ADA">
      <w:pPr>
        <w:jc w:val="both"/>
        <w:rPr>
          <w:rFonts w:ascii="Arial" w:hAnsi="Arial" w:eastAsia="Arial" w:cs="Arial"/>
        </w:rPr>
      </w:pPr>
      <w:r>
        <w:rPr>
          <w:rFonts w:ascii="Arial" w:hAnsi="Arial" w:eastAsia="Arial" w:cs="Arial"/>
          <w:b/>
        </w:rPr>
        <w:t>16.2.2.8.</w:t>
      </w:r>
      <w:r>
        <w:rPr>
          <w:rFonts w:ascii="Arial" w:hAnsi="Arial" w:eastAsia="Arial" w:cs="Arial"/>
        </w:rPr>
        <w:t xml:space="preserve"> A aplicação de multa de mora não impedirá que a Administração a converta em compensatória e promova a extinção unilateral do contrato com a aplicação cumulada de outras sanções previstas na Lei 14.133/2021.</w:t>
      </w:r>
    </w:p>
    <w:p w14:paraId="7D902CB1">
      <w:pPr>
        <w:jc w:val="both"/>
        <w:rPr>
          <w:rFonts w:ascii="Arial" w:hAnsi="Arial" w:eastAsia="Arial" w:cs="Arial"/>
        </w:rPr>
      </w:pPr>
    </w:p>
    <w:p w14:paraId="1F0F77CA">
      <w:pPr>
        <w:jc w:val="both"/>
        <w:rPr>
          <w:rFonts w:ascii="Arial" w:hAnsi="Arial" w:eastAsia="Arial" w:cs="Arial"/>
        </w:rPr>
      </w:pPr>
      <w:r>
        <w:rPr>
          <w:rFonts w:ascii="Arial" w:hAnsi="Arial" w:eastAsia="Arial" w:cs="Arial"/>
          <w:b/>
        </w:rPr>
        <w:t>16.2.3.</w:t>
      </w:r>
      <w:r>
        <w:rPr>
          <w:rFonts w:ascii="Arial" w:hAnsi="Arial" w:eastAsia="Arial" w:cs="Arial"/>
        </w:rPr>
        <w:t xml:space="preserve"> Impedimento de licitar e contratar, caso não se justifique imposição de penalidade mais grave.</w:t>
      </w:r>
    </w:p>
    <w:p w14:paraId="2F735308">
      <w:pPr>
        <w:jc w:val="both"/>
        <w:rPr>
          <w:rFonts w:ascii="Arial" w:hAnsi="Arial" w:eastAsia="Arial" w:cs="Arial"/>
        </w:rPr>
      </w:pPr>
    </w:p>
    <w:p w14:paraId="76451ACB">
      <w:pPr>
        <w:jc w:val="both"/>
        <w:rPr>
          <w:rFonts w:ascii="Arial" w:hAnsi="Arial" w:eastAsia="Arial" w:cs="Arial"/>
        </w:rPr>
      </w:pPr>
      <w:r>
        <w:rPr>
          <w:rFonts w:ascii="Arial" w:hAnsi="Arial" w:eastAsia="Arial" w:cs="Arial"/>
          <w:b/>
        </w:rPr>
        <w:t>16.2.3.1.</w:t>
      </w:r>
      <w:r>
        <w:rPr>
          <w:rFonts w:ascii="Arial" w:hAnsi="Arial" w:eastAsia="Arial" w:cs="Arial"/>
        </w:rPr>
        <w:t xml:space="preserve"> Essa penalidade poderá ser aplicada nas seguintes hipóteses:</w:t>
      </w:r>
    </w:p>
    <w:p w14:paraId="5421C320">
      <w:pPr>
        <w:jc w:val="both"/>
        <w:rPr>
          <w:rFonts w:ascii="Arial" w:hAnsi="Arial" w:eastAsia="Arial" w:cs="Arial"/>
        </w:rPr>
      </w:pPr>
    </w:p>
    <w:p w14:paraId="2E477353">
      <w:pPr>
        <w:jc w:val="both"/>
        <w:rPr>
          <w:rFonts w:ascii="Arial" w:hAnsi="Arial" w:eastAsia="Arial" w:cs="Arial"/>
        </w:rPr>
      </w:pPr>
      <w:r>
        <w:rPr>
          <w:rFonts w:ascii="Arial" w:hAnsi="Arial" w:eastAsia="Arial" w:cs="Arial"/>
          <w:b/>
        </w:rPr>
        <w:t>16.2.3.1.1.</w:t>
      </w:r>
      <w:r>
        <w:rPr>
          <w:rFonts w:ascii="Arial" w:hAnsi="Arial" w:eastAsia="Arial" w:cs="Arial"/>
        </w:rPr>
        <w:t xml:space="preserve"> Der causa à inexecução parcial do contrato que cause grave dano à Administração, ao funcionamento dos serviços públicos ou ao interesse coletivo;</w:t>
      </w:r>
    </w:p>
    <w:p w14:paraId="062002AF">
      <w:pPr>
        <w:jc w:val="both"/>
        <w:rPr>
          <w:rFonts w:ascii="Arial" w:hAnsi="Arial" w:eastAsia="Arial" w:cs="Arial"/>
        </w:rPr>
      </w:pPr>
      <w:r>
        <w:rPr>
          <w:rFonts w:ascii="Arial" w:hAnsi="Arial" w:eastAsia="Arial" w:cs="Arial"/>
          <w:b/>
        </w:rPr>
        <w:t>16.2.3.1.2</w:t>
      </w:r>
      <w:r>
        <w:rPr>
          <w:rFonts w:ascii="Arial" w:hAnsi="Arial" w:eastAsia="Arial" w:cs="Arial"/>
        </w:rPr>
        <w:t>. Der causa à inexecução total do contrato;</w:t>
      </w:r>
    </w:p>
    <w:p w14:paraId="1513AAA6">
      <w:pPr>
        <w:jc w:val="both"/>
        <w:rPr>
          <w:rFonts w:ascii="Arial" w:hAnsi="Arial" w:eastAsia="Arial" w:cs="Arial"/>
        </w:rPr>
      </w:pPr>
    </w:p>
    <w:p w14:paraId="2E866930">
      <w:pPr>
        <w:jc w:val="both"/>
        <w:rPr>
          <w:rFonts w:ascii="Arial" w:hAnsi="Arial" w:eastAsia="Arial" w:cs="Arial"/>
        </w:rPr>
      </w:pPr>
      <w:r>
        <w:rPr>
          <w:rFonts w:ascii="Arial" w:hAnsi="Arial" w:eastAsia="Arial" w:cs="Arial"/>
          <w:b/>
        </w:rPr>
        <w:t>16.2.3.1.3</w:t>
      </w:r>
      <w:r>
        <w:rPr>
          <w:rFonts w:ascii="Arial" w:hAnsi="Arial" w:eastAsia="Arial" w:cs="Arial"/>
        </w:rPr>
        <w:t>. Deixar de entregar a documentação exigida para o certame;</w:t>
      </w:r>
    </w:p>
    <w:p w14:paraId="757E29D4">
      <w:pPr>
        <w:jc w:val="both"/>
        <w:rPr>
          <w:rFonts w:ascii="Arial" w:hAnsi="Arial" w:eastAsia="Arial" w:cs="Arial"/>
        </w:rPr>
      </w:pPr>
    </w:p>
    <w:p w14:paraId="0417B097">
      <w:pPr>
        <w:jc w:val="both"/>
        <w:rPr>
          <w:rFonts w:ascii="Arial" w:hAnsi="Arial" w:eastAsia="Arial" w:cs="Arial"/>
        </w:rPr>
      </w:pPr>
      <w:r>
        <w:rPr>
          <w:rFonts w:ascii="Arial" w:hAnsi="Arial" w:eastAsia="Arial" w:cs="Arial"/>
          <w:b/>
        </w:rPr>
        <w:t>16.2.3.1.4</w:t>
      </w:r>
      <w:r>
        <w:rPr>
          <w:rFonts w:ascii="Arial" w:hAnsi="Arial" w:eastAsia="Arial" w:cs="Arial"/>
        </w:rPr>
        <w:t>. Não manter a proposta, salvo em decorrência de fato superveniente devidamente justificado;</w:t>
      </w:r>
    </w:p>
    <w:p w14:paraId="1BDE4D07">
      <w:pPr>
        <w:jc w:val="both"/>
        <w:rPr>
          <w:rFonts w:ascii="Arial" w:hAnsi="Arial" w:eastAsia="Arial" w:cs="Arial"/>
        </w:rPr>
      </w:pPr>
    </w:p>
    <w:p w14:paraId="3A3DB38D">
      <w:pPr>
        <w:jc w:val="both"/>
        <w:rPr>
          <w:rFonts w:ascii="Arial" w:hAnsi="Arial" w:eastAsia="Arial" w:cs="Arial"/>
        </w:rPr>
      </w:pPr>
      <w:r>
        <w:rPr>
          <w:rFonts w:ascii="Arial" w:hAnsi="Arial" w:eastAsia="Arial" w:cs="Arial"/>
          <w:b/>
        </w:rPr>
        <w:t>16.2.3.1.5.</w:t>
      </w:r>
      <w:r>
        <w:rPr>
          <w:rFonts w:ascii="Arial" w:hAnsi="Arial" w:eastAsia="Arial" w:cs="Arial"/>
        </w:rPr>
        <w:t xml:space="preserve"> Não celebrar o contrato ou não entregar a documentação exigida para a contratação, quando convocado dentro do prazo de validade de sua proposta;</w:t>
      </w:r>
    </w:p>
    <w:p w14:paraId="6C1DEFED">
      <w:pPr>
        <w:jc w:val="both"/>
        <w:rPr>
          <w:rFonts w:ascii="Arial" w:hAnsi="Arial" w:eastAsia="Arial" w:cs="Arial"/>
        </w:rPr>
      </w:pPr>
    </w:p>
    <w:p w14:paraId="538A50C8">
      <w:pPr>
        <w:jc w:val="both"/>
        <w:rPr>
          <w:rFonts w:ascii="Arial" w:hAnsi="Arial" w:eastAsia="Arial" w:cs="Arial"/>
        </w:rPr>
      </w:pPr>
      <w:r>
        <w:rPr>
          <w:rFonts w:ascii="Arial" w:hAnsi="Arial" w:eastAsia="Arial" w:cs="Arial"/>
          <w:b/>
        </w:rPr>
        <w:t>16.2.3.1.6.</w:t>
      </w:r>
      <w:r>
        <w:rPr>
          <w:rFonts w:ascii="Arial" w:hAnsi="Arial" w:eastAsia="Arial" w:cs="Arial"/>
        </w:rPr>
        <w:t xml:space="preserve"> Ensejar o retardamento da execução ou da entrega do objeto da licitação sem motivo justificado.</w:t>
      </w:r>
    </w:p>
    <w:p w14:paraId="7C49E1E4">
      <w:pPr>
        <w:jc w:val="both"/>
        <w:rPr>
          <w:rFonts w:ascii="Arial" w:hAnsi="Arial" w:eastAsia="Arial" w:cs="Arial"/>
        </w:rPr>
      </w:pPr>
    </w:p>
    <w:p w14:paraId="396BF4D8">
      <w:pPr>
        <w:jc w:val="both"/>
        <w:rPr>
          <w:rFonts w:ascii="Arial" w:hAnsi="Arial" w:eastAsia="Arial" w:cs="Arial"/>
        </w:rPr>
      </w:pPr>
      <w:r>
        <w:rPr>
          <w:rFonts w:ascii="Arial" w:hAnsi="Arial" w:eastAsia="Arial" w:cs="Arial"/>
          <w:b/>
        </w:rPr>
        <w:t>16.2.4.</w:t>
      </w:r>
      <w:r>
        <w:rPr>
          <w:rFonts w:ascii="Arial" w:hAnsi="Arial" w:eastAsia="Arial" w:cs="Arial"/>
        </w:rPr>
        <w:t xml:space="preserve"> As condutas aqui enumeradas também podem justificar a aplicação da declaração de inidoneidade quando as circunstâncias do caso concreto justificarem a imposição de penalidade mais grave.</w:t>
      </w:r>
    </w:p>
    <w:p w14:paraId="7D9CD69C">
      <w:pPr>
        <w:jc w:val="both"/>
        <w:rPr>
          <w:rFonts w:ascii="Arial" w:hAnsi="Arial" w:eastAsia="Arial" w:cs="Arial"/>
        </w:rPr>
      </w:pPr>
    </w:p>
    <w:p w14:paraId="04E21E34">
      <w:pPr>
        <w:jc w:val="both"/>
        <w:rPr>
          <w:rFonts w:ascii="Arial" w:hAnsi="Arial" w:eastAsia="Arial" w:cs="Arial"/>
        </w:rPr>
      </w:pPr>
      <w:r>
        <w:rPr>
          <w:rFonts w:ascii="Arial" w:hAnsi="Arial" w:eastAsia="Arial" w:cs="Arial"/>
          <w:b/>
        </w:rPr>
        <w:t>16.2.4.1.</w:t>
      </w:r>
      <w:r>
        <w:rPr>
          <w:rFonts w:ascii="Arial" w:hAnsi="Arial" w:eastAsia="Arial" w:cs="Arial"/>
        </w:rPr>
        <w:t xml:space="preserve"> Declaração de inidoneidade para licitar e contratar.</w:t>
      </w:r>
    </w:p>
    <w:p w14:paraId="71AD6A5C">
      <w:pPr>
        <w:jc w:val="both"/>
        <w:rPr>
          <w:rFonts w:ascii="Arial" w:hAnsi="Arial" w:eastAsia="Arial" w:cs="Arial"/>
        </w:rPr>
      </w:pPr>
    </w:p>
    <w:p w14:paraId="24D6317A">
      <w:pPr>
        <w:jc w:val="both"/>
        <w:rPr>
          <w:rFonts w:ascii="Arial" w:hAnsi="Arial" w:eastAsia="Arial" w:cs="Arial"/>
        </w:rPr>
      </w:pPr>
      <w:r>
        <w:rPr>
          <w:rFonts w:ascii="Arial" w:hAnsi="Arial" w:eastAsia="Arial" w:cs="Arial"/>
          <w:b/>
        </w:rPr>
        <w:t>16.2.4.2.</w:t>
      </w:r>
      <w:r>
        <w:rPr>
          <w:rFonts w:ascii="Arial" w:hAnsi="Arial" w:eastAsia="Arial" w:cs="Arial"/>
        </w:rPr>
        <w:t xml:space="preserve"> A declaração de inidoneidade para licitar e contratar pode ser aplicada por qualquer ente da federação impedirá o responsável de licitar e contratar com a Administração Pública direta e indireta do município de Rondonópolis-MT pelo prazo mínimo de 3 (três) anos e máximo de 6 (seis) anos.</w:t>
      </w:r>
    </w:p>
    <w:p w14:paraId="4834D815">
      <w:pPr>
        <w:jc w:val="both"/>
        <w:rPr>
          <w:rFonts w:ascii="Arial" w:hAnsi="Arial" w:eastAsia="Arial" w:cs="Arial"/>
        </w:rPr>
      </w:pPr>
      <w:r>
        <w:rPr>
          <w:rFonts w:ascii="Arial" w:hAnsi="Arial" w:eastAsia="Arial" w:cs="Arial"/>
          <w:b/>
        </w:rPr>
        <w:t>16.2.4.2.1</w:t>
      </w:r>
      <w:r>
        <w:rPr>
          <w:rFonts w:ascii="Arial" w:hAnsi="Arial" w:eastAsia="Arial" w:cs="Arial"/>
        </w:rPr>
        <w:t>. Essa penalidade poderá ser aplicada nas seguintes hipóteses:</w:t>
      </w:r>
    </w:p>
    <w:p w14:paraId="2E527166">
      <w:pPr>
        <w:jc w:val="both"/>
        <w:rPr>
          <w:rFonts w:ascii="Arial" w:hAnsi="Arial" w:eastAsia="Arial" w:cs="Arial"/>
        </w:rPr>
      </w:pPr>
    </w:p>
    <w:p w14:paraId="2BD532BE">
      <w:pPr>
        <w:jc w:val="both"/>
        <w:rPr>
          <w:rFonts w:ascii="Arial" w:hAnsi="Arial" w:eastAsia="Arial" w:cs="Arial"/>
        </w:rPr>
      </w:pPr>
      <w:r>
        <w:rPr>
          <w:rFonts w:ascii="Arial" w:hAnsi="Arial" w:eastAsia="Arial" w:cs="Arial"/>
          <w:b/>
        </w:rPr>
        <w:t>16.2.4.2.1.</w:t>
      </w:r>
      <w:r>
        <w:rPr>
          <w:rFonts w:ascii="Arial" w:hAnsi="Arial" w:eastAsia="Arial" w:cs="Arial"/>
        </w:rPr>
        <w:t xml:space="preserve"> Apresentar declaração ou documentação falsa exigida para o certame ou prestar declaração falsa durante a licitação ou a execução do contrato;</w:t>
      </w:r>
    </w:p>
    <w:p w14:paraId="2D0870F3">
      <w:pPr>
        <w:jc w:val="both"/>
        <w:rPr>
          <w:rFonts w:ascii="Arial" w:hAnsi="Arial" w:eastAsia="Arial" w:cs="Arial"/>
        </w:rPr>
      </w:pPr>
    </w:p>
    <w:p w14:paraId="37E1F085">
      <w:pPr>
        <w:jc w:val="both"/>
        <w:rPr>
          <w:rFonts w:ascii="Arial" w:hAnsi="Arial" w:eastAsia="Arial" w:cs="Arial"/>
        </w:rPr>
      </w:pPr>
      <w:r>
        <w:rPr>
          <w:rFonts w:ascii="Arial" w:hAnsi="Arial" w:eastAsia="Arial" w:cs="Arial"/>
          <w:b/>
        </w:rPr>
        <w:t>16.2.4.2.3.</w:t>
      </w:r>
      <w:r>
        <w:rPr>
          <w:rFonts w:ascii="Arial" w:hAnsi="Arial" w:eastAsia="Arial" w:cs="Arial"/>
        </w:rPr>
        <w:t xml:space="preserve"> Fraudar a licitação ou praticar ato fraudulento na execução do contrato;</w:t>
      </w:r>
    </w:p>
    <w:p w14:paraId="71D4FAC6">
      <w:pPr>
        <w:jc w:val="both"/>
        <w:rPr>
          <w:rFonts w:ascii="Arial" w:hAnsi="Arial" w:eastAsia="Arial" w:cs="Arial"/>
        </w:rPr>
      </w:pPr>
    </w:p>
    <w:p w14:paraId="12A583AE">
      <w:pPr>
        <w:jc w:val="both"/>
        <w:rPr>
          <w:rFonts w:ascii="Arial" w:hAnsi="Arial" w:eastAsia="Arial" w:cs="Arial"/>
        </w:rPr>
      </w:pPr>
      <w:r>
        <w:rPr>
          <w:rFonts w:ascii="Arial" w:hAnsi="Arial" w:eastAsia="Arial" w:cs="Arial"/>
          <w:b/>
        </w:rPr>
        <w:t>16.2.4.2.4.</w:t>
      </w:r>
      <w:r>
        <w:rPr>
          <w:rFonts w:ascii="Arial" w:hAnsi="Arial" w:eastAsia="Arial" w:cs="Arial"/>
        </w:rPr>
        <w:t xml:space="preserve"> Comportar-se de modo inidôneo ou cometer fraude de qualquer natureza;</w:t>
      </w:r>
    </w:p>
    <w:p w14:paraId="72B96687">
      <w:pPr>
        <w:jc w:val="both"/>
        <w:rPr>
          <w:rFonts w:ascii="Arial" w:hAnsi="Arial" w:eastAsia="Arial" w:cs="Arial"/>
        </w:rPr>
      </w:pPr>
    </w:p>
    <w:p w14:paraId="4D9F2B59">
      <w:pPr>
        <w:jc w:val="both"/>
        <w:rPr>
          <w:rFonts w:ascii="Arial" w:hAnsi="Arial" w:eastAsia="Arial" w:cs="Arial"/>
        </w:rPr>
      </w:pPr>
      <w:r>
        <w:rPr>
          <w:rFonts w:ascii="Arial" w:hAnsi="Arial" w:eastAsia="Arial" w:cs="Arial"/>
          <w:b/>
        </w:rPr>
        <w:t>16.2.4.2.5.</w:t>
      </w:r>
      <w:r>
        <w:rPr>
          <w:rFonts w:ascii="Arial" w:hAnsi="Arial" w:eastAsia="Arial" w:cs="Arial"/>
        </w:rPr>
        <w:t xml:space="preserve"> Praticar atos ilícitos com vistas a frustrar os objetivos da licitação;</w:t>
      </w:r>
    </w:p>
    <w:p w14:paraId="6E4EDB28">
      <w:pPr>
        <w:jc w:val="both"/>
        <w:rPr>
          <w:rFonts w:ascii="Arial" w:hAnsi="Arial" w:eastAsia="Arial" w:cs="Arial"/>
        </w:rPr>
      </w:pPr>
    </w:p>
    <w:p w14:paraId="623A87F6">
      <w:pPr>
        <w:jc w:val="both"/>
        <w:rPr>
          <w:rFonts w:ascii="Arial" w:hAnsi="Arial" w:eastAsia="Arial" w:cs="Arial"/>
        </w:rPr>
      </w:pPr>
      <w:r>
        <w:rPr>
          <w:rFonts w:ascii="Arial" w:hAnsi="Arial" w:eastAsia="Arial" w:cs="Arial"/>
          <w:b/>
        </w:rPr>
        <w:t>16.2.4.2.6.</w:t>
      </w:r>
      <w:r>
        <w:rPr>
          <w:rFonts w:ascii="Arial" w:hAnsi="Arial" w:eastAsia="Arial" w:cs="Arial"/>
        </w:rPr>
        <w:t xml:space="preserve"> Praticar ato lesivo previsto no art. 5º da Lei nº 12.846/2013.</w:t>
      </w:r>
    </w:p>
    <w:p w14:paraId="7A7EE113">
      <w:pPr>
        <w:jc w:val="both"/>
        <w:rPr>
          <w:rFonts w:ascii="Arial" w:hAnsi="Arial" w:eastAsia="Arial" w:cs="Arial"/>
        </w:rPr>
      </w:pPr>
    </w:p>
    <w:p w14:paraId="708D87A4">
      <w:pPr>
        <w:jc w:val="both"/>
        <w:rPr>
          <w:rFonts w:ascii="Arial" w:hAnsi="Arial" w:eastAsia="Arial" w:cs="Arial"/>
        </w:rPr>
      </w:pPr>
      <w:r>
        <w:rPr>
          <w:rFonts w:ascii="Arial" w:hAnsi="Arial" w:eastAsia="Arial" w:cs="Arial"/>
          <w:b/>
        </w:rPr>
        <w:t>16.3.</w:t>
      </w:r>
      <w:r>
        <w:rPr>
          <w:rFonts w:ascii="Arial" w:hAnsi="Arial" w:eastAsia="Arial" w:cs="Arial"/>
        </w:rPr>
        <w:t xml:space="preserve"> Todas as sanções previstas neste Contrato poderão ser aplicadas cumulativamente com a multa (art. 156, §7º, da Lei nº 14.133, de 2021).</w:t>
      </w:r>
    </w:p>
    <w:p w14:paraId="00999498">
      <w:pPr>
        <w:jc w:val="both"/>
        <w:rPr>
          <w:rFonts w:ascii="Arial" w:hAnsi="Arial" w:eastAsia="Arial" w:cs="Arial"/>
        </w:rPr>
      </w:pPr>
    </w:p>
    <w:p w14:paraId="1EE641FE">
      <w:pPr>
        <w:jc w:val="both"/>
        <w:rPr>
          <w:rFonts w:ascii="Arial" w:hAnsi="Arial" w:eastAsia="Arial" w:cs="Arial"/>
        </w:rPr>
      </w:pPr>
      <w:r>
        <w:rPr>
          <w:rFonts w:ascii="Arial" w:hAnsi="Arial" w:eastAsia="Arial" w:cs="Arial"/>
          <w:b/>
        </w:rPr>
        <w:t>16.4.</w:t>
      </w:r>
      <w:r>
        <w:rPr>
          <w:rFonts w:ascii="Arial" w:hAnsi="Arial" w:eastAsia="Arial" w:cs="Arial"/>
        </w:rPr>
        <w:t xml:space="preserve"> A aplicação das sanções previstas neste Contrato não exclui, em hipótese alguma, a obrigação de reparação integral do dano causado ao contratante (art. 156, §9º, da Lei nº 14.133, de 2021).</w:t>
      </w:r>
    </w:p>
    <w:p w14:paraId="027E7EA7">
      <w:pPr>
        <w:jc w:val="both"/>
        <w:rPr>
          <w:rFonts w:ascii="Arial" w:hAnsi="Arial" w:eastAsia="Arial" w:cs="Arial"/>
        </w:rPr>
      </w:pPr>
    </w:p>
    <w:p w14:paraId="49CD6F52">
      <w:pPr>
        <w:jc w:val="both"/>
        <w:rPr>
          <w:rFonts w:ascii="Arial" w:hAnsi="Arial" w:eastAsia="Arial" w:cs="Arial"/>
        </w:rPr>
      </w:pPr>
      <w:r>
        <w:rPr>
          <w:rFonts w:ascii="Arial" w:hAnsi="Arial" w:eastAsia="Arial" w:cs="Arial"/>
          <w:b/>
        </w:rPr>
        <w:t>16.5.</w:t>
      </w:r>
      <w:r>
        <w:rPr>
          <w:rFonts w:ascii="Arial" w:hAnsi="Arial" w:eastAsia="Arial" w:cs="Arial"/>
        </w:rPr>
        <w:t xml:space="preserve"> A aplicação de qualquer das penalidades previstas realizar-se-á em processo administrativo que assegurará o contraditório e a ampla defesa, observando-se o procedimento previsto na Lei nº 14.133/2021 e no Decreto Municipal nº 11.685/2023.</w:t>
      </w:r>
    </w:p>
    <w:p w14:paraId="69348A26">
      <w:pPr>
        <w:jc w:val="both"/>
        <w:rPr>
          <w:rFonts w:ascii="Arial" w:hAnsi="Arial" w:eastAsia="Arial" w:cs="Arial"/>
        </w:rPr>
      </w:pPr>
      <w:r>
        <w:rPr>
          <w:rFonts w:ascii="Arial" w:hAnsi="Arial" w:eastAsia="Arial" w:cs="Arial"/>
        </w:rPr>
        <w:t xml:space="preserve"> </w:t>
      </w:r>
    </w:p>
    <w:p w14:paraId="1FA4B570">
      <w:pPr>
        <w:jc w:val="both"/>
        <w:rPr>
          <w:rFonts w:ascii="Arial" w:hAnsi="Arial" w:eastAsia="Arial" w:cs="Arial"/>
        </w:rPr>
      </w:pPr>
      <w:r>
        <w:rPr>
          <w:rFonts w:ascii="Arial" w:hAnsi="Arial" w:eastAsia="Arial" w:cs="Arial"/>
          <w:b/>
        </w:rPr>
        <w:t>16.6.</w:t>
      </w:r>
      <w:r>
        <w:rPr>
          <w:rFonts w:ascii="Arial" w:hAnsi="Arial" w:eastAsia="Arial" w:cs="Arial"/>
        </w:rPr>
        <w:t xml:space="preserve"> A autoridade competente, na aplicação das sanções, levará em consideração:</w:t>
      </w:r>
    </w:p>
    <w:p w14:paraId="0CD1572B">
      <w:pPr>
        <w:jc w:val="both"/>
        <w:rPr>
          <w:rFonts w:ascii="Arial" w:hAnsi="Arial" w:eastAsia="Arial" w:cs="Arial"/>
        </w:rPr>
      </w:pPr>
    </w:p>
    <w:p w14:paraId="5609B90D">
      <w:pPr>
        <w:jc w:val="both"/>
        <w:rPr>
          <w:rFonts w:ascii="Arial" w:hAnsi="Arial" w:eastAsia="Arial" w:cs="Arial"/>
        </w:rPr>
      </w:pPr>
      <w:r>
        <w:rPr>
          <w:rFonts w:ascii="Arial" w:hAnsi="Arial" w:eastAsia="Arial" w:cs="Arial"/>
          <w:b/>
        </w:rPr>
        <w:t>16.6.1.</w:t>
      </w:r>
      <w:r>
        <w:rPr>
          <w:rFonts w:ascii="Arial" w:hAnsi="Arial" w:eastAsia="Arial" w:cs="Arial"/>
        </w:rPr>
        <w:t xml:space="preserve"> a natureza e a gravidade da infração cometida; </w:t>
      </w:r>
    </w:p>
    <w:p w14:paraId="4E0D1CE9">
      <w:pPr>
        <w:jc w:val="both"/>
        <w:rPr>
          <w:rFonts w:ascii="Arial" w:hAnsi="Arial" w:eastAsia="Arial" w:cs="Arial"/>
        </w:rPr>
      </w:pPr>
    </w:p>
    <w:p w14:paraId="681AF3C7">
      <w:pPr>
        <w:jc w:val="both"/>
        <w:rPr>
          <w:rFonts w:ascii="Arial" w:hAnsi="Arial" w:eastAsia="Arial" w:cs="Arial"/>
        </w:rPr>
      </w:pPr>
      <w:r>
        <w:rPr>
          <w:rFonts w:ascii="Arial" w:hAnsi="Arial" w:eastAsia="Arial" w:cs="Arial"/>
          <w:b/>
        </w:rPr>
        <w:t>16.6.2.</w:t>
      </w:r>
      <w:r>
        <w:rPr>
          <w:rFonts w:ascii="Arial" w:hAnsi="Arial" w:eastAsia="Arial" w:cs="Arial"/>
        </w:rPr>
        <w:t xml:space="preserve"> as peculiaridades do caso concreto;</w:t>
      </w:r>
    </w:p>
    <w:p w14:paraId="6D071107">
      <w:pPr>
        <w:jc w:val="both"/>
        <w:rPr>
          <w:rFonts w:ascii="Arial" w:hAnsi="Arial" w:eastAsia="Arial" w:cs="Arial"/>
        </w:rPr>
      </w:pPr>
    </w:p>
    <w:p w14:paraId="43251D6C">
      <w:pPr>
        <w:jc w:val="both"/>
        <w:rPr>
          <w:rFonts w:ascii="Arial" w:hAnsi="Arial" w:eastAsia="Arial" w:cs="Arial"/>
        </w:rPr>
      </w:pPr>
      <w:r>
        <w:rPr>
          <w:rFonts w:ascii="Arial" w:hAnsi="Arial" w:eastAsia="Arial" w:cs="Arial"/>
          <w:b/>
        </w:rPr>
        <w:t>16.6.3.</w:t>
      </w:r>
      <w:r>
        <w:rPr>
          <w:rFonts w:ascii="Arial" w:hAnsi="Arial" w:eastAsia="Arial" w:cs="Arial"/>
        </w:rPr>
        <w:t xml:space="preserve"> as circunstâncias agravantes ou atenuantes;</w:t>
      </w:r>
    </w:p>
    <w:p w14:paraId="01E69706">
      <w:pPr>
        <w:jc w:val="both"/>
        <w:rPr>
          <w:rFonts w:ascii="Arial" w:hAnsi="Arial" w:eastAsia="Arial" w:cs="Arial"/>
          <w:b/>
        </w:rPr>
      </w:pPr>
    </w:p>
    <w:p w14:paraId="063C6C0B">
      <w:pPr>
        <w:jc w:val="both"/>
        <w:rPr>
          <w:rFonts w:ascii="Arial" w:hAnsi="Arial" w:eastAsia="Arial" w:cs="Arial"/>
        </w:rPr>
      </w:pPr>
      <w:r>
        <w:rPr>
          <w:rFonts w:ascii="Arial" w:hAnsi="Arial" w:eastAsia="Arial" w:cs="Arial"/>
          <w:b/>
        </w:rPr>
        <w:t>16.6.4.</w:t>
      </w:r>
      <w:r>
        <w:rPr>
          <w:rFonts w:ascii="Arial" w:hAnsi="Arial" w:eastAsia="Arial" w:cs="Arial"/>
        </w:rPr>
        <w:t xml:space="preserve"> os danos que dela provierem para o contratante;</w:t>
      </w:r>
    </w:p>
    <w:p w14:paraId="57099194">
      <w:pPr>
        <w:jc w:val="both"/>
        <w:rPr>
          <w:rFonts w:ascii="Arial" w:hAnsi="Arial" w:eastAsia="Arial" w:cs="Arial"/>
        </w:rPr>
      </w:pPr>
    </w:p>
    <w:p w14:paraId="2522B259">
      <w:pPr>
        <w:jc w:val="both"/>
        <w:rPr>
          <w:rFonts w:ascii="Arial" w:hAnsi="Arial" w:eastAsia="Arial" w:cs="Arial"/>
        </w:rPr>
      </w:pPr>
      <w:r>
        <w:rPr>
          <w:rFonts w:ascii="Arial" w:hAnsi="Arial" w:eastAsia="Arial" w:cs="Arial"/>
          <w:b/>
        </w:rPr>
        <w:t>16.6.5.</w:t>
      </w:r>
      <w:r>
        <w:rPr>
          <w:rFonts w:ascii="Arial" w:hAnsi="Arial" w:eastAsia="Arial" w:cs="Arial"/>
        </w:rPr>
        <w:t xml:space="preserve"> a implantação ou o aperfeiçoamento de programa de integridade, conforme normas e orientações dos órgãos de controle.</w:t>
      </w:r>
    </w:p>
    <w:p w14:paraId="3F20D7D9">
      <w:pPr>
        <w:jc w:val="both"/>
        <w:rPr>
          <w:rFonts w:ascii="Arial" w:hAnsi="Arial" w:eastAsia="Arial" w:cs="Arial"/>
        </w:rPr>
      </w:pPr>
    </w:p>
    <w:p w14:paraId="6A057FAA">
      <w:pPr>
        <w:jc w:val="both"/>
        <w:rPr>
          <w:rFonts w:ascii="Arial" w:hAnsi="Arial" w:eastAsia="Arial" w:cs="Arial"/>
        </w:rPr>
      </w:pPr>
      <w:r>
        <w:rPr>
          <w:rFonts w:ascii="Arial" w:hAnsi="Arial" w:eastAsia="Arial" w:cs="Arial"/>
          <w:b/>
        </w:rPr>
        <w:t>16.7.</w:t>
      </w:r>
      <w:r>
        <w:rPr>
          <w:rFonts w:ascii="Arial" w:hAnsi="Arial" w:eastAsia="Arial" w:cs="Arial"/>
        </w:rPr>
        <w:t xml:space="preserve"> 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e nos demais regulamentos complementares.</w:t>
      </w:r>
    </w:p>
    <w:p w14:paraId="6FFF82CF">
      <w:pPr>
        <w:jc w:val="both"/>
        <w:rPr>
          <w:rFonts w:ascii="Arial" w:hAnsi="Arial" w:eastAsia="Arial" w:cs="Arial"/>
        </w:rPr>
      </w:pPr>
    </w:p>
    <w:p w14:paraId="384A282D">
      <w:pPr>
        <w:jc w:val="both"/>
        <w:rPr>
          <w:rFonts w:ascii="Arial" w:hAnsi="Arial" w:eastAsia="Arial" w:cs="Arial"/>
        </w:rPr>
      </w:pPr>
      <w:r>
        <w:rPr>
          <w:rFonts w:ascii="Arial" w:hAnsi="Arial" w:eastAsia="Arial" w:cs="Arial"/>
          <w:b/>
        </w:rPr>
        <w:t>16.8.</w:t>
      </w:r>
      <w:r>
        <w:rPr>
          <w:rFonts w:ascii="Arial" w:hAnsi="Arial" w:eastAsia="Arial" w:cs="Arial"/>
        </w:rPr>
        <w:t xml:space="preserve"> 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14:paraId="0FF40C42">
      <w:pPr>
        <w:jc w:val="both"/>
        <w:rPr>
          <w:rFonts w:ascii="Arial" w:hAnsi="Arial" w:eastAsia="Arial" w:cs="Arial"/>
        </w:rPr>
      </w:pPr>
    </w:p>
    <w:p w14:paraId="20870583">
      <w:pPr>
        <w:jc w:val="both"/>
        <w:rPr>
          <w:rFonts w:ascii="Arial" w:hAnsi="Arial" w:eastAsia="Arial" w:cs="Arial"/>
        </w:rPr>
      </w:pPr>
      <w:r>
        <w:rPr>
          <w:rFonts w:ascii="Arial" w:hAnsi="Arial" w:eastAsia="Arial" w:cs="Arial"/>
          <w:b/>
        </w:rPr>
        <w:t>16.9.</w:t>
      </w:r>
      <w:r>
        <w:rPr>
          <w:rFonts w:ascii="Arial" w:hAnsi="Arial" w:eastAsia="Arial" w:cs="Arial"/>
        </w:rPr>
        <w:t xml:space="preserve"> As sanções de impedimento de licitar e contratar e declaração de inidoneidade para licitar ou contratar são passíveis de reabilitação na forma do art. 163 da Lei nº 14.133/2021.</w:t>
      </w:r>
    </w:p>
    <w:p w14:paraId="76EB3BA4">
      <w:pPr>
        <w:jc w:val="both"/>
        <w:rPr>
          <w:rFonts w:ascii="Arial" w:hAnsi="Arial" w:eastAsia="Arial" w:cs="Arial"/>
        </w:rPr>
      </w:pPr>
    </w:p>
    <w:p w14:paraId="395C069A">
      <w:pPr>
        <w:jc w:val="both"/>
        <w:rPr>
          <w:rFonts w:ascii="Arial" w:hAnsi="Arial" w:eastAsia="Arial" w:cs="Arial"/>
          <w:b/>
        </w:rPr>
      </w:pPr>
      <w:r>
        <w:rPr>
          <w:rFonts w:ascii="Arial" w:hAnsi="Arial" w:eastAsia="Arial" w:cs="Arial"/>
          <w:b/>
        </w:rPr>
        <w:t>CLÁUSULA DÉCIMA SÉTIMA – CLÁUSULA ANTICORRUPÇÃO:</w:t>
      </w:r>
    </w:p>
    <w:p w14:paraId="1A761DE3">
      <w:pPr>
        <w:jc w:val="both"/>
        <w:rPr>
          <w:rFonts w:ascii="Arial" w:hAnsi="Arial" w:eastAsia="Arial" w:cs="Arial"/>
          <w:b/>
        </w:rPr>
      </w:pPr>
    </w:p>
    <w:p w14:paraId="40653C12">
      <w:pPr>
        <w:jc w:val="both"/>
        <w:rPr>
          <w:rFonts w:ascii="Arial" w:hAnsi="Arial" w:eastAsia="Arial" w:cs="Arial"/>
        </w:rPr>
      </w:pPr>
      <w:r>
        <w:rPr>
          <w:rFonts w:ascii="Arial" w:hAnsi="Arial" w:eastAsia="Arial" w:cs="Arial"/>
          <w:b/>
        </w:rPr>
        <w:t>17.1.</w:t>
      </w:r>
      <w:r>
        <w:rPr>
          <w:rFonts w:ascii="Arial" w:hAnsi="Arial" w:eastAsia="Arial" w:cs="Arial"/>
        </w:rPr>
        <w:t xml:space="preserve"> Para a execução deste contrato,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seja de forma direta ou indireta quanto ao objeto deste contrato, ou de outra forma a ele não relacionada, o que deve ser observado, ainda, pelos prepostos e colaboradores.</w:t>
      </w:r>
    </w:p>
    <w:p w14:paraId="06BE57A2">
      <w:pPr>
        <w:jc w:val="both"/>
        <w:rPr>
          <w:rFonts w:ascii="Arial" w:hAnsi="Arial" w:eastAsia="Arial" w:cs="Arial"/>
        </w:rPr>
      </w:pPr>
    </w:p>
    <w:p w14:paraId="4F349434">
      <w:pPr>
        <w:jc w:val="both"/>
        <w:rPr>
          <w:rFonts w:ascii="Arial" w:hAnsi="Arial" w:eastAsia="Arial" w:cs="Arial"/>
        </w:rPr>
      </w:pPr>
      <w:r>
        <w:rPr>
          <w:rFonts w:ascii="Arial" w:hAnsi="Arial" w:eastAsia="Arial" w:cs="Arial"/>
          <w:b/>
        </w:rPr>
        <w:t>17.2.</w:t>
      </w:r>
      <w:r>
        <w:rPr>
          <w:rFonts w:ascii="Arial" w:hAnsi="Arial" w:eastAsia="Arial" w:cs="Arial"/>
        </w:rPr>
        <w:t xml:space="preserve"> Consta em anexo do contrato o Termo Anticorrupção (Anexo), expresso pelo contratado, declarando formalmente que a condução de seus negócios segue estritamente a legislação aplicável, a moral e a ética.</w:t>
      </w:r>
    </w:p>
    <w:p w14:paraId="2F266B21">
      <w:pPr>
        <w:jc w:val="both"/>
        <w:rPr>
          <w:rFonts w:ascii="Arial" w:hAnsi="Arial" w:eastAsia="Arial" w:cs="Arial"/>
        </w:rPr>
      </w:pPr>
    </w:p>
    <w:p w14:paraId="6FE89B77">
      <w:pPr>
        <w:jc w:val="both"/>
        <w:rPr>
          <w:rFonts w:ascii="Arial" w:hAnsi="Arial" w:eastAsia="Arial" w:cs="Arial"/>
          <w:b/>
        </w:rPr>
      </w:pPr>
      <w:r>
        <w:rPr>
          <w:rFonts w:ascii="Arial" w:hAnsi="Arial" w:eastAsia="Arial" w:cs="Arial"/>
          <w:b/>
        </w:rPr>
        <w:t>CLÁUSULA DÉCIMA OITAVA – DA NULIDADE DO CONTRATO:</w:t>
      </w:r>
    </w:p>
    <w:p w14:paraId="49A11333">
      <w:pPr>
        <w:jc w:val="both"/>
        <w:rPr>
          <w:rFonts w:ascii="Arial" w:hAnsi="Arial" w:eastAsia="Arial" w:cs="Arial"/>
          <w:b/>
        </w:rPr>
      </w:pPr>
    </w:p>
    <w:p w14:paraId="436A65D1">
      <w:pPr>
        <w:jc w:val="both"/>
        <w:rPr>
          <w:rFonts w:ascii="Arial" w:hAnsi="Arial" w:eastAsia="Arial" w:cs="Arial"/>
        </w:rPr>
      </w:pPr>
      <w:r>
        <w:rPr>
          <w:rFonts w:ascii="Arial" w:hAnsi="Arial" w:eastAsia="Arial" w:cs="Arial"/>
          <w:b/>
        </w:rPr>
        <w:t>18.1.</w:t>
      </w:r>
      <w:r>
        <w:rPr>
          <w:rFonts w:ascii="Arial" w:hAnsi="Arial" w:eastAsia="Arial" w:cs="Arial"/>
        </w:rPr>
        <w:t xml:space="preserve"> Constatada irregularidade no procedimento licitatório ou na execução contratual, caso não seja possível o saneamento, a decisão sobre a suspensão da execução ou sobre a declaração de nulidade do contrato somente será adotada quando revelar medida de interesse público, com avaliação, entre outros, dos aspectos descritos no art. 147 da Lei nº 14.133/2021.</w:t>
      </w:r>
    </w:p>
    <w:p w14:paraId="63D0D80B">
      <w:pPr>
        <w:jc w:val="both"/>
        <w:rPr>
          <w:rFonts w:ascii="Arial" w:hAnsi="Arial" w:eastAsia="Arial" w:cs="Arial"/>
        </w:rPr>
      </w:pPr>
    </w:p>
    <w:p w14:paraId="5DFD0505">
      <w:pPr>
        <w:jc w:val="both"/>
        <w:rPr>
          <w:rFonts w:ascii="Arial" w:hAnsi="Arial" w:eastAsia="Arial" w:cs="Arial"/>
        </w:rPr>
      </w:pPr>
      <w:r>
        <w:rPr>
          <w:rFonts w:ascii="Arial" w:hAnsi="Arial" w:eastAsia="Arial" w:cs="Arial"/>
          <w:b/>
        </w:rPr>
        <w:t>18.2.</w:t>
      </w:r>
      <w:r>
        <w:rPr>
          <w:rFonts w:ascii="Arial" w:hAnsi="Arial" w:eastAsia="Arial" w:cs="Arial"/>
        </w:rPr>
        <w:t xml:space="preserve"> A nulidade não exonera o contratante do dever de indenizar o contratado pelo que houver executado até a data em que for declarada ou tornada eficaz, bem como por outros prejuízos regularmente comprovados, desde que não lhe seja imputável, e será promovida a responsabilização de quem lhe tenha dado causa, nos termos do que estabelece o art. 149 da Lei nº 14.133/2021.</w:t>
      </w:r>
    </w:p>
    <w:p w14:paraId="4EB687A7">
      <w:pPr>
        <w:jc w:val="both"/>
        <w:rPr>
          <w:rFonts w:ascii="Arial" w:hAnsi="Arial" w:eastAsia="Arial" w:cs="Arial"/>
          <w:b/>
        </w:rPr>
      </w:pPr>
    </w:p>
    <w:p w14:paraId="4B7EEEA7">
      <w:pPr>
        <w:jc w:val="both"/>
        <w:rPr>
          <w:rFonts w:ascii="Arial" w:hAnsi="Arial" w:eastAsia="Arial" w:cs="Arial"/>
        </w:rPr>
      </w:pPr>
      <w:r>
        <w:rPr>
          <w:rFonts w:ascii="Arial" w:hAnsi="Arial" w:eastAsia="Arial" w:cs="Arial"/>
          <w:b/>
        </w:rPr>
        <w:t>CLÁUSULA DÉCIMA NONA – GARANTIA DE EXECUÇÃO</w:t>
      </w:r>
      <w:r>
        <w:rPr>
          <w:rFonts w:ascii="Arial" w:hAnsi="Arial" w:eastAsia="Arial" w:cs="Arial"/>
        </w:rPr>
        <w:t xml:space="preserve"> </w:t>
      </w:r>
    </w:p>
    <w:p w14:paraId="5F966677">
      <w:pPr>
        <w:jc w:val="both"/>
        <w:rPr>
          <w:rFonts w:ascii="Arial" w:hAnsi="Arial" w:eastAsia="Arial" w:cs="Arial"/>
          <w:b/>
        </w:rPr>
      </w:pPr>
    </w:p>
    <w:p w14:paraId="27E5CF5B">
      <w:pPr>
        <w:jc w:val="both"/>
        <w:rPr>
          <w:rFonts w:ascii="Arial" w:hAnsi="Arial" w:eastAsia="Arial" w:cs="Arial"/>
        </w:rPr>
      </w:pPr>
      <w:r>
        <w:rPr>
          <w:rFonts w:ascii="Arial" w:hAnsi="Arial" w:eastAsia="Arial" w:cs="Arial"/>
          <w:b/>
        </w:rPr>
        <w:t>19.1.</w:t>
      </w:r>
      <w:r>
        <w:rPr>
          <w:rFonts w:ascii="Arial" w:hAnsi="Arial" w:eastAsia="Arial" w:cs="Arial"/>
        </w:rPr>
        <w:t xml:space="preserve"> Com a finalidade de evitar duplicidade de informações, toda a documentação relativa à garantia exigida ficará devidamente detalhada no </w:t>
      </w:r>
      <w:r>
        <w:rPr>
          <w:rFonts w:ascii="Arial" w:hAnsi="Arial" w:eastAsia="Arial" w:cs="Arial"/>
          <w:b/>
        </w:rPr>
        <w:t>Termo de Referência, que integra o presente edital como anexo</w:t>
      </w:r>
      <w:r>
        <w:rPr>
          <w:rFonts w:ascii="Arial" w:hAnsi="Arial" w:eastAsia="Arial" w:cs="Arial"/>
        </w:rPr>
        <w:t>, contemplando de forma clara e objetiva todas as informações, requisitos e exigências necessários ao atendimento das condições de habilitação.</w:t>
      </w:r>
    </w:p>
    <w:p w14:paraId="36508DA8">
      <w:pPr>
        <w:jc w:val="both"/>
        <w:rPr>
          <w:rFonts w:ascii="Arial" w:hAnsi="Arial" w:eastAsia="Arial" w:cs="Arial"/>
          <w:b/>
        </w:rPr>
      </w:pPr>
    </w:p>
    <w:p w14:paraId="4B573754">
      <w:pPr>
        <w:jc w:val="both"/>
        <w:rPr>
          <w:rFonts w:ascii="Arial" w:hAnsi="Arial" w:eastAsia="Arial" w:cs="Arial"/>
        </w:rPr>
      </w:pPr>
      <w:r>
        <w:rPr>
          <w:rFonts w:ascii="Arial" w:hAnsi="Arial" w:eastAsia="Arial" w:cs="Arial"/>
          <w:b/>
        </w:rPr>
        <w:t>CLÁUSULA VIGÉSIMA – GARANTIA DO OBJETO</w:t>
      </w:r>
    </w:p>
    <w:p w14:paraId="6BF26E6D">
      <w:pPr>
        <w:jc w:val="both"/>
        <w:rPr>
          <w:rFonts w:ascii="Arial" w:hAnsi="Arial" w:eastAsia="Arial" w:cs="Arial"/>
          <w:b/>
        </w:rPr>
      </w:pPr>
    </w:p>
    <w:p w14:paraId="4E832E6D">
      <w:pPr>
        <w:jc w:val="both"/>
        <w:rPr>
          <w:rFonts w:ascii="Arial" w:hAnsi="Arial" w:eastAsia="Arial" w:cs="Arial"/>
        </w:rPr>
      </w:pPr>
      <w:r>
        <w:rPr>
          <w:rFonts w:ascii="Arial" w:hAnsi="Arial" w:eastAsia="Arial" w:cs="Arial"/>
          <w:b/>
        </w:rPr>
        <w:t>20.1</w:t>
      </w:r>
      <w:r>
        <w:rPr>
          <w:rFonts w:ascii="Arial" w:hAnsi="Arial" w:eastAsia="Arial" w:cs="Arial"/>
        </w:rPr>
        <w:t xml:space="preserve"> O prazo de garantia mínima do objeto será de 12 meses, observados os prazos mínimos estabelecidos nesta Lei e nas normas técnicas aplicáveis, e as condições de manutenção e assistência técnica.” (Lei 14.133/2021 Art. 92 – inciso XIII).</w:t>
      </w:r>
    </w:p>
    <w:p w14:paraId="1998FBEB">
      <w:pPr>
        <w:jc w:val="both"/>
        <w:rPr>
          <w:rFonts w:ascii="Arial" w:hAnsi="Arial" w:eastAsia="Arial" w:cs="Arial"/>
        </w:rPr>
      </w:pPr>
    </w:p>
    <w:p w14:paraId="1D052490">
      <w:pPr>
        <w:jc w:val="both"/>
        <w:rPr>
          <w:rFonts w:ascii="Arial" w:hAnsi="Arial" w:eastAsia="Arial" w:cs="Arial"/>
        </w:rPr>
      </w:pPr>
      <w:r>
        <w:rPr>
          <w:rFonts w:ascii="Arial" w:hAnsi="Arial" w:eastAsia="Arial" w:cs="Arial"/>
        </w:rPr>
        <w:t>20.2</w:t>
      </w:r>
      <w:r>
        <w:rPr>
          <w:rFonts w:ascii="Arial" w:hAnsi="Arial" w:eastAsia="Arial" w:cs="Arial"/>
        </w:rPr>
        <w:tab/>
      </w:r>
      <w:r>
        <w:rPr>
          <w:rFonts w:ascii="Arial" w:hAnsi="Arial" w:eastAsia="Arial" w:cs="Arial"/>
        </w:rPr>
        <w:t>Ficará sobre inteira responsabilidade da Contratada a prestação de garantia dos itens entregues, sob pena das sanções cabíveis.</w:t>
      </w:r>
    </w:p>
    <w:p w14:paraId="69587902">
      <w:pPr>
        <w:jc w:val="both"/>
        <w:rPr>
          <w:rFonts w:ascii="Arial" w:hAnsi="Arial" w:eastAsia="Arial" w:cs="Arial"/>
        </w:rPr>
      </w:pPr>
    </w:p>
    <w:p w14:paraId="0227339F">
      <w:pPr>
        <w:jc w:val="both"/>
        <w:rPr>
          <w:rFonts w:ascii="Arial" w:hAnsi="Arial" w:eastAsia="Arial" w:cs="Arial"/>
        </w:rPr>
      </w:pPr>
      <w:r>
        <w:rPr>
          <w:rFonts w:ascii="Arial" w:hAnsi="Arial" w:eastAsia="Arial" w:cs="Arial"/>
        </w:rPr>
        <w:t>20.3</w:t>
      </w:r>
      <w:r>
        <w:rPr>
          <w:rFonts w:ascii="Arial" w:hAnsi="Arial" w:eastAsia="Arial" w:cs="Arial"/>
        </w:rPr>
        <w:tab/>
      </w:r>
      <w:r>
        <w:rPr>
          <w:rFonts w:ascii="Arial" w:hAnsi="Arial" w:eastAsia="Arial" w:cs="Arial"/>
        </w:rPr>
        <w:t>A Contratada deverá garantir a qualidade dos itens e arcar com qualquer prejuízo à CONTRATANTE decorrente de sua utilização;</w:t>
      </w:r>
    </w:p>
    <w:p w14:paraId="34F411D6">
      <w:pPr>
        <w:jc w:val="both"/>
        <w:rPr>
          <w:rFonts w:ascii="Arial" w:hAnsi="Arial" w:eastAsia="Arial" w:cs="Arial"/>
          <w:b/>
        </w:rPr>
      </w:pPr>
    </w:p>
    <w:p w14:paraId="125D05A1">
      <w:pPr>
        <w:jc w:val="both"/>
        <w:rPr>
          <w:rFonts w:ascii="Arial" w:hAnsi="Arial" w:eastAsia="Arial" w:cs="Arial"/>
          <w:b/>
        </w:rPr>
      </w:pPr>
      <w:r>
        <w:rPr>
          <w:rFonts w:ascii="Arial" w:hAnsi="Arial" w:eastAsia="Arial" w:cs="Arial"/>
          <w:b/>
        </w:rPr>
        <w:t>CLÁUSULA VIGÉSIMA PRIMEIRA – DO DIREITO DE PETIÇÃO:</w:t>
      </w:r>
    </w:p>
    <w:p w14:paraId="15ADB587">
      <w:pPr>
        <w:jc w:val="both"/>
        <w:rPr>
          <w:rFonts w:ascii="Arial" w:hAnsi="Arial" w:eastAsia="Arial" w:cs="Arial"/>
          <w:b/>
        </w:rPr>
      </w:pPr>
    </w:p>
    <w:p w14:paraId="4419ACD2">
      <w:pPr>
        <w:jc w:val="both"/>
        <w:rPr>
          <w:rFonts w:ascii="Arial" w:hAnsi="Arial" w:eastAsia="Arial" w:cs="Arial"/>
        </w:rPr>
      </w:pPr>
      <w:r>
        <w:rPr>
          <w:rFonts w:ascii="Arial" w:hAnsi="Arial" w:eastAsia="Arial" w:cs="Arial"/>
          <w:b/>
        </w:rPr>
        <w:t>21.1</w:t>
      </w:r>
      <w:r>
        <w:rPr>
          <w:rFonts w:ascii="Arial" w:hAnsi="Arial" w:eastAsia="Arial" w:cs="Arial"/>
        </w:rPr>
        <w:t>. No tocante a recursos, representações e pedidos de reconsideração, deverá ser observado o disposto no art. 164 da Lei nº 14.133/2021.</w:t>
      </w:r>
    </w:p>
    <w:p w14:paraId="2807D7A5">
      <w:pPr>
        <w:jc w:val="both"/>
        <w:rPr>
          <w:rFonts w:ascii="Arial" w:hAnsi="Arial" w:eastAsia="Arial" w:cs="Arial"/>
          <w:color w:val="FF0000"/>
        </w:rPr>
      </w:pPr>
    </w:p>
    <w:p w14:paraId="4FE8A93C">
      <w:pPr>
        <w:rPr>
          <w:rFonts w:ascii="Arial" w:hAnsi="Arial" w:eastAsia="Arial" w:cs="Arial"/>
          <w:b/>
        </w:rPr>
      </w:pPr>
      <w:r>
        <w:rPr>
          <w:rFonts w:ascii="Arial" w:hAnsi="Arial" w:eastAsia="Arial" w:cs="Arial"/>
          <w:b/>
        </w:rPr>
        <w:t>CLÁUSULA VIGÉSIMA SEGUNDA - DAS DISPOSIÇÕES GERAIS:</w:t>
      </w:r>
    </w:p>
    <w:p w14:paraId="2BB149E6">
      <w:pPr>
        <w:jc w:val="both"/>
        <w:rPr>
          <w:rFonts w:ascii="Arial" w:hAnsi="Arial" w:eastAsia="Arial" w:cs="Arial"/>
          <w:b/>
        </w:rPr>
      </w:pPr>
    </w:p>
    <w:p w14:paraId="4B6CD3FF">
      <w:pPr>
        <w:jc w:val="both"/>
        <w:rPr>
          <w:rFonts w:ascii="Arial" w:hAnsi="Arial" w:eastAsia="Arial" w:cs="Arial"/>
          <w:b/>
        </w:rPr>
      </w:pPr>
      <w:r>
        <w:rPr>
          <w:rFonts w:ascii="Arial" w:hAnsi="Arial" w:eastAsia="Arial" w:cs="Arial"/>
          <w:b/>
        </w:rPr>
        <w:t xml:space="preserve">22.1. DOS FUNDAMENTOS LEGAIS E DA SUJEIÇÃO ÀS NORMAS LEGAIS E CONTRATUAIS: </w:t>
      </w:r>
    </w:p>
    <w:p w14:paraId="290DB681">
      <w:pPr>
        <w:jc w:val="both"/>
        <w:rPr>
          <w:rFonts w:ascii="Arial" w:hAnsi="Arial" w:eastAsia="Arial" w:cs="Arial"/>
          <w:b/>
        </w:rPr>
      </w:pPr>
    </w:p>
    <w:p w14:paraId="0E1F36AD">
      <w:pPr>
        <w:jc w:val="both"/>
        <w:rPr>
          <w:rFonts w:ascii="Arial" w:hAnsi="Arial" w:eastAsia="Arial" w:cs="Arial"/>
        </w:rPr>
      </w:pPr>
      <w:r>
        <w:rPr>
          <w:rFonts w:ascii="Arial" w:hAnsi="Arial" w:eastAsia="Arial" w:cs="Arial"/>
          <w:b/>
        </w:rPr>
        <w:t>22.1.1.</w:t>
      </w:r>
      <w:r>
        <w:rPr>
          <w:rFonts w:ascii="Arial" w:hAnsi="Arial" w:eastAsia="Arial" w:cs="Arial"/>
        </w:rPr>
        <w:t xml:space="preserve"> A legislação aplicável a este Contrato é a constante do Decreto Municipal nº 11.685/2023 e a Lei nº 14.133/21 e demais disposições aplicáveis as Licitações e Contratos Administrativos.  </w:t>
      </w:r>
    </w:p>
    <w:p w14:paraId="5E814D15">
      <w:pPr>
        <w:jc w:val="both"/>
        <w:rPr>
          <w:rFonts w:ascii="Arial" w:hAnsi="Arial" w:eastAsia="Arial" w:cs="Arial"/>
        </w:rPr>
      </w:pPr>
    </w:p>
    <w:p w14:paraId="21770E59">
      <w:pPr>
        <w:jc w:val="both"/>
        <w:rPr>
          <w:rFonts w:ascii="Arial" w:hAnsi="Arial" w:eastAsia="Arial" w:cs="Arial"/>
        </w:rPr>
      </w:pPr>
      <w:r>
        <w:rPr>
          <w:rFonts w:ascii="Arial" w:hAnsi="Arial" w:eastAsia="Arial" w:cs="Arial"/>
          <w:b/>
        </w:rPr>
        <w:t>22.1.2.</w:t>
      </w:r>
      <w:r>
        <w:rPr>
          <w:rFonts w:ascii="Arial" w:hAnsi="Arial" w:eastAsia="Arial" w:cs="Arial"/>
        </w:rPr>
        <w:t xml:space="preserve"> Os casos omissos que se tornarem controvertidos em face das cláusulas do presente contrato serão   resolvidos segundo os princípios jurídicos aplicáveis, e entendimentos dos tribunais de contas.</w:t>
      </w:r>
    </w:p>
    <w:p w14:paraId="6F6E3F80">
      <w:pPr>
        <w:jc w:val="both"/>
        <w:rPr>
          <w:rFonts w:ascii="Arial" w:hAnsi="Arial" w:eastAsia="Arial" w:cs="Arial"/>
        </w:rPr>
      </w:pPr>
      <w:r>
        <w:rPr>
          <w:rFonts w:ascii="Arial" w:hAnsi="Arial" w:eastAsia="Arial" w:cs="Arial"/>
          <w:b/>
        </w:rPr>
        <w:t>22.1.3.</w:t>
      </w:r>
      <w:r>
        <w:rPr>
          <w:rFonts w:ascii="Arial" w:hAnsi="Arial" w:eastAsia="Arial" w:cs="Arial"/>
        </w:rPr>
        <w:t xml:space="preserve"> Após a assinatura deste Contrato, toda comunicação entre o </w:t>
      </w:r>
      <w:r>
        <w:rPr>
          <w:rFonts w:ascii="Arial" w:hAnsi="Arial" w:eastAsia="Arial" w:cs="Arial"/>
          <w:b/>
        </w:rPr>
        <w:t>CONTRATANTE</w:t>
      </w:r>
      <w:r>
        <w:rPr>
          <w:rFonts w:ascii="Arial" w:hAnsi="Arial" w:eastAsia="Arial" w:cs="Arial"/>
        </w:rPr>
        <w:t xml:space="preserve"> e a </w:t>
      </w:r>
      <w:r>
        <w:rPr>
          <w:rFonts w:ascii="Arial" w:hAnsi="Arial" w:eastAsia="Arial" w:cs="Arial"/>
          <w:b/>
        </w:rPr>
        <w:t>CONTRATADA</w:t>
      </w:r>
      <w:r>
        <w:rPr>
          <w:rFonts w:ascii="Arial" w:hAnsi="Arial" w:eastAsia="Arial" w:cs="Arial"/>
        </w:rPr>
        <w:t xml:space="preserve"> será feita através de correspondência devidamente registrada. </w:t>
      </w:r>
    </w:p>
    <w:p w14:paraId="7387032A">
      <w:pPr>
        <w:jc w:val="both"/>
        <w:rPr>
          <w:rFonts w:ascii="Arial" w:hAnsi="Arial" w:eastAsia="Arial" w:cs="Arial"/>
        </w:rPr>
      </w:pPr>
    </w:p>
    <w:p w14:paraId="1D91513B">
      <w:pPr>
        <w:jc w:val="both"/>
        <w:rPr>
          <w:rFonts w:ascii="Arial" w:hAnsi="Arial" w:eastAsia="Arial" w:cs="Arial"/>
        </w:rPr>
      </w:pPr>
      <w:r>
        <w:rPr>
          <w:rFonts w:ascii="Arial" w:hAnsi="Arial" w:eastAsia="Arial" w:cs="Arial"/>
          <w:b/>
        </w:rPr>
        <w:t>22.1.4.</w:t>
      </w:r>
      <w:r>
        <w:rPr>
          <w:rFonts w:ascii="Arial" w:hAnsi="Arial" w:eastAsia="Arial" w:cs="Arial"/>
        </w:rPr>
        <w:t xml:space="preserve"> Qualquer alteração nas condições ora estipuladas neste Contrato deverá ser feita através de Termo Aditivo, assinado pelos representantes legais das partes. </w:t>
      </w:r>
    </w:p>
    <w:p w14:paraId="6AE5F85B">
      <w:pPr>
        <w:jc w:val="both"/>
        <w:rPr>
          <w:rFonts w:ascii="Arial" w:hAnsi="Arial" w:eastAsia="Arial" w:cs="Arial"/>
          <w:b/>
        </w:rPr>
      </w:pPr>
    </w:p>
    <w:p w14:paraId="1375B68B">
      <w:pPr>
        <w:jc w:val="both"/>
        <w:rPr>
          <w:rFonts w:ascii="Arial" w:hAnsi="Arial" w:eastAsia="Arial" w:cs="Arial"/>
          <w:b/>
        </w:rPr>
      </w:pPr>
      <w:r>
        <w:rPr>
          <w:rFonts w:ascii="Arial" w:hAnsi="Arial" w:eastAsia="Arial" w:cs="Arial"/>
          <w:b/>
        </w:rPr>
        <w:t>CLÁUSULA VIGÉSIMA TERCEIRA – DA VINCULAÇÃO AO EDITAL:</w:t>
      </w:r>
    </w:p>
    <w:p w14:paraId="25E8B329">
      <w:pPr>
        <w:jc w:val="both"/>
        <w:rPr>
          <w:rFonts w:ascii="Arial" w:hAnsi="Arial" w:eastAsia="Arial" w:cs="Arial"/>
          <w:b/>
        </w:rPr>
      </w:pPr>
    </w:p>
    <w:p w14:paraId="6B2DFC5D">
      <w:pPr>
        <w:jc w:val="both"/>
        <w:rPr>
          <w:rFonts w:ascii="Arial" w:hAnsi="Arial" w:eastAsia="Arial" w:cs="Arial"/>
        </w:rPr>
      </w:pPr>
      <w:r>
        <w:rPr>
          <w:rFonts w:ascii="Arial" w:hAnsi="Arial" w:eastAsia="Arial" w:cs="Arial"/>
          <w:b/>
        </w:rPr>
        <w:t>23.1.</w:t>
      </w:r>
      <w:r>
        <w:rPr>
          <w:rFonts w:ascii="Arial" w:hAnsi="Arial" w:eastAsia="Arial" w:cs="Arial"/>
          <w:b/>
          <w:u w:val="single"/>
        </w:rPr>
        <w:t xml:space="preserve"> </w:t>
      </w:r>
      <w:r>
        <w:rPr>
          <w:rFonts w:ascii="Arial" w:hAnsi="Arial" w:eastAsia="Arial" w:cs="Arial"/>
        </w:rPr>
        <w:t xml:space="preserve">O presente </w:t>
      </w:r>
      <w:r>
        <w:rPr>
          <w:rFonts w:ascii="Arial" w:hAnsi="Arial" w:eastAsia="Arial" w:cs="Arial"/>
          <w:b/>
        </w:rPr>
        <w:t>CONTRATO</w:t>
      </w:r>
      <w:r>
        <w:rPr>
          <w:rFonts w:ascii="Arial" w:hAnsi="Arial" w:eastAsia="Arial" w:cs="Arial"/>
        </w:rPr>
        <w:t xml:space="preserve"> fica vinculado aos termos do </w:t>
      </w:r>
      <w:r>
        <w:rPr>
          <w:rFonts w:ascii="Arial" w:hAnsi="Arial" w:eastAsia="Arial" w:cs="Arial"/>
          <w:b/>
        </w:rPr>
        <w:t>Edital de Pregão, Termo de Referência e todos os anexos que os acompanham, Ata de Registro de Preços</w:t>
      </w:r>
      <w:r>
        <w:rPr>
          <w:rFonts w:ascii="Arial" w:hAnsi="Arial" w:eastAsia="Arial" w:cs="Arial"/>
        </w:rPr>
        <w:t>, e à proposta da CONTRATADA.</w:t>
      </w:r>
    </w:p>
    <w:p w14:paraId="5E377F22">
      <w:pPr>
        <w:jc w:val="both"/>
        <w:rPr>
          <w:rFonts w:ascii="Arial" w:hAnsi="Arial" w:eastAsia="Arial" w:cs="Arial"/>
          <w:u w:val="single"/>
        </w:rPr>
      </w:pPr>
    </w:p>
    <w:p w14:paraId="1215253A">
      <w:pPr>
        <w:jc w:val="both"/>
        <w:rPr>
          <w:rFonts w:ascii="Arial" w:hAnsi="Arial" w:eastAsia="Arial" w:cs="Arial"/>
          <w:b/>
        </w:rPr>
      </w:pPr>
      <w:r>
        <w:rPr>
          <w:rFonts w:ascii="Arial" w:hAnsi="Arial" w:eastAsia="Arial" w:cs="Arial"/>
          <w:b/>
        </w:rPr>
        <w:t>CLÁUSULA VIGÉSIMA QUARTA – CASOS OMISSOS</w:t>
      </w:r>
    </w:p>
    <w:p w14:paraId="5041EECC">
      <w:pPr>
        <w:jc w:val="both"/>
        <w:rPr>
          <w:rFonts w:ascii="Arial" w:hAnsi="Arial" w:eastAsia="Arial" w:cs="Arial"/>
          <w:b/>
        </w:rPr>
      </w:pPr>
    </w:p>
    <w:p w14:paraId="0C72E1F4">
      <w:pPr>
        <w:jc w:val="both"/>
        <w:rPr>
          <w:rFonts w:ascii="Arial" w:hAnsi="Arial" w:eastAsia="Arial" w:cs="Arial"/>
          <w:u w:val="single"/>
        </w:rPr>
      </w:pPr>
      <w:r>
        <w:rPr>
          <w:rFonts w:ascii="Arial" w:hAnsi="Arial" w:eastAsia="Arial" w:cs="Arial"/>
          <w:b/>
        </w:rPr>
        <w:t>24.1.</w:t>
      </w:r>
      <w:r>
        <w:rPr>
          <w:rFonts w:ascii="Arial" w:hAnsi="Arial" w:eastAsia="Arial" w:cs="Arial"/>
        </w:rPr>
        <w:t xml:space="preserve"> Os casos omissos serão decididos pelo contratante, segundo as disposições contidas na Lei nº 14.133/2021, no Decreto 11.685/2023 e demais normas estaduais de licitações e contratos administrativos e, supletivamente as disposições contidas na Lei nº 8.078/1990 – Código de Defesa do Consumidor, normas e Princípios Gerais dos Contratos e disposições do direito privado.</w:t>
      </w:r>
    </w:p>
    <w:p w14:paraId="2E52F8F3">
      <w:pPr>
        <w:jc w:val="both"/>
        <w:rPr>
          <w:rFonts w:ascii="Arial" w:hAnsi="Arial" w:eastAsia="Arial" w:cs="Arial"/>
          <w:b/>
        </w:rPr>
      </w:pPr>
    </w:p>
    <w:p w14:paraId="40255BAB">
      <w:pPr>
        <w:jc w:val="both"/>
        <w:rPr>
          <w:rFonts w:ascii="Arial" w:hAnsi="Arial" w:eastAsia="Arial" w:cs="Arial"/>
          <w:b/>
        </w:rPr>
      </w:pPr>
      <w:r>
        <w:rPr>
          <w:rFonts w:ascii="Arial" w:hAnsi="Arial" w:eastAsia="Arial" w:cs="Arial"/>
          <w:b/>
        </w:rPr>
        <w:t>CLÁUSULA VIGÉSIMA QUINTA - DO FORO:</w:t>
      </w:r>
    </w:p>
    <w:p w14:paraId="743A7D58">
      <w:pPr>
        <w:jc w:val="both"/>
        <w:rPr>
          <w:rFonts w:ascii="Arial" w:hAnsi="Arial" w:eastAsia="Arial" w:cs="Arial"/>
          <w:b/>
          <w:u w:val="single"/>
        </w:rPr>
      </w:pPr>
    </w:p>
    <w:p w14:paraId="02E78B17">
      <w:pPr>
        <w:jc w:val="both"/>
        <w:rPr>
          <w:rFonts w:ascii="Arial" w:hAnsi="Arial" w:eastAsia="Arial" w:cs="Arial"/>
        </w:rPr>
      </w:pPr>
      <w:r>
        <w:rPr>
          <w:rFonts w:ascii="Arial" w:hAnsi="Arial" w:eastAsia="Arial" w:cs="Arial"/>
          <w:b/>
        </w:rPr>
        <w:t>25.1.</w:t>
      </w:r>
      <w:r>
        <w:rPr>
          <w:rFonts w:ascii="Arial" w:hAnsi="Arial" w:eastAsia="Arial" w:cs="Arial"/>
        </w:rPr>
        <w:t xml:space="preserve"> Fica eleito o foro de Rondonópolis, Estado de Mato Grosso, como competente para dirimir quaisquer dúvidas ou questões decorrentes da execução deste contrato, que não puderem ser compostas pela conciliação, conforme art. 92, §1º, da Lei nº 14.133/2021.</w:t>
      </w:r>
    </w:p>
    <w:p w14:paraId="07CF970C">
      <w:pPr>
        <w:jc w:val="both"/>
        <w:rPr>
          <w:rFonts w:ascii="Arial" w:hAnsi="Arial" w:eastAsia="Arial" w:cs="Arial"/>
          <w:b/>
          <w:u w:val="single"/>
        </w:rPr>
      </w:pPr>
    </w:p>
    <w:p w14:paraId="41E268D9">
      <w:pPr>
        <w:jc w:val="both"/>
        <w:rPr>
          <w:rFonts w:ascii="Arial" w:hAnsi="Arial" w:eastAsia="Arial" w:cs="Arial"/>
        </w:rPr>
      </w:pPr>
      <w:r>
        <w:rPr>
          <w:rFonts w:ascii="Arial" w:hAnsi="Arial" w:eastAsia="Arial" w:cs="Arial"/>
        </w:rPr>
        <w:t xml:space="preserve">E, para firmeza e validade do que foi pactuado, lavrou-se o presente </w:t>
      </w:r>
      <w:r>
        <w:rPr>
          <w:rFonts w:ascii="Arial" w:hAnsi="Arial" w:eastAsia="Arial" w:cs="Arial"/>
          <w:b/>
        </w:rPr>
        <w:t xml:space="preserve">CONTRATO </w:t>
      </w:r>
      <w:r>
        <w:rPr>
          <w:rFonts w:ascii="Arial" w:hAnsi="Arial" w:eastAsia="Arial" w:cs="Arial"/>
        </w:rPr>
        <w:t xml:space="preserve">em 04 (quatro) vias de igual teor e forma, para que surtam um só efeito, as quais, depois de lidas, são assinadas pelos representantes do </w:t>
      </w:r>
      <w:r>
        <w:rPr>
          <w:rFonts w:ascii="Arial" w:hAnsi="Arial" w:eastAsia="Arial" w:cs="Arial"/>
          <w:b/>
        </w:rPr>
        <w:t xml:space="preserve">CONTRATANTE </w:t>
      </w:r>
      <w:r>
        <w:rPr>
          <w:rFonts w:ascii="Arial" w:hAnsi="Arial" w:eastAsia="Arial" w:cs="Arial"/>
        </w:rPr>
        <w:t xml:space="preserve">e da </w:t>
      </w:r>
      <w:r>
        <w:rPr>
          <w:rFonts w:ascii="Arial" w:hAnsi="Arial" w:eastAsia="Arial" w:cs="Arial"/>
          <w:b/>
        </w:rPr>
        <w:t>CONTRATADA</w:t>
      </w:r>
      <w:r>
        <w:rPr>
          <w:rFonts w:ascii="Arial" w:hAnsi="Arial" w:eastAsia="Arial" w:cs="Arial"/>
        </w:rPr>
        <w:t>, e pelas testemunhas abaixo relacionadas.</w:t>
      </w:r>
    </w:p>
    <w:p w14:paraId="25DD343A">
      <w:pPr>
        <w:jc w:val="right"/>
        <w:rPr>
          <w:rFonts w:ascii="Arial" w:hAnsi="Arial" w:eastAsia="Arial" w:cs="Arial"/>
        </w:rPr>
      </w:pPr>
    </w:p>
    <w:p w14:paraId="322952BD">
      <w:pPr>
        <w:jc w:val="right"/>
        <w:rPr>
          <w:rFonts w:ascii="Arial" w:hAnsi="Arial" w:eastAsia="Arial" w:cs="Arial"/>
        </w:rPr>
      </w:pPr>
      <w:r>
        <w:rPr>
          <w:rFonts w:ascii="Arial" w:hAnsi="Arial" w:eastAsia="Arial" w:cs="Arial"/>
        </w:rPr>
        <w:t>Rondonópolis-MT., ___ de ____________ de 2025.</w:t>
      </w:r>
    </w:p>
    <w:p w14:paraId="7657E2F1">
      <w:pPr>
        <w:jc w:val="right"/>
        <w:rPr>
          <w:rFonts w:ascii="Arial" w:hAnsi="Arial" w:eastAsia="Arial" w:cs="Arial"/>
        </w:rPr>
      </w:pPr>
    </w:p>
    <w:p w14:paraId="24AA1FEE">
      <w:pPr>
        <w:jc w:val="right"/>
        <w:rPr>
          <w:rFonts w:ascii="Arial" w:hAnsi="Arial" w:eastAsia="Arial" w:cs="Arial"/>
        </w:rPr>
      </w:pPr>
    </w:p>
    <w:p w14:paraId="2D97A1FD">
      <w:pPr>
        <w:jc w:val="right"/>
        <w:rPr>
          <w:rFonts w:ascii="Arial" w:hAnsi="Arial" w:eastAsia="Arial" w:cs="Arial"/>
        </w:rPr>
      </w:pPr>
    </w:p>
    <w:tbl>
      <w:tblPr>
        <w:tblStyle w:val="12"/>
        <w:tblW w:w="9410" w:type="dxa"/>
        <w:tblInd w:w="0" w:type="dxa"/>
        <w:tblLayout w:type="fixed"/>
        <w:tblCellMar>
          <w:top w:w="0" w:type="dxa"/>
          <w:left w:w="108" w:type="dxa"/>
          <w:bottom w:w="0" w:type="dxa"/>
          <w:right w:w="108" w:type="dxa"/>
        </w:tblCellMar>
      </w:tblPr>
      <w:tblGrid>
        <w:gridCol w:w="4930"/>
        <w:gridCol w:w="720"/>
        <w:gridCol w:w="3760"/>
      </w:tblGrid>
      <w:tr w14:paraId="62B60C88">
        <w:tblPrEx>
          <w:tblCellMar>
            <w:top w:w="0" w:type="dxa"/>
            <w:left w:w="108" w:type="dxa"/>
            <w:bottom w:w="0" w:type="dxa"/>
            <w:right w:w="108" w:type="dxa"/>
          </w:tblCellMar>
        </w:tblPrEx>
        <w:tc>
          <w:tcPr>
            <w:tcW w:w="5649" w:type="dxa"/>
            <w:gridSpan w:val="2"/>
          </w:tcPr>
          <w:p w14:paraId="2D2E270D">
            <w:pPr>
              <w:widowControl w:val="0"/>
              <w:jc w:val="center"/>
              <w:rPr>
                <w:rFonts w:ascii="Arial" w:hAnsi="Arial" w:eastAsia="Arial" w:cs="Arial"/>
                <w:color w:val="000000"/>
              </w:rPr>
            </w:pPr>
            <w:r>
              <w:rPr>
                <w:rFonts w:ascii="Arial" w:hAnsi="Arial" w:eastAsia="Arial" w:cs="Arial"/>
                <w:color w:val="000000"/>
              </w:rPr>
              <w:t>O MUNICÍPIO DE RONDONÓPOLIS-MT.</w:t>
            </w:r>
          </w:p>
          <w:p w14:paraId="5E9CE3C7">
            <w:pPr>
              <w:widowControl w:val="0"/>
              <w:jc w:val="center"/>
              <w:rPr>
                <w:rFonts w:ascii="Arial" w:hAnsi="Arial" w:eastAsia="Arial" w:cs="Arial"/>
              </w:rPr>
            </w:pPr>
            <w:r>
              <w:rPr>
                <w:rFonts w:ascii="Arial" w:hAnsi="Arial" w:eastAsia="Arial" w:cs="Arial"/>
              </w:rPr>
              <w:t>CONTRATANTE</w:t>
            </w:r>
          </w:p>
        </w:tc>
        <w:tc>
          <w:tcPr>
            <w:tcW w:w="3760" w:type="dxa"/>
          </w:tcPr>
          <w:p w14:paraId="43DB4320">
            <w:pPr>
              <w:widowControl w:val="0"/>
              <w:jc w:val="center"/>
              <w:rPr>
                <w:rFonts w:ascii="Arial" w:hAnsi="Arial" w:eastAsia="Arial" w:cs="Arial"/>
                <w:color w:val="000000"/>
              </w:rPr>
            </w:pPr>
          </w:p>
          <w:p w14:paraId="4DAB09CD">
            <w:pPr>
              <w:widowControl w:val="0"/>
              <w:jc w:val="center"/>
              <w:rPr>
                <w:rFonts w:ascii="Arial" w:hAnsi="Arial" w:eastAsia="Arial" w:cs="Arial"/>
                <w:color w:val="000000"/>
              </w:rPr>
            </w:pPr>
            <w:r>
              <w:rPr>
                <w:rFonts w:ascii="Arial" w:hAnsi="Arial" w:eastAsia="Arial" w:cs="Arial"/>
                <w:color w:val="000000"/>
              </w:rPr>
              <w:t>CONTRATADA</w:t>
            </w:r>
          </w:p>
          <w:p w14:paraId="35A3DBE2">
            <w:pPr>
              <w:widowControl w:val="0"/>
              <w:jc w:val="center"/>
              <w:rPr>
                <w:rFonts w:ascii="Arial" w:hAnsi="Arial" w:eastAsia="Arial" w:cs="Arial"/>
                <w:color w:val="000000"/>
              </w:rPr>
            </w:pPr>
          </w:p>
          <w:p w14:paraId="6A3741D8">
            <w:pPr>
              <w:widowControl w:val="0"/>
              <w:jc w:val="center"/>
              <w:rPr>
                <w:rFonts w:ascii="Arial" w:hAnsi="Arial" w:eastAsia="Arial" w:cs="Arial"/>
                <w:color w:val="000000"/>
              </w:rPr>
            </w:pPr>
          </w:p>
          <w:p w14:paraId="64E5E604">
            <w:pPr>
              <w:widowControl w:val="0"/>
              <w:jc w:val="center"/>
              <w:rPr>
                <w:rFonts w:ascii="Arial" w:hAnsi="Arial" w:eastAsia="Arial" w:cs="Arial"/>
              </w:rPr>
            </w:pPr>
          </w:p>
        </w:tc>
      </w:tr>
      <w:tr w14:paraId="2EF9D972">
        <w:tblPrEx>
          <w:tblCellMar>
            <w:top w:w="0" w:type="dxa"/>
            <w:left w:w="108" w:type="dxa"/>
            <w:bottom w:w="0" w:type="dxa"/>
            <w:right w:w="108" w:type="dxa"/>
          </w:tblCellMar>
        </w:tblPrEx>
        <w:tc>
          <w:tcPr>
            <w:tcW w:w="4929" w:type="dxa"/>
          </w:tcPr>
          <w:p w14:paraId="7D0B9884">
            <w:pPr>
              <w:widowControl w:val="0"/>
              <w:jc w:val="center"/>
              <w:rPr>
                <w:rFonts w:ascii="Arial" w:hAnsi="Arial" w:eastAsia="Arial" w:cs="Arial"/>
              </w:rPr>
            </w:pPr>
            <w:r>
              <w:rPr>
                <w:rFonts w:ascii="Arial" w:hAnsi="Arial" w:eastAsia="Arial" w:cs="Arial"/>
              </w:rPr>
              <w:t>TESTEMUNHAS:__________________________</w:t>
            </w:r>
          </w:p>
          <w:p w14:paraId="40E6FB5C">
            <w:pPr>
              <w:widowControl w:val="0"/>
              <w:jc w:val="center"/>
              <w:rPr>
                <w:rFonts w:ascii="Arial" w:hAnsi="Arial" w:eastAsia="Arial" w:cs="Arial"/>
              </w:rPr>
            </w:pPr>
            <w:r>
              <w:rPr>
                <w:rFonts w:ascii="Arial" w:hAnsi="Arial" w:eastAsia="Arial" w:cs="Arial"/>
              </w:rPr>
              <w:t xml:space="preserve">                       RG N.º</w:t>
            </w:r>
          </w:p>
        </w:tc>
        <w:tc>
          <w:tcPr>
            <w:tcW w:w="4480" w:type="dxa"/>
            <w:gridSpan w:val="2"/>
          </w:tcPr>
          <w:p w14:paraId="7845D88D">
            <w:pPr>
              <w:widowControl w:val="0"/>
              <w:jc w:val="center"/>
              <w:rPr>
                <w:rFonts w:ascii="Arial" w:hAnsi="Arial" w:eastAsia="Arial" w:cs="Arial"/>
                <w:color w:val="000000"/>
              </w:rPr>
            </w:pPr>
            <w:r>
              <w:rPr>
                <w:rFonts w:ascii="Arial" w:hAnsi="Arial" w:eastAsia="Arial" w:cs="Arial"/>
                <w:color w:val="000000"/>
              </w:rPr>
              <w:t>______________________________</w:t>
            </w:r>
          </w:p>
          <w:p w14:paraId="2A919B26">
            <w:pPr>
              <w:widowControl w:val="0"/>
              <w:jc w:val="center"/>
              <w:rPr>
                <w:rFonts w:ascii="Arial" w:hAnsi="Arial" w:eastAsia="Arial" w:cs="Arial"/>
                <w:color w:val="000000"/>
              </w:rPr>
            </w:pPr>
            <w:r>
              <w:rPr>
                <w:rFonts w:ascii="Arial" w:hAnsi="Arial" w:eastAsia="Arial" w:cs="Arial"/>
                <w:color w:val="000000"/>
              </w:rPr>
              <w:t>RG N.º</w:t>
            </w:r>
          </w:p>
        </w:tc>
      </w:tr>
    </w:tbl>
    <w:p w14:paraId="4217BFAF">
      <w:pPr>
        <w:rPr>
          <w:rFonts w:ascii="Arial" w:hAnsi="Arial" w:eastAsia="Arial" w:cs="Arial"/>
        </w:rPr>
      </w:pPr>
      <w:r>
        <w:rPr>
          <w:rFonts w:ascii="Arial" w:hAnsi="Arial" w:eastAsia="Arial" w:cs="Arial"/>
        </w:rPr>
        <w:t xml:space="preserve">                                                                  </w:t>
      </w:r>
    </w:p>
    <w:p w14:paraId="24216B2D">
      <w:pPr>
        <w:rPr>
          <w:rFonts w:ascii="Arial" w:hAnsi="Arial" w:eastAsia="Arial" w:cs="Arial"/>
        </w:rPr>
      </w:pPr>
      <w:r>
        <w:rPr>
          <w:rFonts w:ascii="Arial" w:hAnsi="Arial" w:eastAsia="Arial" w:cs="Arial"/>
        </w:rPr>
        <w:t xml:space="preserve">                                                     </w:t>
      </w:r>
    </w:p>
    <w:p w14:paraId="31196594">
      <w:pPr>
        <w:rPr>
          <w:rFonts w:ascii="Arial" w:hAnsi="Arial" w:eastAsia="Arial" w:cs="Arial"/>
        </w:rPr>
      </w:pPr>
    </w:p>
    <w:p w14:paraId="365ABC80">
      <w:pPr>
        <w:rPr>
          <w:rFonts w:ascii="Arial" w:hAnsi="Arial" w:eastAsia="Arial" w:cs="Arial"/>
        </w:rPr>
      </w:pPr>
      <w:r>
        <w:rPr>
          <w:rFonts w:ascii="Arial" w:hAnsi="Arial" w:eastAsia="Arial" w:cs="Arial"/>
        </w:rPr>
        <w:t xml:space="preserve">                                                    DE ACORDO:________________________________</w:t>
      </w:r>
    </w:p>
    <w:p w14:paraId="51FE5D41">
      <w:pPr>
        <w:tabs>
          <w:tab w:val="right" w:pos="9072"/>
        </w:tabs>
        <w:jc w:val="center"/>
        <w:rPr>
          <w:rFonts w:ascii="Arial" w:hAnsi="Arial" w:eastAsia="Arial" w:cs="Arial"/>
        </w:rPr>
      </w:pPr>
      <w:r>
        <w:rPr>
          <w:rFonts w:ascii="Arial" w:hAnsi="Arial" w:eastAsia="Arial" w:cs="Arial"/>
        </w:rPr>
        <w:t xml:space="preserve">                       ASSESSORIA JURÍDICA</w:t>
      </w:r>
    </w:p>
    <w:p w14:paraId="264C6FE4">
      <w:pPr>
        <w:jc w:val="both"/>
        <w:rPr>
          <w:rFonts w:ascii="Arial" w:hAnsi="Arial" w:eastAsia="Arial" w:cs="Arial"/>
          <w:b/>
        </w:rPr>
      </w:pPr>
    </w:p>
    <w:p w14:paraId="5D6D392B">
      <w:pPr>
        <w:jc w:val="both"/>
        <w:rPr>
          <w:rFonts w:ascii="Arial" w:hAnsi="Arial" w:eastAsia="Arial" w:cs="Arial"/>
          <w:b/>
        </w:rPr>
      </w:pPr>
    </w:p>
    <w:p w14:paraId="4237216E">
      <w:pPr>
        <w:jc w:val="both"/>
        <w:rPr>
          <w:rFonts w:ascii="Arial" w:hAnsi="Arial" w:eastAsia="Arial" w:cs="Arial"/>
          <w:b/>
        </w:rPr>
      </w:pPr>
    </w:p>
    <w:p w14:paraId="580A47A2">
      <w:pPr>
        <w:jc w:val="both"/>
        <w:rPr>
          <w:rFonts w:ascii="Arial" w:hAnsi="Arial" w:eastAsia="Arial" w:cs="Arial"/>
          <w:b/>
        </w:rPr>
      </w:pPr>
    </w:p>
    <w:p w14:paraId="1D6B076B">
      <w:pPr>
        <w:jc w:val="both"/>
        <w:rPr>
          <w:rFonts w:ascii="Arial" w:hAnsi="Arial" w:eastAsia="Arial" w:cs="Arial"/>
          <w:b/>
          <w:color w:val="FF0000"/>
        </w:rPr>
      </w:pPr>
    </w:p>
    <w:p w14:paraId="2E084720">
      <w:pPr>
        <w:jc w:val="both"/>
        <w:rPr>
          <w:rFonts w:ascii="Arial" w:hAnsi="Arial" w:eastAsia="Arial" w:cs="Arial"/>
          <w:b/>
          <w:color w:val="FF0000"/>
        </w:rPr>
      </w:pPr>
    </w:p>
    <w:p w14:paraId="0E9D5365">
      <w:pPr>
        <w:pBdr>
          <w:top w:val="single" w:color="000000" w:sz="4" w:space="1"/>
          <w:left w:val="single" w:color="000000" w:sz="4" w:space="4"/>
          <w:bottom w:val="single" w:color="000000" w:sz="4" w:space="1"/>
          <w:right w:val="single" w:color="000000" w:sz="4" w:space="4"/>
        </w:pBdr>
        <w:tabs>
          <w:tab w:val="left" w:pos="8576"/>
          <w:tab w:val="left" w:pos="10419"/>
        </w:tabs>
        <w:jc w:val="center"/>
        <w:rPr>
          <w:rFonts w:ascii="Arial" w:hAnsi="Arial" w:eastAsia="Arial" w:cs="Arial"/>
          <w:b/>
        </w:rPr>
      </w:pPr>
      <w:r>
        <w:rPr>
          <w:rFonts w:ascii="Arial" w:hAnsi="Arial" w:eastAsia="Arial" w:cs="Arial"/>
          <w:b/>
        </w:rPr>
        <w:t>PAPEL TIMBRADO DA EMPRESA LICITANTE</w:t>
      </w:r>
    </w:p>
    <w:p w14:paraId="44950915">
      <w:pPr>
        <w:jc w:val="both"/>
        <w:rPr>
          <w:rFonts w:ascii="Arial" w:hAnsi="Arial" w:eastAsia="Arial" w:cs="Arial"/>
          <w:b/>
        </w:rPr>
      </w:pPr>
    </w:p>
    <w:p w14:paraId="248A37BB">
      <w:pPr>
        <w:pStyle w:val="2"/>
        <w:spacing w:before="0" w:after="0"/>
        <w:rPr>
          <w:sz w:val="20"/>
          <w:szCs w:val="20"/>
          <w:lang w:val="pt-BR"/>
        </w:rPr>
      </w:pPr>
      <w:bookmarkStart w:id="64" w:name="_heading=h.t4dlcopg240v"/>
      <w:bookmarkEnd w:id="64"/>
      <w:r>
        <w:rPr>
          <w:sz w:val="20"/>
          <w:szCs w:val="20"/>
          <w:lang w:val="pt-BR"/>
        </w:rPr>
        <w:t>ANEXO IV: MODELO DE PROPOSTA COMERCIAL.</w:t>
      </w:r>
    </w:p>
    <w:p w14:paraId="6588D740">
      <w:pPr>
        <w:jc w:val="both"/>
        <w:rPr>
          <w:rFonts w:ascii="Arial" w:hAnsi="Arial" w:eastAsia="Arial" w:cs="Arial"/>
          <w:b/>
        </w:rPr>
      </w:pPr>
    </w:p>
    <w:tbl>
      <w:tblPr>
        <w:tblStyle w:val="12"/>
        <w:tblW w:w="10285" w:type="dxa"/>
        <w:tblInd w:w="5" w:type="dxa"/>
        <w:tblLayout w:type="fixed"/>
        <w:tblCellMar>
          <w:top w:w="0" w:type="dxa"/>
          <w:left w:w="108" w:type="dxa"/>
          <w:bottom w:w="0" w:type="dxa"/>
          <w:right w:w="108" w:type="dxa"/>
        </w:tblCellMar>
      </w:tblPr>
      <w:tblGrid>
        <w:gridCol w:w="3418"/>
        <w:gridCol w:w="826"/>
        <w:gridCol w:w="1623"/>
        <w:gridCol w:w="1164"/>
        <w:gridCol w:w="437"/>
        <w:gridCol w:w="2817"/>
      </w:tblGrid>
      <w:tr w14:paraId="3AF377F0">
        <w:tblPrEx>
          <w:tblCellMar>
            <w:top w:w="0" w:type="dxa"/>
            <w:left w:w="108" w:type="dxa"/>
            <w:bottom w:w="0" w:type="dxa"/>
            <w:right w:w="108" w:type="dxa"/>
          </w:tblCellMar>
        </w:tblPrEx>
        <w:trPr>
          <w:trHeight w:val="255" w:hRule="atLeast"/>
        </w:trPr>
        <w:tc>
          <w:tcPr>
            <w:tcW w:w="7031" w:type="dxa"/>
            <w:gridSpan w:val="4"/>
            <w:tcBorders>
              <w:top w:val="single" w:color="000000" w:sz="4" w:space="0"/>
              <w:left w:val="single" w:color="000000" w:sz="4" w:space="0"/>
              <w:bottom w:val="single" w:color="000000" w:sz="4" w:space="0"/>
              <w:right w:val="single" w:color="000000" w:sz="4" w:space="0"/>
            </w:tcBorders>
          </w:tcPr>
          <w:p w14:paraId="4DB695AE">
            <w:pPr>
              <w:widowControl w:val="0"/>
              <w:tabs>
                <w:tab w:val="left" w:pos="2714"/>
                <w:tab w:val="left" w:pos="10419"/>
              </w:tabs>
            </w:pPr>
            <w:r>
              <w:rPr>
                <w:rFonts w:ascii="Arial" w:hAnsi="Arial" w:eastAsia="Arial" w:cs="Arial"/>
                <w:b/>
              </w:rPr>
              <w:t>Licitante Razão Social:</w:t>
            </w:r>
          </w:p>
        </w:tc>
        <w:tc>
          <w:tcPr>
            <w:tcW w:w="3254" w:type="dxa"/>
            <w:gridSpan w:val="2"/>
            <w:tcBorders>
              <w:top w:val="single" w:color="000000" w:sz="4" w:space="0"/>
              <w:left w:val="single" w:color="000000" w:sz="4" w:space="0"/>
              <w:bottom w:val="single" w:color="000000" w:sz="4" w:space="0"/>
              <w:right w:val="single" w:color="000000" w:sz="4" w:space="0"/>
            </w:tcBorders>
          </w:tcPr>
          <w:p w14:paraId="70990F79">
            <w:pPr>
              <w:widowControl w:val="0"/>
              <w:tabs>
                <w:tab w:val="left" w:pos="2714"/>
                <w:tab w:val="left" w:pos="10419"/>
              </w:tabs>
            </w:pPr>
            <w:r>
              <w:rPr>
                <w:rFonts w:ascii="Arial" w:hAnsi="Arial" w:eastAsia="Arial" w:cs="Arial"/>
                <w:b/>
              </w:rPr>
              <w:t>CNPJ N.º:</w:t>
            </w:r>
          </w:p>
        </w:tc>
      </w:tr>
      <w:tr w14:paraId="3E18CA77">
        <w:tblPrEx>
          <w:tblCellMar>
            <w:top w:w="0" w:type="dxa"/>
            <w:left w:w="108" w:type="dxa"/>
            <w:bottom w:w="0" w:type="dxa"/>
            <w:right w:w="108" w:type="dxa"/>
          </w:tblCellMar>
        </w:tblPrEx>
        <w:trPr>
          <w:trHeight w:val="255" w:hRule="atLeast"/>
        </w:trPr>
        <w:tc>
          <w:tcPr>
            <w:tcW w:w="3418" w:type="dxa"/>
            <w:tcBorders>
              <w:top w:val="single" w:color="000000" w:sz="4" w:space="0"/>
              <w:left w:val="single" w:color="000000" w:sz="4" w:space="0"/>
              <w:bottom w:val="single" w:color="000000" w:sz="4" w:space="0"/>
              <w:right w:val="single" w:color="000000" w:sz="4" w:space="0"/>
            </w:tcBorders>
          </w:tcPr>
          <w:p w14:paraId="294D0A15">
            <w:pPr>
              <w:widowControl w:val="0"/>
              <w:tabs>
                <w:tab w:val="left" w:pos="2714"/>
                <w:tab w:val="left" w:pos="10419"/>
              </w:tabs>
            </w:pPr>
            <w:r>
              <w:rPr>
                <w:rFonts w:ascii="Arial" w:hAnsi="Arial" w:eastAsia="Arial" w:cs="Arial"/>
                <w:b/>
              </w:rPr>
              <w:t>Telefone fixo:</w:t>
            </w:r>
          </w:p>
        </w:tc>
        <w:tc>
          <w:tcPr>
            <w:tcW w:w="2449" w:type="dxa"/>
            <w:gridSpan w:val="2"/>
            <w:tcBorders>
              <w:top w:val="single" w:color="000000" w:sz="4" w:space="0"/>
              <w:left w:val="single" w:color="000000" w:sz="4" w:space="0"/>
              <w:bottom w:val="single" w:color="000000" w:sz="4" w:space="0"/>
              <w:right w:val="single" w:color="000000" w:sz="4" w:space="0"/>
            </w:tcBorders>
          </w:tcPr>
          <w:p w14:paraId="0B887D95">
            <w:pPr>
              <w:widowControl w:val="0"/>
              <w:tabs>
                <w:tab w:val="left" w:pos="2714"/>
                <w:tab w:val="left" w:pos="10419"/>
              </w:tabs>
            </w:pPr>
            <w:r>
              <w:rPr>
                <w:rFonts w:ascii="Arial" w:hAnsi="Arial" w:eastAsia="Arial" w:cs="Arial"/>
                <w:b/>
              </w:rPr>
              <w:t>Celular:</w:t>
            </w:r>
          </w:p>
        </w:tc>
        <w:tc>
          <w:tcPr>
            <w:tcW w:w="4418" w:type="dxa"/>
            <w:gridSpan w:val="3"/>
            <w:tcBorders>
              <w:top w:val="single" w:color="000000" w:sz="4" w:space="0"/>
              <w:left w:val="single" w:color="000000" w:sz="4" w:space="0"/>
              <w:bottom w:val="single" w:color="000000" w:sz="4" w:space="0"/>
              <w:right w:val="single" w:color="000000" w:sz="4" w:space="0"/>
            </w:tcBorders>
          </w:tcPr>
          <w:p w14:paraId="0E466837">
            <w:pPr>
              <w:widowControl w:val="0"/>
              <w:tabs>
                <w:tab w:val="left" w:pos="2714"/>
                <w:tab w:val="left" w:pos="10419"/>
              </w:tabs>
            </w:pPr>
            <w:r>
              <w:rPr>
                <w:rFonts w:ascii="Arial" w:hAnsi="Arial" w:eastAsia="Arial" w:cs="Arial"/>
                <w:b/>
              </w:rPr>
              <w:t>Endereço eletrônico e-mail:</w:t>
            </w:r>
          </w:p>
        </w:tc>
      </w:tr>
      <w:tr w14:paraId="47E46FEB">
        <w:tblPrEx>
          <w:tblCellMar>
            <w:top w:w="0" w:type="dxa"/>
            <w:left w:w="108" w:type="dxa"/>
            <w:bottom w:w="0" w:type="dxa"/>
            <w:right w:w="108" w:type="dxa"/>
          </w:tblCellMar>
        </w:tblPrEx>
        <w:trPr>
          <w:trHeight w:val="255" w:hRule="atLeast"/>
        </w:trPr>
        <w:tc>
          <w:tcPr>
            <w:tcW w:w="10285" w:type="dxa"/>
            <w:gridSpan w:val="6"/>
            <w:tcBorders>
              <w:top w:val="single" w:color="000000" w:sz="4" w:space="0"/>
              <w:left w:val="single" w:color="000000" w:sz="4" w:space="0"/>
              <w:bottom w:val="single" w:color="000000" w:sz="4" w:space="0"/>
              <w:right w:val="single" w:color="000000" w:sz="4" w:space="0"/>
            </w:tcBorders>
          </w:tcPr>
          <w:p w14:paraId="581C11D1">
            <w:pPr>
              <w:widowControl w:val="0"/>
              <w:tabs>
                <w:tab w:val="left" w:pos="2714"/>
                <w:tab w:val="left" w:pos="10419"/>
              </w:tabs>
            </w:pPr>
            <w:r>
              <w:rPr>
                <w:rFonts w:ascii="Arial" w:hAnsi="Arial" w:eastAsia="Arial" w:cs="Arial"/>
                <w:b/>
              </w:rPr>
              <w:t>Endereço Completo Rua, Nº, Bairro, Município, Estado, CEP:</w:t>
            </w:r>
          </w:p>
        </w:tc>
      </w:tr>
      <w:tr w14:paraId="0C1B97BD">
        <w:tblPrEx>
          <w:tblCellMar>
            <w:top w:w="0" w:type="dxa"/>
            <w:left w:w="108" w:type="dxa"/>
            <w:bottom w:w="0" w:type="dxa"/>
            <w:right w:w="108" w:type="dxa"/>
          </w:tblCellMar>
        </w:tblPrEx>
        <w:trPr>
          <w:trHeight w:val="272" w:hRule="atLeast"/>
        </w:trPr>
        <w:tc>
          <w:tcPr>
            <w:tcW w:w="4244" w:type="dxa"/>
            <w:gridSpan w:val="2"/>
            <w:tcBorders>
              <w:top w:val="single" w:color="000000" w:sz="4" w:space="0"/>
              <w:left w:val="single" w:color="000000" w:sz="4" w:space="0"/>
              <w:bottom w:val="single" w:color="000000" w:sz="4" w:space="0"/>
              <w:right w:val="single" w:color="000000" w:sz="4" w:space="0"/>
            </w:tcBorders>
          </w:tcPr>
          <w:p w14:paraId="21A660EA">
            <w:pPr>
              <w:widowControl w:val="0"/>
              <w:jc w:val="both"/>
            </w:pPr>
            <w:r>
              <w:rPr>
                <w:rFonts w:ascii="Arial" w:hAnsi="Arial" w:eastAsia="Arial" w:cs="Arial"/>
                <w:b/>
              </w:rPr>
              <w:t>Conta Corrente nº:</w:t>
            </w:r>
          </w:p>
        </w:tc>
        <w:tc>
          <w:tcPr>
            <w:tcW w:w="3224" w:type="dxa"/>
            <w:gridSpan w:val="3"/>
            <w:tcBorders>
              <w:top w:val="single" w:color="000000" w:sz="4" w:space="0"/>
              <w:left w:val="single" w:color="000000" w:sz="4" w:space="0"/>
              <w:bottom w:val="single" w:color="000000" w:sz="4" w:space="0"/>
              <w:right w:val="single" w:color="000000" w:sz="4" w:space="0"/>
            </w:tcBorders>
          </w:tcPr>
          <w:p w14:paraId="06E0C2FC">
            <w:pPr>
              <w:widowControl w:val="0"/>
              <w:jc w:val="both"/>
            </w:pPr>
            <w:r>
              <w:rPr>
                <w:rFonts w:ascii="Arial" w:hAnsi="Arial" w:eastAsia="Arial" w:cs="Arial"/>
                <w:b/>
              </w:rPr>
              <w:t>Agência:</w:t>
            </w:r>
          </w:p>
        </w:tc>
        <w:tc>
          <w:tcPr>
            <w:tcW w:w="2817" w:type="dxa"/>
            <w:tcBorders>
              <w:top w:val="single" w:color="000000" w:sz="4" w:space="0"/>
              <w:left w:val="single" w:color="000000" w:sz="4" w:space="0"/>
              <w:bottom w:val="single" w:color="000000" w:sz="4" w:space="0"/>
              <w:right w:val="single" w:color="000000" w:sz="4" w:space="0"/>
            </w:tcBorders>
          </w:tcPr>
          <w:p w14:paraId="77A4E614">
            <w:pPr>
              <w:widowControl w:val="0"/>
              <w:jc w:val="both"/>
            </w:pPr>
            <w:r>
              <w:rPr>
                <w:rFonts w:ascii="Arial" w:hAnsi="Arial" w:eastAsia="Arial" w:cs="Arial"/>
                <w:b/>
              </w:rPr>
              <w:t>Banco:</w:t>
            </w:r>
          </w:p>
        </w:tc>
      </w:tr>
    </w:tbl>
    <w:p w14:paraId="1998D48D">
      <w:pPr>
        <w:tabs>
          <w:tab w:val="left" w:pos="2714"/>
          <w:tab w:val="left" w:pos="10419"/>
        </w:tabs>
        <w:rPr>
          <w:rFonts w:ascii="Arial" w:hAnsi="Arial" w:eastAsia="Arial" w:cs="Arial"/>
          <w:b/>
        </w:rPr>
      </w:pPr>
    </w:p>
    <w:p w14:paraId="171EE31E">
      <w:pPr>
        <w:tabs>
          <w:tab w:val="left" w:pos="2714"/>
          <w:tab w:val="left" w:pos="10419"/>
        </w:tabs>
      </w:pPr>
      <w:r>
        <w:rPr>
          <w:rFonts w:ascii="Arial" w:hAnsi="Arial" w:eastAsia="Arial" w:cs="Arial"/>
          <w:b/>
        </w:rPr>
        <w:t xml:space="preserve">Licitação Modalidade: Pregão Eletrônico N.º: 30/2025. Tipo: Menor Preço global. </w:t>
      </w:r>
    </w:p>
    <w:p w14:paraId="16FBAABA">
      <w:pPr>
        <w:tabs>
          <w:tab w:val="left" w:pos="2714"/>
          <w:tab w:val="left" w:pos="10419"/>
        </w:tabs>
        <w:rPr>
          <w:rFonts w:ascii="Arial" w:hAnsi="Arial" w:eastAsia="Arial" w:cs="Arial"/>
          <w:b/>
        </w:rPr>
      </w:pPr>
    </w:p>
    <w:p w14:paraId="4FD15738">
      <w:pPr>
        <w:jc w:val="both"/>
        <w:rPr>
          <w:rFonts w:ascii="Arial" w:hAnsi="Arial" w:eastAsia="Arial" w:cs="Arial"/>
          <w:b/>
          <w:i/>
          <w:sz w:val="18"/>
          <w:szCs w:val="18"/>
        </w:rPr>
      </w:pPr>
      <w:r>
        <w:rPr>
          <w:rFonts w:ascii="Arial" w:hAnsi="Arial" w:eastAsia="Arial" w:cs="Arial"/>
          <w:b/>
          <w:sz w:val="18"/>
          <w:szCs w:val="18"/>
        </w:rPr>
        <w:t>Objeto: R</w:t>
      </w:r>
      <w:r>
        <w:rPr>
          <w:rFonts w:ascii="Arial" w:hAnsi="Arial" w:eastAsia="Arial" w:cs="Arial"/>
          <w:b/>
          <w:i/>
          <w:sz w:val="18"/>
          <w:szCs w:val="18"/>
        </w:rPr>
        <w:t>EGISTRO DE PREÇO PARA FUTURA E EVENTUAL Contratação de empresa especializada na prestação de serviços de nutrição e fornecimento de alimentação escolar, abrangendo o fornecimento de gêneros alimentícios, preparo, cocção, transporte, armazenamento, distribuição das refeições, fornecimento de gás GLP, e todos os demais insumos, bem como a higienização e o acompanhamento nutricional, destinados ao atendimento dos alunos regularmente matriculados na rede pública municipal de ensino de Rondonópolis/MT., por meio de licitações públicas para atender as necessidades da Secretaria Municipal de Educação, Cultura, Esporte e Lazer de Rondonópolis-MT, conforme especificações e quantitativos estabelecidos no Edital e seus anexos.</w:t>
      </w:r>
    </w:p>
    <w:p w14:paraId="2D0BDB48">
      <w:pPr>
        <w:jc w:val="both"/>
        <w:rPr>
          <w:rFonts w:ascii="Arial" w:hAnsi="Arial" w:eastAsia="Arial" w:cs="Arial"/>
          <w:b/>
          <w:sz w:val="18"/>
          <w:szCs w:val="18"/>
        </w:rPr>
      </w:pPr>
    </w:p>
    <w:p w14:paraId="3AE82E20">
      <w:pPr>
        <w:jc w:val="both"/>
        <w:rPr>
          <w:rFonts w:ascii="Arial" w:hAnsi="Arial" w:eastAsia="Arial" w:cs="Arial"/>
          <w:b/>
        </w:rPr>
      </w:pPr>
      <w:r>
        <w:rPr>
          <w:rFonts w:ascii="Arial" w:hAnsi="Arial" w:eastAsia="Arial" w:cs="Arial"/>
          <w:b/>
        </w:rPr>
        <w:br w:type="textWrapping"/>
      </w:r>
    </w:p>
    <w:tbl>
      <w:tblPr>
        <w:tblStyle w:val="12"/>
        <w:tblW w:w="9975" w:type="dxa"/>
        <w:tblInd w:w="65" w:type="dxa"/>
        <w:tblLayout w:type="fixed"/>
        <w:tblCellMar>
          <w:top w:w="0" w:type="dxa"/>
          <w:left w:w="108" w:type="dxa"/>
          <w:bottom w:w="0" w:type="dxa"/>
          <w:right w:w="108" w:type="dxa"/>
        </w:tblCellMar>
      </w:tblPr>
      <w:tblGrid>
        <w:gridCol w:w="850"/>
        <w:gridCol w:w="3514"/>
        <w:gridCol w:w="1699"/>
        <w:gridCol w:w="1426"/>
        <w:gridCol w:w="850"/>
        <w:gridCol w:w="1636"/>
      </w:tblGrid>
      <w:tr w14:paraId="1E3E2553">
        <w:tblPrEx>
          <w:tblCellMar>
            <w:top w:w="0" w:type="dxa"/>
            <w:left w:w="108" w:type="dxa"/>
            <w:bottom w:w="0" w:type="dxa"/>
            <w:right w:w="108" w:type="dxa"/>
          </w:tblCellMar>
        </w:tblPrEx>
        <w:tc>
          <w:tcPr>
            <w:tcW w:w="849" w:type="dxa"/>
            <w:tcBorders>
              <w:top w:val="single" w:color="000000" w:sz="4" w:space="0"/>
              <w:left w:val="single" w:color="000000" w:sz="4" w:space="0"/>
              <w:bottom w:val="single" w:color="000000" w:sz="4" w:space="0"/>
            </w:tcBorders>
            <w:shd w:val="clear" w:color="auto" w:fill="DDDDDD"/>
            <w:vAlign w:val="center"/>
          </w:tcPr>
          <w:p w14:paraId="783E5AB6">
            <w:pPr>
              <w:widowControl w:val="0"/>
              <w:spacing w:before="57" w:after="57" w:line="192" w:lineRule="auto"/>
              <w:jc w:val="center"/>
              <w:rPr>
                <w:rFonts w:ascii="Century Gothic" w:hAnsi="Century Gothic" w:eastAsia="Century Gothic" w:cs="Century Gothic"/>
                <w:b/>
                <w:sz w:val="18"/>
                <w:szCs w:val="18"/>
              </w:rPr>
            </w:pPr>
            <w:r>
              <w:rPr>
                <w:rFonts w:ascii="Century Gothic" w:hAnsi="Century Gothic" w:eastAsia="Century Gothic" w:cs="Century Gothic"/>
                <w:b/>
                <w:sz w:val="18"/>
                <w:szCs w:val="18"/>
              </w:rPr>
              <w:t>CÓD.</w:t>
            </w:r>
          </w:p>
        </w:tc>
        <w:tc>
          <w:tcPr>
            <w:tcW w:w="3514" w:type="dxa"/>
            <w:tcBorders>
              <w:top w:val="single" w:color="000000" w:sz="4" w:space="0"/>
              <w:left w:val="single" w:color="000000" w:sz="4" w:space="0"/>
              <w:bottom w:val="single" w:color="000000" w:sz="4" w:space="0"/>
            </w:tcBorders>
            <w:shd w:val="clear" w:color="auto" w:fill="DDDDDD"/>
            <w:vAlign w:val="center"/>
          </w:tcPr>
          <w:p w14:paraId="0B2AF733">
            <w:pPr>
              <w:widowControl w:val="0"/>
              <w:spacing w:before="57" w:after="57" w:line="192" w:lineRule="auto"/>
              <w:jc w:val="center"/>
              <w:rPr>
                <w:rFonts w:ascii="Century Gothic" w:hAnsi="Century Gothic" w:eastAsia="Century Gothic" w:cs="Century Gothic"/>
                <w:b/>
                <w:sz w:val="18"/>
                <w:szCs w:val="18"/>
              </w:rPr>
            </w:pPr>
            <w:r>
              <w:rPr>
                <w:rFonts w:ascii="Century Gothic" w:hAnsi="Century Gothic" w:eastAsia="Century Gothic" w:cs="Century Gothic"/>
                <w:b/>
                <w:sz w:val="18"/>
                <w:szCs w:val="18"/>
              </w:rPr>
              <w:t>Modalidade</w:t>
            </w:r>
          </w:p>
        </w:tc>
        <w:tc>
          <w:tcPr>
            <w:tcW w:w="1699" w:type="dxa"/>
            <w:tcBorders>
              <w:top w:val="single" w:color="000000" w:sz="4" w:space="0"/>
              <w:left w:val="single" w:color="000000" w:sz="4" w:space="0"/>
              <w:bottom w:val="single" w:color="000000" w:sz="4" w:space="0"/>
            </w:tcBorders>
            <w:shd w:val="clear" w:color="auto" w:fill="DDDDDD"/>
            <w:vAlign w:val="center"/>
          </w:tcPr>
          <w:p w14:paraId="0A5A1568">
            <w:pPr>
              <w:widowControl w:val="0"/>
              <w:spacing w:before="57" w:after="57" w:line="192" w:lineRule="auto"/>
              <w:jc w:val="center"/>
              <w:rPr>
                <w:rFonts w:ascii="Century Gothic" w:hAnsi="Century Gothic" w:eastAsia="Century Gothic" w:cs="Century Gothic"/>
                <w:b/>
                <w:sz w:val="18"/>
                <w:szCs w:val="18"/>
              </w:rPr>
            </w:pPr>
            <w:r>
              <w:rPr>
                <w:rFonts w:ascii="Century Gothic" w:hAnsi="Century Gothic" w:eastAsia="Century Gothic" w:cs="Century Gothic"/>
                <w:b/>
                <w:sz w:val="18"/>
                <w:szCs w:val="18"/>
              </w:rPr>
              <w:t>Refeição</w:t>
            </w:r>
          </w:p>
        </w:tc>
        <w:tc>
          <w:tcPr>
            <w:tcW w:w="1426" w:type="dxa"/>
            <w:tcBorders>
              <w:top w:val="single" w:color="000000" w:sz="4" w:space="0"/>
              <w:left w:val="single" w:color="000000" w:sz="4" w:space="0"/>
              <w:bottom w:val="single" w:color="000000" w:sz="4" w:space="0"/>
            </w:tcBorders>
            <w:shd w:val="clear" w:color="auto" w:fill="DDDDDD"/>
            <w:vAlign w:val="center"/>
          </w:tcPr>
          <w:p w14:paraId="3CF3DAE6">
            <w:pPr>
              <w:widowControl w:val="0"/>
              <w:spacing w:before="57" w:after="57" w:line="192" w:lineRule="auto"/>
              <w:ind w:left="-170" w:right="-170"/>
              <w:jc w:val="center"/>
              <w:rPr>
                <w:rFonts w:ascii="Century Gothic" w:hAnsi="Century Gothic" w:eastAsia="Century Gothic" w:cs="Century Gothic"/>
                <w:b/>
                <w:sz w:val="18"/>
                <w:szCs w:val="18"/>
              </w:rPr>
            </w:pPr>
            <w:r>
              <w:rPr>
                <w:rFonts w:ascii="Century Gothic" w:hAnsi="Century Gothic" w:eastAsia="Century Gothic" w:cs="Century Gothic"/>
                <w:b/>
                <w:sz w:val="18"/>
                <w:szCs w:val="18"/>
              </w:rPr>
              <w:t>Refeições / Ano</w:t>
            </w:r>
          </w:p>
        </w:tc>
        <w:tc>
          <w:tcPr>
            <w:tcW w:w="850" w:type="dxa"/>
            <w:tcBorders>
              <w:top w:val="single" w:color="000000" w:sz="4" w:space="0"/>
              <w:left w:val="single" w:color="000000" w:sz="4" w:space="0"/>
              <w:bottom w:val="single" w:color="000000" w:sz="4" w:space="0"/>
            </w:tcBorders>
            <w:shd w:val="clear" w:color="auto" w:fill="DDDDDD"/>
            <w:vAlign w:val="center"/>
          </w:tcPr>
          <w:p w14:paraId="72217228">
            <w:pPr>
              <w:widowControl w:val="0"/>
              <w:spacing w:before="57" w:after="57" w:line="192" w:lineRule="auto"/>
              <w:jc w:val="center"/>
              <w:rPr>
                <w:rFonts w:ascii="Century Gothic" w:hAnsi="Century Gothic" w:eastAsia="Century Gothic" w:cs="Century Gothic"/>
                <w:b/>
                <w:sz w:val="18"/>
                <w:szCs w:val="18"/>
              </w:rPr>
            </w:pPr>
            <w:r>
              <w:rPr>
                <w:rFonts w:ascii="Century Gothic" w:hAnsi="Century Gothic" w:eastAsia="Century Gothic" w:cs="Century Gothic"/>
                <w:b/>
                <w:sz w:val="18"/>
                <w:szCs w:val="18"/>
              </w:rPr>
              <w:t>V. Unit.</w:t>
            </w:r>
          </w:p>
        </w:tc>
        <w:tc>
          <w:tcPr>
            <w:tcW w:w="1636" w:type="dxa"/>
            <w:tcBorders>
              <w:top w:val="single" w:color="000000" w:sz="4" w:space="0"/>
              <w:left w:val="single" w:color="000000" w:sz="4" w:space="0"/>
              <w:bottom w:val="single" w:color="000000" w:sz="4" w:space="0"/>
              <w:right w:val="single" w:color="000000" w:sz="4" w:space="0"/>
            </w:tcBorders>
            <w:shd w:val="clear" w:color="auto" w:fill="DDDDDD"/>
            <w:vAlign w:val="center"/>
          </w:tcPr>
          <w:p w14:paraId="0825691D">
            <w:pPr>
              <w:widowControl w:val="0"/>
              <w:spacing w:before="57" w:after="57" w:line="192" w:lineRule="auto"/>
              <w:jc w:val="center"/>
              <w:rPr>
                <w:rFonts w:ascii="Century Gothic" w:hAnsi="Century Gothic" w:eastAsia="Century Gothic" w:cs="Century Gothic"/>
                <w:b/>
                <w:sz w:val="18"/>
                <w:szCs w:val="18"/>
              </w:rPr>
            </w:pPr>
            <w:r>
              <w:rPr>
                <w:rFonts w:ascii="Century Gothic" w:hAnsi="Century Gothic" w:eastAsia="Century Gothic" w:cs="Century Gothic"/>
                <w:b/>
                <w:sz w:val="18"/>
                <w:szCs w:val="18"/>
              </w:rPr>
              <w:t>V. Total</w:t>
            </w:r>
          </w:p>
        </w:tc>
      </w:tr>
      <w:tr w14:paraId="451CBFB9">
        <w:tblPrEx>
          <w:tblCellMar>
            <w:top w:w="0" w:type="dxa"/>
            <w:left w:w="108" w:type="dxa"/>
            <w:bottom w:w="0" w:type="dxa"/>
            <w:right w:w="108" w:type="dxa"/>
          </w:tblCellMar>
        </w:tblPrEx>
        <w:trPr>
          <w:trHeight w:val="269" w:hRule="atLeast"/>
        </w:trPr>
        <w:tc>
          <w:tcPr>
            <w:tcW w:w="849" w:type="dxa"/>
            <w:tcBorders>
              <w:top w:val="single" w:color="000000" w:sz="4" w:space="0"/>
              <w:left w:val="single" w:color="000000" w:sz="4" w:space="0"/>
              <w:bottom w:val="single" w:color="000000" w:sz="4" w:space="0"/>
            </w:tcBorders>
            <w:vAlign w:val="center"/>
          </w:tcPr>
          <w:p w14:paraId="512AA5F0">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127814</w:t>
            </w:r>
          </w:p>
        </w:tc>
        <w:tc>
          <w:tcPr>
            <w:tcW w:w="3514" w:type="dxa"/>
            <w:tcBorders>
              <w:top w:val="single" w:color="000000" w:sz="4" w:space="0"/>
              <w:left w:val="single" w:color="000000" w:sz="4" w:space="0"/>
              <w:bottom w:val="single" w:color="000000" w:sz="4" w:space="0"/>
            </w:tcBorders>
            <w:vAlign w:val="center"/>
          </w:tcPr>
          <w:p w14:paraId="6C2CB849">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Creche Parcial  (matutino)</w:t>
            </w:r>
          </w:p>
        </w:tc>
        <w:tc>
          <w:tcPr>
            <w:tcW w:w="1699" w:type="dxa"/>
            <w:tcBorders>
              <w:top w:val="single" w:color="000000" w:sz="4" w:space="0"/>
              <w:left w:val="single" w:color="000000" w:sz="4" w:space="0"/>
              <w:bottom w:val="single" w:color="000000" w:sz="4" w:space="0"/>
            </w:tcBorders>
            <w:vAlign w:val="center"/>
          </w:tcPr>
          <w:p w14:paraId="0AA6A908">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Café da Manhã/Almoço</w:t>
            </w:r>
          </w:p>
        </w:tc>
        <w:tc>
          <w:tcPr>
            <w:tcW w:w="1426" w:type="dxa"/>
            <w:tcBorders>
              <w:top w:val="single" w:color="000000" w:sz="4" w:space="0"/>
              <w:left w:val="single" w:color="000000" w:sz="4" w:space="0"/>
              <w:bottom w:val="single" w:color="000000" w:sz="4" w:space="0"/>
            </w:tcBorders>
            <w:vAlign w:val="center"/>
          </w:tcPr>
          <w:p w14:paraId="36AF4996">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345600</w:t>
            </w:r>
          </w:p>
        </w:tc>
        <w:tc>
          <w:tcPr>
            <w:tcW w:w="850" w:type="dxa"/>
            <w:tcBorders>
              <w:top w:val="single" w:color="000000" w:sz="4" w:space="0"/>
              <w:left w:val="single" w:color="000000" w:sz="4" w:space="0"/>
              <w:bottom w:val="single" w:color="000000" w:sz="4" w:space="0"/>
            </w:tcBorders>
            <w:vAlign w:val="center"/>
          </w:tcPr>
          <w:p w14:paraId="7DA6C360">
            <w:pPr>
              <w:widowControl w:val="0"/>
              <w:jc w:val="center"/>
              <w:rPr>
                <w:rFonts w:ascii="Century Gothic" w:hAnsi="Century Gothic" w:eastAsia="Century Gothic" w:cs="Century Gothic"/>
                <w:sz w:val="17"/>
                <w:szCs w:val="17"/>
              </w:rPr>
            </w:pPr>
          </w:p>
        </w:tc>
        <w:tc>
          <w:tcPr>
            <w:tcW w:w="1636" w:type="dxa"/>
            <w:tcBorders>
              <w:top w:val="single" w:color="000000" w:sz="4" w:space="0"/>
              <w:left w:val="single" w:color="000000" w:sz="4" w:space="0"/>
              <w:bottom w:val="single" w:color="000000" w:sz="4" w:space="0"/>
              <w:right w:val="single" w:color="000000" w:sz="4" w:space="0"/>
            </w:tcBorders>
            <w:vAlign w:val="center"/>
          </w:tcPr>
          <w:p w14:paraId="01A22973">
            <w:pPr>
              <w:widowControl w:val="0"/>
              <w:jc w:val="center"/>
              <w:rPr>
                <w:rFonts w:ascii="Century Gothic" w:hAnsi="Century Gothic" w:eastAsia="Century Gothic" w:cs="Century Gothic"/>
                <w:sz w:val="17"/>
                <w:szCs w:val="17"/>
              </w:rPr>
            </w:pPr>
          </w:p>
        </w:tc>
      </w:tr>
      <w:tr w14:paraId="65F0DDB2">
        <w:tblPrEx>
          <w:tblCellMar>
            <w:top w:w="0" w:type="dxa"/>
            <w:left w:w="108" w:type="dxa"/>
            <w:bottom w:w="0" w:type="dxa"/>
            <w:right w:w="108" w:type="dxa"/>
          </w:tblCellMar>
        </w:tblPrEx>
        <w:trPr>
          <w:trHeight w:val="326" w:hRule="atLeast"/>
        </w:trPr>
        <w:tc>
          <w:tcPr>
            <w:tcW w:w="849" w:type="dxa"/>
            <w:tcBorders>
              <w:left w:val="single" w:color="000000" w:sz="4" w:space="0"/>
              <w:bottom w:val="single" w:color="000000" w:sz="4" w:space="0"/>
            </w:tcBorders>
            <w:vAlign w:val="center"/>
          </w:tcPr>
          <w:p w14:paraId="7AF3F6B8">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127815</w:t>
            </w:r>
          </w:p>
        </w:tc>
        <w:tc>
          <w:tcPr>
            <w:tcW w:w="3514" w:type="dxa"/>
            <w:tcBorders>
              <w:left w:val="single" w:color="000000" w:sz="4" w:space="0"/>
              <w:bottom w:val="single" w:color="000000" w:sz="4" w:space="0"/>
            </w:tcBorders>
            <w:vAlign w:val="center"/>
          </w:tcPr>
          <w:p w14:paraId="7C4CE654">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Creche Parcial  (vespertino)</w:t>
            </w:r>
          </w:p>
        </w:tc>
        <w:tc>
          <w:tcPr>
            <w:tcW w:w="1699" w:type="dxa"/>
            <w:tcBorders>
              <w:left w:val="single" w:color="000000" w:sz="4" w:space="0"/>
              <w:bottom w:val="single" w:color="000000" w:sz="4" w:space="0"/>
            </w:tcBorders>
            <w:vAlign w:val="center"/>
          </w:tcPr>
          <w:p w14:paraId="2D2D1D87">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Lanche da Tarde/Jantar</w:t>
            </w:r>
          </w:p>
        </w:tc>
        <w:tc>
          <w:tcPr>
            <w:tcW w:w="1426" w:type="dxa"/>
            <w:tcBorders>
              <w:left w:val="single" w:color="000000" w:sz="4" w:space="0"/>
              <w:bottom w:val="single" w:color="000000" w:sz="4" w:space="0"/>
            </w:tcBorders>
            <w:vAlign w:val="center"/>
          </w:tcPr>
          <w:p w14:paraId="36D28502">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427200</w:t>
            </w:r>
          </w:p>
        </w:tc>
        <w:tc>
          <w:tcPr>
            <w:tcW w:w="850" w:type="dxa"/>
            <w:tcBorders>
              <w:left w:val="single" w:color="000000" w:sz="4" w:space="0"/>
              <w:bottom w:val="single" w:color="000000" w:sz="4" w:space="0"/>
            </w:tcBorders>
            <w:vAlign w:val="center"/>
          </w:tcPr>
          <w:p w14:paraId="454563B6">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120F099F">
            <w:pPr>
              <w:widowControl w:val="0"/>
              <w:jc w:val="center"/>
              <w:rPr>
                <w:rFonts w:ascii="Century Gothic" w:hAnsi="Century Gothic" w:eastAsia="Century Gothic" w:cs="Century Gothic"/>
                <w:sz w:val="17"/>
                <w:szCs w:val="17"/>
              </w:rPr>
            </w:pPr>
          </w:p>
        </w:tc>
      </w:tr>
      <w:tr w14:paraId="3A7C247E">
        <w:tblPrEx>
          <w:tblCellMar>
            <w:top w:w="0" w:type="dxa"/>
            <w:left w:w="108" w:type="dxa"/>
            <w:bottom w:w="0" w:type="dxa"/>
            <w:right w:w="108" w:type="dxa"/>
          </w:tblCellMar>
        </w:tblPrEx>
        <w:trPr>
          <w:trHeight w:val="260" w:hRule="atLeast"/>
        </w:trPr>
        <w:tc>
          <w:tcPr>
            <w:tcW w:w="849" w:type="dxa"/>
            <w:tcBorders>
              <w:left w:val="single" w:color="000000" w:sz="4" w:space="0"/>
              <w:bottom w:val="single" w:color="000000" w:sz="4" w:space="0"/>
            </w:tcBorders>
            <w:vAlign w:val="center"/>
          </w:tcPr>
          <w:p w14:paraId="6475D3B2">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127816</w:t>
            </w:r>
          </w:p>
        </w:tc>
        <w:tc>
          <w:tcPr>
            <w:tcW w:w="3514" w:type="dxa"/>
            <w:tcBorders>
              <w:left w:val="single" w:color="000000" w:sz="4" w:space="0"/>
              <w:bottom w:val="single" w:color="000000" w:sz="4" w:space="0"/>
            </w:tcBorders>
            <w:vAlign w:val="center"/>
          </w:tcPr>
          <w:p w14:paraId="1747524C">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Creche Integral</w:t>
            </w:r>
          </w:p>
        </w:tc>
        <w:tc>
          <w:tcPr>
            <w:tcW w:w="1699" w:type="dxa"/>
            <w:tcBorders>
              <w:left w:val="single" w:color="000000" w:sz="4" w:space="0"/>
              <w:bottom w:val="single" w:color="000000" w:sz="4" w:space="0"/>
            </w:tcBorders>
            <w:vAlign w:val="center"/>
          </w:tcPr>
          <w:p w14:paraId="262CE00A">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Café da Manhã</w:t>
            </w:r>
          </w:p>
        </w:tc>
        <w:tc>
          <w:tcPr>
            <w:tcW w:w="1426" w:type="dxa"/>
            <w:tcBorders>
              <w:left w:val="single" w:color="000000" w:sz="4" w:space="0"/>
              <w:bottom w:val="single" w:color="000000" w:sz="4" w:space="0"/>
            </w:tcBorders>
            <w:vAlign w:val="center"/>
          </w:tcPr>
          <w:p w14:paraId="229B9C7A">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440800</w:t>
            </w:r>
          </w:p>
        </w:tc>
        <w:tc>
          <w:tcPr>
            <w:tcW w:w="850" w:type="dxa"/>
            <w:tcBorders>
              <w:left w:val="single" w:color="000000" w:sz="4" w:space="0"/>
              <w:bottom w:val="single" w:color="000000" w:sz="4" w:space="0"/>
            </w:tcBorders>
            <w:vAlign w:val="center"/>
          </w:tcPr>
          <w:p w14:paraId="46CEBAAE">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03DC6E32">
            <w:pPr>
              <w:widowControl w:val="0"/>
              <w:jc w:val="center"/>
              <w:rPr>
                <w:rFonts w:ascii="Century Gothic" w:hAnsi="Century Gothic" w:eastAsia="Century Gothic" w:cs="Century Gothic"/>
                <w:sz w:val="17"/>
                <w:szCs w:val="17"/>
              </w:rPr>
            </w:pPr>
          </w:p>
        </w:tc>
      </w:tr>
      <w:tr w14:paraId="3BC8AB17">
        <w:tblPrEx>
          <w:tblCellMar>
            <w:top w:w="0" w:type="dxa"/>
            <w:left w:w="108" w:type="dxa"/>
            <w:bottom w:w="0" w:type="dxa"/>
            <w:right w:w="108" w:type="dxa"/>
          </w:tblCellMar>
        </w:tblPrEx>
        <w:trPr>
          <w:trHeight w:val="275" w:hRule="atLeast"/>
        </w:trPr>
        <w:tc>
          <w:tcPr>
            <w:tcW w:w="849" w:type="dxa"/>
            <w:tcBorders>
              <w:left w:val="single" w:color="000000" w:sz="4" w:space="0"/>
              <w:bottom w:val="single" w:color="000000" w:sz="4" w:space="0"/>
            </w:tcBorders>
            <w:vAlign w:val="center"/>
          </w:tcPr>
          <w:p w14:paraId="4790D5AE">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127817</w:t>
            </w:r>
          </w:p>
        </w:tc>
        <w:tc>
          <w:tcPr>
            <w:tcW w:w="3514" w:type="dxa"/>
            <w:tcBorders>
              <w:left w:val="single" w:color="000000" w:sz="4" w:space="0"/>
              <w:bottom w:val="single" w:color="000000" w:sz="4" w:space="0"/>
            </w:tcBorders>
            <w:vAlign w:val="center"/>
          </w:tcPr>
          <w:p w14:paraId="1A62613C">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Creche Integral</w:t>
            </w:r>
          </w:p>
        </w:tc>
        <w:tc>
          <w:tcPr>
            <w:tcW w:w="1699" w:type="dxa"/>
            <w:tcBorders>
              <w:left w:val="single" w:color="000000" w:sz="4" w:space="0"/>
              <w:bottom w:val="single" w:color="000000" w:sz="4" w:space="0"/>
            </w:tcBorders>
            <w:vAlign w:val="center"/>
          </w:tcPr>
          <w:p w14:paraId="4B38F949">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Almoço</w:t>
            </w:r>
          </w:p>
        </w:tc>
        <w:tc>
          <w:tcPr>
            <w:tcW w:w="1426" w:type="dxa"/>
            <w:tcBorders>
              <w:left w:val="single" w:color="000000" w:sz="4" w:space="0"/>
              <w:bottom w:val="single" w:color="000000" w:sz="4" w:space="0"/>
            </w:tcBorders>
            <w:vAlign w:val="center"/>
          </w:tcPr>
          <w:p w14:paraId="63C05217">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440800</w:t>
            </w:r>
          </w:p>
        </w:tc>
        <w:tc>
          <w:tcPr>
            <w:tcW w:w="850" w:type="dxa"/>
            <w:tcBorders>
              <w:left w:val="single" w:color="000000" w:sz="4" w:space="0"/>
              <w:bottom w:val="single" w:color="000000" w:sz="4" w:space="0"/>
            </w:tcBorders>
            <w:vAlign w:val="center"/>
          </w:tcPr>
          <w:p w14:paraId="641A1DC3">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58F4A0C6">
            <w:pPr>
              <w:widowControl w:val="0"/>
              <w:jc w:val="center"/>
              <w:rPr>
                <w:rFonts w:ascii="Century Gothic" w:hAnsi="Century Gothic" w:eastAsia="Century Gothic" w:cs="Century Gothic"/>
                <w:sz w:val="17"/>
                <w:szCs w:val="17"/>
              </w:rPr>
            </w:pPr>
          </w:p>
        </w:tc>
      </w:tr>
      <w:tr w14:paraId="6D66871B">
        <w:tblPrEx>
          <w:tblCellMar>
            <w:top w:w="0" w:type="dxa"/>
            <w:left w:w="108" w:type="dxa"/>
            <w:bottom w:w="0" w:type="dxa"/>
            <w:right w:w="108" w:type="dxa"/>
          </w:tblCellMar>
        </w:tblPrEx>
        <w:trPr>
          <w:trHeight w:val="238" w:hRule="atLeast"/>
        </w:trPr>
        <w:tc>
          <w:tcPr>
            <w:tcW w:w="849" w:type="dxa"/>
            <w:tcBorders>
              <w:left w:val="single" w:color="000000" w:sz="4" w:space="0"/>
              <w:bottom w:val="single" w:color="000000" w:sz="4" w:space="0"/>
            </w:tcBorders>
            <w:vAlign w:val="center"/>
          </w:tcPr>
          <w:p w14:paraId="1C585F0F">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127818</w:t>
            </w:r>
          </w:p>
        </w:tc>
        <w:tc>
          <w:tcPr>
            <w:tcW w:w="3514" w:type="dxa"/>
            <w:tcBorders>
              <w:left w:val="single" w:color="000000" w:sz="4" w:space="0"/>
              <w:bottom w:val="single" w:color="000000" w:sz="4" w:space="0"/>
            </w:tcBorders>
            <w:vAlign w:val="center"/>
          </w:tcPr>
          <w:p w14:paraId="054383CA">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Creche Integral</w:t>
            </w:r>
          </w:p>
        </w:tc>
        <w:tc>
          <w:tcPr>
            <w:tcW w:w="1699" w:type="dxa"/>
            <w:tcBorders>
              <w:left w:val="single" w:color="000000" w:sz="4" w:space="0"/>
              <w:bottom w:val="single" w:color="000000" w:sz="4" w:space="0"/>
            </w:tcBorders>
            <w:vAlign w:val="center"/>
          </w:tcPr>
          <w:p w14:paraId="0A239ED9">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Lanche</w:t>
            </w:r>
          </w:p>
        </w:tc>
        <w:tc>
          <w:tcPr>
            <w:tcW w:w="1426" w:type="dxa"/>
            <w:tcBorders>
              <w:left w:val="single" w:color="000000" w:sz="4" w:space="0"/>
              <w:bottom w:val="single" w:color="000000" w:sz="4" w:space="0"/>
            </w:tcBorders>
            <w:vAlign w:val="center"/>
          </w:tcPr>
          <w:p w14:paraId="1391A2BB">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440800</w:t>
            </w:r>
          </w:p>
        </w:tc>
        <w:tc>
          <w:tcPr>
            <w:tcW w:w="850" w:type="dxa"/>
            <w:tcBorders>
              <w:left w:val="single" w:color="000000" w:sz="4" w:space="0"/>
              <w:bottom w:val="single" w:color="000000" w:sz="4" w:space="0"/>
            </w:tcBorders>
            <w:vAlign w:val="center"/>
          </w:tcPr>
          <w:p w14:paraId="551CA6BD">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47359373">
            <w:pPr>
              <w:widowControl w:val="0"/>
              <w:jc w:val="center"/>
              <w:rPr>
                <w:rFonts w:ascii="Century Gothic" w:hAnsi="Century Gothic" w:eastAsia="Century Gothic" w:cs="Century Gothic"/>
                <w:sz w:val="17"/>
                <w:szCs w:val="17"/>
              </w:rPr>
            </w:pPr>
          </w:p>
        </w:tc>
      </w:tr>
      <w:tr w14:paraId="1C72A94F">
        <w:tblPrEx>
          <w:tblCellMar>
            <w:top w:w="0" w:type="dxa"/>
            <w:left w:w="108" w:type="dxa"/>
            <w:bottom w:w="0" w:type="dxa"/>
            <w:right w:w="108" w:type="dxa"/>
          </w:tblCellMar>
        </w:tblPrEx>
        <w:trPr>
          <w:trHeight w:val="275" w:hRule="atLeast"/>
        </w:trPr>
        <w:tc>
          <w:tcPr>
            <w:tcW w:w="849" w:type="dxa"/>
            <w:tcBorders>
              <w:left w:val="single" w:color="000000" w:sz="4" w:space="0"/>
              <w:bottom w:val="single" w:color="000000" w:sz="4" w:space="0"/>
            </w:tcBorders>
            <w:vAlign w:val="center"/>
          </w:tcPr>
          <w:p w14:paraId="1159F8F8">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127819</w:t>
            </w:r>
          </w:p>
        </w:tc>
        <w:tc>
          <w:tcPr>
            <w:tcW w:w="3514" w:type="dxa"/>
            <w:tcBorders>
              <w:left w:val="single" w:color="000000" w:sz="4" w:space="0"/>
              <w:bottom w:val="single" w:color="000000" w:sz="4" w:space="0"/>
            </w:tcBorders>
            <w:vAlign w:val="center"/>
          </w:tcPr>
          <w:p w14:paraId="43B0F3C5">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Creche Integral</w:t>
            </w:r>
          </w:p>
        </w:tc>
        <w:tc>
          <w:tcPr>
            <w:tcW w:w="1699" w:type="dxa"/>
            <w:tcBorders>
              <w:left w:val="single" w:color="000000" w:sz="4" w:space="0"/>
              <w:bottom w:val="single" w:color="000000" w:sz="4" w:space="0"/>
            </w:tcBorders>
            <w:vAlign w:val="center"/>
          </w:tcPr>
          <w:p w14:paraId="7684B6D0">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Jantar</w:t>
            </w:r>
          </w:p>
        </w:tc>
        <w:tc>
          <w:tcPr>
            <w:tcW w:w="1426" w:type="dxa"/>
            <w:tcBorders>
              <w:left w:val="single" w:color="000000" w:sz="4" w:space="0"/>
              <w:bottom w:val="single" w:color="000000" w:sz="4" w:space="0"/>
            </w:tcBorders>
            <w:vAlign w:val="center"/>
          </w:tcPr>
          <w:p w14:paraId="5C663921">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440800</w:t>
            </w:r>
          </w:p>
        </w:tc>
        <w:tc>
          <w:tcPr>
            <w:tcW w:w="850" w:type="dxa"/>
            <w:tcBorders>
              <w:left w:val="single" w:color="000000" w:sz="4" w:space="0"/>
              <w:bottom w:val="single" w:color="000000" w:sz="4" w:space="0"/>
            </w:tcBorders>
            <w:vAlign w:val="center"/>
          </w:tcPr>
          <w:p w14:paraId="58AA92A9">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22C937E9">
            <w:pPr>
              <w:widowControl w:val="0"/>
              <w:jc w:val="center"/>
              <w:rPr>
                <w:rFonts w:ascii="Century Gothic" w:hAnsi="Century Gothic" w:eastAsia="Century Gothic" w:cs="Century Gothic"/>
                <w:sz w:val="17"/>
                <w:szCs w:val="17"/>
              </w:rPr>
            </w:pPr>
          </w:p>
        </w:tc>
      </w:tr>
      <w:tr w14:paraId="6EF20CB5">
        <w:tblPrEx>
          <w:tblCellMar>
            <w:top w:w="0" w:type="dxa"/>
            <w:left w:w="108" w:type="dxa"/>
            <w:bottom w:w="0" w:type="dxa"/>
            <w:right w:w="108" w:type="dxa"/>
          </w:tblCellMar>
        </w:tblPrEx>
        <w:trPr>
          <w:trHeight w:val="225" w:hRule="atLeast"/>
        </w:trPr>
        <w:tc>
          <w:tcPr>
            <w:tcW w:w="849" w:type="dxa"/>
            <w:tcBorders>
              <w:left w:val="single" w:color="000000" w:sz="4" w:space="0"/>
              <w:bottom w:val="single" w:color="000000" w:sz="4" w:space="0"/>
            </w:tcBorders>
            <w:vAlign w:val="center"/>
          </w:tcPr>
          <w:p w14:paraId="75D5EFFF">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127820</w:t>
            </w:r>
          </w:p>
        </w:tc>
        <w:tc>
          <w:tcPr>
            <w:tcW w:w="3514" w:type="dxa"/>
            <w:tcBorders>
              <w:left w:val="single" w:color="000000" w:sz="4" w:space="0"/>
              <w:bottom w:val="single" w:color="000000" w:sz="4" w:space="0"/>
            </w:tcBorders>
            <w:vAlign w:val="center"/>
          </w:tcPr>
          <w:p w14:paraId="2B650199">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Pré-Escola Parcial (matutino)</w:t>
            </w:r>
          </w:p>
        </w:tc>
        <w:tc>
          <w:tcPr>
            <w:tcW w:w="1699" w:type="dxa"/>
            <w:tcBorders>
              <w:left w:val="single" w:color="000000" w:sz="4" w:space="0"/>
              <w:bottom w:val="single" w:color="000000" w:sz="4" w:space="0"/>
            </w:tcBorders>
            <w:vAlign w:val="center"/>
          </w:tcPr>
          <w:p w14:paraId="5CFB1D14">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Lanche (Manhã)</w:t>
            </w:r>
          </w:p>
        </w:tc>
        <w:tc>
          <w:tcPr>
            <w:tcW w:w="1426" w:type="dxa"/>
            <w:tcBorders>
              <w:left w:val="single" w:color="000000" w:sz="4" w:space="0"/>
              <w:bottom w:val="single" w:color="000000" w:sz="4" w:space="0"/>
            </w:tcBorders>
            <w:vAlign w:val="center"/>
          </w:tcPr>
          <w:p w14:paraId="28976195">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541200</w:t>
            </w:r>
          </w:p>
        </w:tc>
        <w:tc>
          <w:tcPr>
            <w:tcW w:w="850" w:type="dxa"/>
            <w:tcBorders>
              <w:left w:val="single" w:color="000000" w:sz="4" w:space="0"/>
              <w:bottom w:val="single" w:color="000000" w:sz="4" w:space="0"/>
            </w:tcBorders>
            <w:vAlign w:val="center"/>
          </w:tcPr>
          <w:p w14:paraId="52875863">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2D569DD7">
            <w:pPr>
              <w:widowControl w:val="0"/>
              <w:jc w:val="center"/>
              <w:rPr>
                <w:rFonts w:ascii="Century Gothic" w:hAnsi="Century Gothic" w:eastAsia="Century Gothic" w:cs="Century Gothic"/>
                <w:sz w:val="17"/>
                <w:szCs w:val="17"/>
              </w:rPr>
            </w:pPr>
          </w:p>
        </w:tc>
      </w:tr>
      <w:tr w14:paraId="2F7AB9DE">
        <w:tblPrEx>
          <w:tblCellMar>
            <w:top w:w="0" w:type="dxa"/>
            <w:left w:w="108" w:type="dxa"/>
            <w:bottom w:w="0" w:type="dxa"/>
            <w:right w:w="108" w:type="dxa"/>
          </w:tblCellMar>
        </w:tblPrEx>
        <w:trPr>
          <w:trHeight w:val="287" w:hRule="atLeast"/>
        </w:trPr>
        <w:tc>
          <w:tcPr>
            <w:tcW w:w="849" w:type="dxa"/>
            <w:tcBorders>
              <w:left w:val="single" w:color="000000" w:sz="4" w:space="0"/>
              <w:bottom w:val="single" w:color="000000" w:sz="4" w:space="0"/>
            </w:tcBorders>
            <w:vAlign w:val="center"/>
          </w:tcPr>
          <w:p w14:paraId="56DE6028">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127821</w:t>
            </w:r>
          </w:p>
        </w:tc>
        <w:tc>
          <w:tcPr>
            <w:tcW w:w="3514" w:type="dxa"/>
            <w:tcBorders>
              <w:left w:val="single" w:color="000000" w:sz="4" w:space="0"/>
              <w:bottom w:val="single" w:color="000000" w:sz="4" w:space="0"/>
            </w:tcBorders>
            <w:vAlign w:val="center"/>
          </w:tcPr>
          <w:p w14:paraId="2C1BC7A8">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Pré-Escola Parcial (vespertino)</w:t>
            </w:r>
          </w:p>
        </w:tc>
        <w:tc>
          <w:tcPr>
            <w:tcW w:w="1699" w:type="dxa"/>
            <w:tcBorders>
              <w:left w:val="single" w:color="000000" w:sz="4" w:space="0"/>
              <w:bottom w:val="single" w:color="000000" w:sz="4" w:space="0"/>
            </w:tcBorders>
            <w:vAlign w:val="center"/>
          </w:tcPr>
          <w:p w14:paraId="40C74BCD">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Lanche (Tarde)</w:t>
            </w:r>
          </w:p>
        </w:tc>
        <w:tc>
          <w:tcPr>
            <w:tcW w:w="1426" w:type="dxa"/>
            <w:tcBorders>
              <w:left w:val="single" w:color="000000" w:sz="4" w:space="0"/>
              <w:bottom w:val="single" w:color="000000" w:sz="4" w:space="0"/>
            </w:tcBorders>
            <w:vAlign w:val="center"/>
          </w:tcPr>
          <w:p w14:paraId="38B3D429">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612200</w:t>
            </w:r>
          </w:p>
        </w:tc>
        <w:tc>
          <w:tcPr>
            <w:tcW w:w="850" w:type="dxa"/>
            <w:tcBorders>
              <w:left w:val="single" w:color="000000" w:sz="4" w:space="0"/>
              <w:bottom w:val="single" w:color="000000" w:sz="4" w:space="0"/>
            </w:tcBorders>
            <w:vAlign w:val="center"/>
          </w:tcPr>
          <w:p w14:paraId="65DEF6D1">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35AFAC88">
            <w:pPr>
              <w:widowControl w:val="0"/>
              <w:jc w:val="center"/>
              <w:rPr>
                <w:rFonts w:ascii="Century Gothic" w:hAnsi="Century Gothic" w:eastAsia="Century Gothic" w:cs="Century Gothic"/>
                <w:sz w:val="17"/>
                <w:szCs w:val="17"/>
              </w:rPr>
            </w:pPr>
          </w:p>
        </w:tc>
      </w:tr>
      <w:tr w14:paraId="17324AE3">
        <w:tblPrEx>
          <w:tblCellMar>
            <w:top w:w="0" w:type="dxa"/>
            <w:left w:w="108" w:type="dxa"/>
            <w:bottom w:w="0" w:type="dxa"/>
            <w:right w:w="108" w:type="dxa"/>
          </w:tblCellMar>
        </w:tblPrEx>
        <w:trPr>
          <w:trHeight w:val="246" w:hRule="atLeast"/>
        </w:trPr>
        <w:tc>
          <w:tcPr>
            <w:tcW w:w="849" w:type="dxa"/>
            <w:tcBorders>
              <w:left w:val="single" w:color="000000" w:sz="4" w:space="0"/>
              <w:bottom w:val="single" w:color="000000" w:sz="4" w:space="0"/>
            </w:tcBorders>
            <w:vAlign w:val="center"/>
          </w:tcPr>
          <w:p w14:paraId="12395909">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127822</w:t>
            </w:r>
          </w:p>
        </w:tc>
        <w:tc>
          <w:tcPr>
            <w:tcW w:w="3514" w:type="dxa"/>
            <w:tcBorders>
              <w:left w:val="single" w:color="000000" w:sz="4" w:space="0"/>
              <w:bottom w:val="single" w:color="000000" w:sz="4" w:space="0"/>
            </w:tcBorders>
            <w:vAlign w:val="center"/>
          </w:tcPr>
          <w:p w14:paraId="3D196A83">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Pré-Escola Integral</w:t>
            </w:r>
          </w:p>
        </w:tc>
        <w:tc>
          <w:tcPr>
            <w:tcW w:w="1699" w:type="dxa"/>
            <w:tcBorders>
              <w:left w:val="single" w:color="000000" w:sz="4" w:space="0"/>
              <w:bottom w:val="single" w:color="000000" w:sz="4" w:space="0"/>
            </w:tcBorders>
            <w:vAlign w:val="center"/>
          </w:tcPr>
          <w:p w14:paraId="1317FEEE">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Café da Manhã</w:t>
            </w:r>
          </w:p>
        </w:tc>
        <w:tc>
          <w:tcPr>
            <w:tcW w:w="1426" w:type="dxa"/>
            <w:tcBorders>
              <w:left w:val="single" w:color="000000" w:sz="4" w:space="0"/>
              <w:bottom w:val="single" w:color="000000" w:sz="4" w:space="0"/>
            </w:tcBorders>
            <w:vAlign w:val="center"/>
          </w:tcPr>
          <w:p w14:paraId="1A9BB40D">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115600</w:t>
            </w:r>
          </w:p>
        </w:tc>
        <w:tc>
          <w:tcPr>
            <w:tcW w:w="850" w:type="dxa"/>
            <w:tcBorders>
              <w:left w:val="single" w:color="000000" w:sz="4" w:space="0"/>
              <w:bottom w:val="single" w:color="000000" w:sz="4" w:space="0"/>
            </w:tcBorders>
            <w:vAlign w:val="center"/>
          </w:tcPr>
          <w:p w14:paraId="6257040D">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3F4362CE">
            <w:pPr>
              <w:widowControl w:val="0"/>
              <w:jc w:val="center"/>
              <w:rPr>
                <w:rFonts w:ascii="Century Gothic" w:hAnsi="Century Gothic" w:eastAsia="Century Gothic" w:cs="Century Gothic"/>
                <w:sz w:val="17"/>
                <w:szCs w:val="17"/>
              </w:rPr>
            </w:pPr>
          </w:p>
        </w:tc>
      </w:tr>
      <w:tr w14:paraId="5FA3572B">
        <w:tblPrEx>
          <w:tblCellMar>
            <w:top w:w="0" w:type="dxa"/>
            <w:left w:w="108" w:type="dxa"/>
            <w:bottom w:w="0" w:type="dxa"/>
            <w:right w:w="108" w:type="dxa"/>
          </w:tblCellMar>
        </w:tblPrEx>
        <w:trPr>
          <w:trHeight w:val="287" w:hRule="atLeast"/>
        </w:trPr>
        <w:tc>
          <w:tcPr>
            <w:tcW w:w="849" w:type="dxa"/>
            <w:tcBorders>
              <w:left w:val="single" w:color="000000" w:sz="4" w:space="0"/>
              <w:bottom w:val="single" w:color="000000" w:sz="4" w:space="0"/>
            </w:tcBorders>
            <w:vAlign w:val="center"/>
          </w:tcPr>
          <w:p w14:paraId="7F6F95F7">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127823</w:t>
            </w:r>
          </w:p>
        </w:tc>
        <w:tc>
          <w:tcPr>
            <w:tcW w:w="3514" w:type="dxa"/>
            <w:tcBorders>
              <w:left w:val="single" w:color="000000" w:sz="4" w:space="0"/>
              <w:bottom w:val="single" w:color="000000" w:sz="4" w:space="0"/>
            </w:tcBorders>
            <w:vAlign w:val="center"/>
          </w:tcPr>
          <w:p w14:paraId="76D92B13">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Pré-Escola Integral</w:t>
            </w:r>
          </w:p>
        </w:tc>
        <w:tc>
          <w:tcPr>
            <w:tcW w:w="1699" w:type="dxa"/>
            <w:tcBorders>
              <w:left w:val="single" w:color="000000" w:sz="4" w:space="0"/>
              <w:bottom w:val="single" w:color="000000" w:sz="4" w:space="0"/>
            </w:tcBorders>
            <w:vAlign w:val="center"/>
          </w:tcPr>
          <w:p w14:paraId="04566BF8">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Almoço</w:t>
            </w:r>
          </w:p>
        </w:tc>
        <w:tc>
          <w:tcPr>
            <w:tcW w:w="1426" w:type="dxa"/>
            <w:tcBorders>
              <w:left w:val="single" w:color="000000" w:sz="4" w:space="0"/>
              <w:bottom w:val="single" w:color="000000" w:sz="4" w:space="0"/>
            </w:tcBorders>
            <w:vAlign w:val="center"/>
          </w:tcPr>
          <w:p w14:paraId="0278CA83">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115600</w:t>
            </w:r>
          </w:p>
        </w:tc>
        <w:tc>
          <w:tcPr>
            <w:tcW w:w="850" w:type="dxa"/>
            <w:tcBorders>
              <w:left w:val="single" w:color="000000" w:sz="4" w:space="0"/>
              <w:bottom w:val="single" w:color="000000" w:sz="4" w:space="0"/>
            </w:tcBorders>
            <w:vAlign w:val="center"/>
          </w:tcPr>
          <w:p w14:paraId="6EFDA6A7">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13EF552D">
            <w:pPr>
              <w:widowControl w:val="0"/>
              <w:jc w:val="center"/>
              <w:rPr>
                <w:rFonts w:ascii="Century Gothic" w:hAnsi="Century Gothic" w:eastAsia="Century Gothic" w:cs="Century Gothic"/>
                <w:sz w:val="17"/>
                <w:szCs w:val="17"/>
              </w:rPr>
            </w:pPr>
          </w:p>
        </w:tc>
      </w:tr>
      <w:tr w14:paraId="4EF24341">
        <w:tblPrEx>
          <w:tblCellMar>
            <w:top w:w="0" w:type="dxa"/>
            <w:left w:w="108" w:type="dxa"/>
            <w:bottom w:w="0" w:type="dxa"/>
            <w:right w:w="108" w:type="dxa"/>
          </w:tblCellMar>
        </w:tblPrEx>
        <w:trPr>
          <w:trHeight w:val="275" w:hRule="atLeast"/>
        </w:trPr>
        <w:tc>
          <w:tcPr>
            <w:tcW w:w="849" w:type="dxa"/>
            <w:tcBorders>
              <w:left w:val="single" w:color="000000" w:sz="4" w:space="0"/>
              <w:bottom w:val="single" w:color="000000" w:sz="4" w:space="0"/>
            </w:tcBorders>
            <w:vAlign w:val="center"/>
          </w:tcPr>
          <w:p w14:paraId="1853F2D3">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127824</w:t>
            </w:r>
          </w:p>
        </w:tc>
        <w:tc>
          <w:tcPr>
            <w:tcW w:w="3514" w:type="dxa"/>
            <w:tcBorders>
              <w:left w:val="single" w:color="000000" w:sz="4" w:space="0"/>
              <w:bottom w:val="single" w:color="000000" w:sz="4" w:space="0"/>
            </w:tcBorders>
            <w:vAlign w:val="center"/>
          </w:tcPr>
          <w:p w14:paraId="67975933">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Pré-Escola Integral</w:t>
            </w:r>
          </w:p>
        </w:tc>
        <w:tc>
          <w:tcPr>
            <w:tcW w:w="1699" w:type="dxa"/>
            <w:tcBorders>
              <w:left w:val="single" w:color="000000" w:sz="4" w:space="0"/>
              <w:bottom w:val="single" w:color="000000" w:sz="4" w:space="0"/>
            </w:tcBorders>
            <w:vAlign w:val="center"/>
          </w:tcPr>
          <w:p w14:paraId="3445DD7C">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Lanche</w:t>
            </w:r>
          </w:p>
        </w:tc>
        <w:tc>
          <w:tcPr>
            <w:tcW w:w="1426" w:type="dxa"/>
            <w:tcBorders>
              <w:left w:val="single" w:color="000000" w:sz="4" w:space="0"/>
              <w:bottom w:val="single" w:color="000000" w:sz="4" w:space="0"/>
            </w:tcBorders>
            <w:vAlign w:val="center"/>
          </w:tcPr>
          <w:p w14:paraId="774E9D5C">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115600</w:t>
            </w:r>
          </w:p>
        </w:tc>
        <w:tc>
          <w:tcPr>
            <w:tcW w:w="850" w:type="dxa"/>
            <w:tcBorders>
              <w:left w:val="single" w:color="000000" w:sz="4" w:space="0"/>
              <w:bottom w:val="single" w:color="000000" w:sz="4" w:space="0"/>
            </w:tcBorders>
            <w:vAlign w:val="center"/>
          </w:tcPr>
          <w:p w14:paraId="1DF7BEEC">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446417CF">
            <w:pPr>
              <w:widowControl w:val="0"/>
              <w:jc w:val="center"/>
              <w:rPr>
                <w:rFonts w:ascii="Century Gothic" w:hAnsi="Century Gothic" w:eastAsia="Century Gothic" w:cs="Century Gothic"/>
                <w:sz w:val="17"/>
                <w:szCs w:val="17"/>
              </w:rPr>
            </w:pPr>
          </w:p>
        </w:tc>
      </w:tr>
      <w:tr w14:paraId="46B29411">
        <w:tblPrEx>
          <w:tblCellMar>
            <w:top w:w="0" w:type="dxa"/>
            <w:left w:w="108" w:type="dxa"/>
            <w:bottom w:w="0" w:type="dxa"/>
            <w:right w:w="108" w:type="dxa"/>
          </w:tblCellMar>
        </w:tblPrEx>
        <w:trPr>
          <w:trHeight w:val="350" w:hRule="atLeast"/>
        </w:trPr>
        <w:tc>
          <w:tcPr>
            <w:tcW w:w="849" w:type="dxa"/>
            <w:tcBorders>
              <w:left w:val="single" w:color="000000" w:sz="4" w:space="0"/>
              <w:bottom w:val="single" w:color="000000" w:sz="4" w:space="0"/>
            </w:tcBorders>
            <w:vAlign w:val="center"/>
          </w:tcPr>
          <w:p w14:paraId="3F0AF366">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127825</w:t>
            </w:r>
          </w:p>
        </w:tc>
        <w:tc>
          <w:tcPr>
            <w:tcW w:w="3514" w:type="dxa"/>
            <w:tcBorders>
              <w:left w:val="single" w:color="000000" w:sz="4" w:space="0"/>
              <w:bottom w:val="single" w:color="000000" w:sz="4" w:space="0"/>
            </w:tcBorders>
            <w:vAlign w:val="center"/>
          </w:tcPr>
          <w:p w14:paraId="22286147">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Pré-Escola Integral</w:t>
            </w:r>
          </w:p>
        </w:tc>
        <w:tc>
          <w:tcPr>
            <w:tcW w:w="1699" w:type="dxa"/>
            <w:tcBorders>
              <w:left w:val="single" w:color="000000" w:sz="4" w:space="0"/>
              <w:bottom w:val="single" w:color="000000" w:sz="4" w:space="0"/>
            </w:tcBorders>
            <w:vAlign w:val="center"/>
          </w:tcPr>
          <w:p w14:paraId="0228B6BD">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Jantar</w:t>
            </w:r>
          </w:p>
        </w:tc>
        <w:tc>
          <w:tcPr>
            <w:tcW w:w="1426" w:type="dxa"/>
            <w:tcBorders>
              <w:left w:val="single" w:color="000000" w:sz="4" w:space="0"/>
              <w:bottom w:val="single" w:color="000000" w:sz="4" w:space="0"/>
            </w:tcBorders>
            <w:vAlign w:val="center"/>
          </w:tcPr>
          <w:p w14:paraId="6EF7313F">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115600</w:t>
            </w:r>
          </w:p>
        </w:tc>
        <w:tc>
          <w:tcPr>
            <w:tcW w:w="850" w:type="dxa"/>
            <w:tcBorders>
              <w:left w:val="single" w:color="000000" w:sz="4" w:space="0"/>
              <w:bottom w:val="single" w:color="000000" w:sz="4" w:space="0"/>
            </w:tcBorders>
            <w:vAlign w:val="center"/>
          </w:tcPr>
          <w:p w14:paraId="1C292DC2">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72CD3D38">
            <w:pPr>
              <w:widowControl w:val="0"/>
              <w:jc w:val="center"/>
              <w:rPr>
                <w:rFonts w:ascii="Century Gothic" w:hAnsi="Century Gothic" w:eastAsia="Century Gothic" w:cs="Century Gothic"/>
                <w:sz w:val="17"/>
                <w:szCs w:val="17"/>
              </w:rPr>
            </w:pPr>
          </w:p>
        </w:tc>
      </w:tr>
      <w:tr w14:paraId="5C53FC9A">
        <w:tblPrEx>
          <w:tblCellMar>
            <w:top w:w="0" w:type="dxa"/>
            <w:left w:w="108" w:type="dxa"/>
            <w:bottom w:w="0" w:type="dxa"/>
            <w:right w:w="108" w:type="dxa"/>
          </w:tblCellMar>
        </w:tblPrEx>
        <w:trPr>
          <w:trHeight w:val="255" w:hRule="atLeast"/>
        </w:trPr>
        <w:tc>
          <w:tcPr>
            <w:tcW w:w="849" w:type="dxa"/>
            <w:tcBorders>
              <w:left w:val="single" w:color="000000" w:sz="4" w:space="0"/>
              <w:bottom w:val="single" w:color="000000" w:sz="4" w:space="0"/>
            </w:tcBorders>
            <w:vAlign w:val="center"/>
          </w:tcPr>
          <w:p w14:paraId="4BE71A6E">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127828</w:t>
            </w:r>
          </w:p>
        </w:tc>
        <w:tc>
          <w:tcPr>
            <w:tcW w:w="3514" w:type="dxa"/>
            <w:tcBorders>
              <w:left w:val="single" w:color="000000" w:sz="4" w:space="0"/>
              <w:bottom w:val="single" w:color="000000" w:sz="4" w:space="0"/>
            </w:tcBorders>
            <w:vAlign w:val="center"/>
          </w:tcPr>
          <w:p w14:paraId="7BEDC805">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Ensino Fund. Parcial (matutino)</w:t>
            </w:r>
          </w:p>
        </w:tc>
        <w:tc>
          <w:tcPr>
            <w:tcW w:w="1699" w:type="dxa"/>
            <w:tcBorders>
              <w:left w:val="single" w:color="000000" w:sz="4" w:space="0"/>
              <w:bottom w:val="single" w:color="000000" w:sz="4" w:space="0"/>
            </w:tcBorders>
            <w:vAlign w:val="center"/>
          </w:tcPr>
          <w:p w14:paraId="6C1F74C1">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Merenda Escolar</w:t>
            </w:r>
          </w:p>
        </w:tc>
        <w:tc>
          <w:tcPr>
            <w:tcW w:w="1426" w:type="dxa"/>
            <w:tcBorders>
              <w:left w:val="single" w:color="000000" w:sz="4" w:space="0"/>
              <w:bottom w:val="single" w:color="000000" w:sz="4" w:space="0"/>
            </w:tcBorders>
            <w:vAlign w:val="center"/>
          </w:tcPr>
          <w:p w14:paraId="0DCF0395">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1958800</w:t>
            </w:r>
          </w:p>
        </w:tc>
        <w:tc>
          <w:tcPr>
            <w:tcW w:w="850" w:type="dxa"/>
            <w:tcBorders>
              <w:left w:val="single" w:color="000000" w:sz="4" w:space="0"/>
              <w:bottom w:val="single" w:color="000000" w:sz="4" w:space="0"/>
            </w:tcBorders>
            <w:vAlign w:val="center"/>
          </w:tcPr>
          <w:p w14:paraId="59C91B28">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1323B7EF">
            <w:pPr>
              <w:widowControl w:val="0"/>
              <w:jc w:val="center"/>
              <w:rPr>
                <w:rFonts w:ascii="Century Gothic" w:hAnsi="Century Gothic" w:eastAsia="Century Gothic" w:cs="Century Gothic"/>
                <w:sz w:val="17"/>
                <w:szCs w:val="17"/>
              </w:rPr>
            </w:pPr>
          </w:p>
        </w:tc>
      </w:tr>
      <w:tr w14:paraId="45E89091">
        <w:tblPrEx>
          <w:tblCellMar>
            <w:top w:w="0" w:type="dxa"/>
            <w:left w:w="108" w:type="dxa"/>
            <w:bottom w:w="0" w:type="dxa"/>
            <w:right w:w="108" w:type="dxa"/>
          </w:tblCellMar>
        </w:tblPrEx>
        <w:trPr>
          <w:trHeight w:val="287" w:hRule="atLeast"/>
        </w:trPr>
        <w:tc>
          <w:tcPr>
            <w:tcW w:w="849" w:type="dxa"/>
            <w:tcBorders>
              <w:left w:val="single" w:color="000000" w:sz="4" w:space="0"/>
              <w:bottom w:val="single" w:color="000000" w:sz="4" w:space="0"/>
            </w:tcBorders>
            <w:vAlign w:val="center"/>
          </w:tcPr>
          <w:p w14:paraId="1D0E834D">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127829</w:t>
            </w:r>
          </w:p>
        </w:tc>
        <w:tc>
          <w:tcPr>
            <w:tcW w:w="3514" w:type="dxa"/>
            <w:tcBorders>
              <w:left w:val="single" w:color="000000" w:sz="4" w:space="0"/>
              <w:bottom w:val="single" w:color="000000" w:sz="4" w:space="0"/>
            </w:tcBorders>
            <w:vAlign w:val="center"/>
          </w:tcPr>
          <w:p w14:paraId="50CFF544">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Ensino Fund. Parcial (vespertino)</w:t>
            </w:r>
          </w:p>
        </w:tc>
        <w:tc>
          <w:tcPr>
            <w:tcW w:w="1699" w:type="dxa"/>
            <w:tcBorders>
              <w:left w:val="single" w:color="000000" w:sz="4" w:space="0"/>
              <w:bottom w:val="single" w:color="000000" w:sz="4" w:space="0"/>
            </w:tcBorders>
            <w:vAlign w:val="center"/>
          </w:tcPr>
          <w:p w14:paraId="550118CE">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Merenda Escolar</w:t>
            </w:r>
          </w:p>
        </w:tc>
        <w:tc>
          <w:tcPr>
            <w:tcW w:w="1426" w:type="dxa"/>
            <w:tcBorders>
              <w:left w:val="single" w:color="000000" w:sz="4" w:space="0"/>
              <w:bottom w:val="single" w:color="000000" w:sz="4" w:space="0"/>
            </w:tcBorders>
            <w:vAlign w:val="center"/>
          </w:tcPr>
          <w:p w14:paraId="26216E47">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1970200</w:t>
            </w:r>
          </w:p>
        </w:tc>
        <w:tc>
          <w:tcPr>
            <w:tcW w:w="850" w:type="dxa"/>
            <w:tcBorders>
              <w:left w:val="single" w:color="000000" w:sz="4" w:space="0"/>
              <w:bottom w:val="single" w:color="000000" w:sz="4" w:space="0"/>
            </w:tcBorders>
            <w:vAlign w:val="center"/>
          </w:tcPr>
          <w:p w14:paraId="6B9072A8">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1F8B8135">
            <w:pPr>
              <w:widowControl w:val="0"/>
              <w:jc w:val="center"/>
              <w:rPr>
                <w:rFonts w:ascii="Century Gothic" w:hAnsi="Century Gothic" w:eastAsia="Century Gothic" w:cs="Century Gothic"/>
                <w:sz w:val="17"/>
                <w:szCs w:val="17"/>
              </w:rPr>
            </w:pPr>
          </w:p>
        </w:tc>
      </w:tr>
      <w:tr w14:paraId="34AB4599">
        <w:tblPrEx>
          <w:tblCellMar>
            <w:top w:w="0" w:type="dxa"/>
            <w:left w:w="108" w:type="dxa"/>
            <w:bottom w:w="0" w:type="dxa"/>
            <w:right w:w="108" w:type="dxa"/>
          </w:tblCellMar>
        </w:tblPrEx>
        <w:trPr>
          <w:trHeight w:val="288" w:hRule="atLeast"/>
        </w:trPr>
        <w:tc>
          <w:tcPr>
            <w:tcW w:w="849" w:type="dxa"/>
            <w:tcBorders>
              <w:left w:val="single" w:color="000000" w:sz="4" w:space="0"/>
              <w:bottom w:val="single" w:color="000000" w:sz="4" w:space="0"/>
            </w:tcBorders>
            <w:vAlign w:val="center"/>
          </w:tcPr>
          <w:p w14:paraId="05FEDB01">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127830</w:t>
            </w:r>
          </w:p>
        </w:tc>
        <w:tc>
          <w:tcPr>
            <w:tcW w:w="3514" w:type="dxa"/>
            <w:tcBorders>
              <w:left w:val="single" w:color="000000" w:sz="4" w:space="0"/>
              <w:bottom w:val="single" w:color="000000" w:sz="4" w:space="0"/>
            </w:tcBorders>
            <w:vAlign w:val="center"/>
          </w:tcPr>
          <w:p w14:paraId="1D245E0D">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Ensino Fundamental Integral</w:t>
            </w:r>
          </w:p>
        </w:tc>
        <w:tc>
          <w:tcPr>
            <w:tcW w:w="1699" w:type="dxa"/>
            <w:tcBorders>
              <w:left w:val="single" w:color="000000" w:sz="4" w:space="0"/>
              <w:bottom w:val="single" w:color="000000" w:sz="4" w:space="0"/>
            </w:tcBorders>
            <w:vAlign w:val="center"/>
          </w:tcPr>
          <w:p w14:paraId="1738E467">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Café da Manhã</w:t>
            </w:r>
          </w:p>
        </w:tc>
        <w:tc>
          <w:tcPr>
            <w:tcW w:w="1426" w:type="dxa"/>
            <w:tcBorders>
              <w:left w:val="single" w:color="000000" w:sz="4" w:space="0"/>
              <w:bottom w:val="single" w:color="000000" w:sz="4" w:space="0"/>
            </w:tcBorders>
            <w:vAlign w:val="center"/>
          </w:tcPr>
          <w:p w14:paraId="7C9F086C">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51000</w:t>
            </w:r>
          </w:p>
        </w:tc>
        <w:tc>
          <w:tcPr>
            <w:tcW w:w="850" w:type="dxa"/>
            <w:tcBorders>
              <w:left w:val="single" w:color="000000" w:sz="4" w:space="0"/>
              <w:bottom w:val="single" w:color="000000" w:sz="4" w:space="0"/>
            </w:tcBorders>
            <w:vAlign w:val="center"/>
          </w:tcPr>
          <w:p w14:paraId="7C132299">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05234218">
            <w:pPr>
              <w:widowControl w:val="0"/>
              <w:jc w:val="center"/>
              <w:rPr>
                <w:rFonts w:ascii="Century Gothic" w:hAnsi="Century Gothic" w:eastAsia="Century Gothic" w:cs="Century Gothic"/>
                <w:sz w:val="17"/>
                <w:szCs w:val="17"/>
              </w:rPr>
            </w:pPr>
          </w:p>
        </w:tc>
      </w:tr>
      <w:tr w14:paraId="4928F61F">
        <w:tblPrEx>
          <w:tblCellMar>
            <w:top w:w="0" w:type="dxa"/>
            <w:left w:w="108" w:type="dxa"/>
            <w:bottom w:w="0" w:type="dxa"/>
            <w:right w:w="108" w:type="dxa"/>
          </w:tblCellMar>
        </w:tblPrEx>
        <w:trPr>
          <w:trHeight w:val="338" w:hRule="atLeast"/>
        </w:trPr>
        <w:tc>
          <w:tcPr>
            <w:tcW w:w="849" w:type="dxa"/>
            <w:tcBorders>
              <w:left w:val="single" w:color="000000" w:sz="4" w:space="0"/>
              <w:bottom w:val="single" w:color="000000" w:sz="4" w:space="0"/>
            </w:tcBorders>
            <w:vAlign w:val="center"/>
          </w:tcPr>
          <w:p w14:paraId="2999BEDF">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127831</w:t>
            </w:r>
          </w:p>
        </w:tc>
        <w:tc>
          <w:tcPr>
            <w:tcW w:w="3514" w:type="dxa"/>
            <w:tcBorders>
              <w:left w:val="single" w:color="000000" w:sz="4" w:space="0"/>
              <w:bottom w:val="single" w:color="000000" w:sz="4" w:space="0"/>
            </w:tcBorders>
            <w:vAlign w:val="center"/>
          </w:tcPr>
          <w:p w14:paraId="0A3C4503">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Ensino Fundamental Integral</w:t>
            </w:r>
          </w:p>
        </w:tc>
        <w:tc>
          <w:tcPr>
            <w:tcW w:w="1699" w:type="dxa"/>
            <w:tcBorders>
              <w:left w:val="single" w:color="000000" w:sz="4" w:space="0"/>
              <w:bottom w:val="single" w:color="000000" w:sz="4" w:space="0"/>
            </w:tcBorders>
            <w:vAlign w:val="center"/>
          </w:tcPr>
          <w:p w14:paraId="453028F4">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Almoço</w:t>
            </w:r>
          </w:p>
        </w:tc>
        <w:tc>
          <w:tcPr>
            <w:tcW w:w="1426" w:type="dxa"/>
            <w:tcBorders>
              <w:left w:val="single" w:color="000000" w:sz="4" w:space="0"/>
              <w:bottom w:val="single" w:color="000000" w:sz="4" w:space="0"/>
            </w:tcBorders>
            <w:vAlign w:val="center"/>
          </w:tcPr>
          <w:p w14:paraId="63A00090">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51000</w:t>
            </w:r>
          </w:p>
        </w:tc>
        <w:tc>
          <w:tcPr>
            <w:tcW w:w="850" w:type="dxa"/>
            <w:tcBorders>
              <w:left w:val="single" w:color="000000" w:sz="4" w:space="0"/>
              <w:bottom w:val="single" w:color="000000" w:sz="4" w:space="0"/>
            </w:tcBorders>
            <w:vAlign w:val="center"/>
          </w:tcPr>
          <w:p w14:paraId="0C42920C">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70E981E4">
            <w:pPr>
              <w:widowControl w:val="0"/>
              <w:jc w:val="center"/>
              <w:rPr>
                <w:rFonts w:ascii="Century Gothic" w:hAnsi="Century Gothic" w:eastAsia="Century Gothic" w:cs="Century Gothic"/>
                <w:sz w:val="17"/>
                <w:szCs w:val="17"/>
              </w:rPr>
            </w:pPr>
          </w:p>
        </w:tc>
      </w:tr>
      <w:tr w14:paraId="3C28BD50">
        <w:tblPrEx>
          <w:tblCellMar>
            <w:top w:w="0" w:type="dxa"/>
            <w:left w:w="108" w:type="dxa"/>
            <w:bottom w:w="0" w:type="dxa"/>
            <w:right w:w="108" w:type="dxa"/>
          </w:tblCellMar>
        </w:tblPrEx>
        <w:trPr>
          <w:trHeight w:val="287" w:hRule="atLeast"/>
        </w:trPr>
        <w:tc>
          <w:tcPr>
            <w:tcW w:w="849" w:type="dxa"/>
            <w:tcBorders>
              <w:left w:val="single" w:color="000000" w:sz="4" w:space="0"/>
              <w:bottom w:val="single" w:color="000000" w:sz="4" w:space="0"/>
            </w:tcBorders>
            <w:vAlign w:val="center"/>
          </w:tcPr>
          <w:p w14:paraId="4376EB7D">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127832</w:t>
            </w:r>
          </w:p>
        </w:tc>
        <w:tc>
          <w:tcPr>
            <w:tcW w:w="3514" w:type="dxa"/>
            <w:tcBorders>
              <w:left w:val="single" w:color="000000" w:sz="4" w:space="0"/>
              <w:bottom w:val="single" w:color="000000" w:sz="4" w:space="0"/>
            </w:tcBorders>
            <w:vAlign w:val="center"/>
          </w:tcPr>
          <w:p w14:paraId="4434E749">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Ensino Fundamental Integral</w:t>
            </w:r>
          </w:p>
        </w:tc>
        <w:tc>
          <w:tcPr>
            <w:tcW w:w="1699" w:type="dxa"/>
            <w:tcBorders>
              <w:left w:val="single" w:color="000000" w:sz="4" w:space="0"/>
              <w:bottom w:val="single" w:color="000000" w:sz="4" w:space="0"/>
            </w:tcBorders>
            <w:vAlign w:val="center"/>
          </w:tcPr>
          <w:p w14:paraId="3C99C34C">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Lanche</w:t>
            </w:r>
          </w:p>
        </w:tc>
        <w:tc>
          <w:tcPr>
            <w:tcW w:w="1426" w:type="dxa"/>
            <w:tcBorders>
              <w:left w:val="single" w:color="000000" w:sz="4" w:space="0"/>
              <w:bottom w:val="single" w:color="000000" w:sz="4" w:space="0"/>
            </w:tcBorders>
            <w:vAlign w:val="center"/>
          </w:tcPr>
          <w:p w14:paraId="71E60409">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51000</w:t>
            </w:r>
          </w:p>
        </w:tc>
        <w:tc>
          <w:tcPr>
            <w:tcW w:w="850" w:type="dxa"/>
            <w:tcBorders>
              <w:left w:val="single" w:color="000000" w:sz="4" w:space="0"/>
              <w:bottom w:val="single" w:color="000000" w:sz="4" w:space="0"/>
            </w:tcBorders>
            <w:vAlign w:val="center"/>
          </w:tcPr>
          <w:p w14:paraId="2035CDC6">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4B23EC30">
            <w:pPr>
              <w:widowControl w:val="0"/>
              <w:jc w:val="center"/>
              <w:rPr>
                <w:rFonts w:ascii="Century Gothic" w:hAnsi="Century Gothic" w:eastAsia="Century Gothic" w:cs="Century Gothic"/>
                <w:sz w:val="17"/>
                <w:szCs w:val="17"/>
              </w:rPr>
            </w:pPr>
          </w:p>
        </w:tc>
      </w:tr>
      <w:tr w14:paraId="56A6C6B5">
        <w:tblPrEx>
          <w:tblCellMar>
            <w:top w:w="0" w:type="dxa"/>
            <w:left w:w="108" w:type="dxa"/>
            <w:bottom w:w="0" w:type="dxa"/>
            <w:right w:w="108" w:type="dxa"/>
          </w:tblCellMar>
        </w:tblPrEx>
        <w:trPr>
          <w:trHeight w:val="338" w:hRule="atLeast"/>
        </w:trPr>
        <w:tc>
          <w:tcPr>
            <w:tcW w:w="849" w:type="dxa"/>
            <w:tcBorders>
              <w:left w:val="single" w:color="000000" w:sz="4" w:space="0"/>
              <w:bottom w:val="single" w:color="000000" w:sz="4" w:space="0"/>
            </w:tcBorders>
            <w:vAlign w:val="center"/>
          </w:tcPr>
          <w:p w14:paraId="01F371AB">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127833</w:t>
            </w:r>
          </w:p>
        </w:tc>
        <w:tc>
          <w:tcPr>
            <w:tcW w:w="3514" w:type="dxa"/>
            <w:tcBorders>
              <w:left w:val="single" w:color="000000" w:sz="4" w:space="0"/>
              <w:bottom w:val="single" w:color="000000" w:sz="4" w:space="0"/>
            </w:tcBorders>
            <w:vAlign w:val="center"/>
          </w:tcPr>
          <w:p w14:paraId="735C6B29">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Ensino Fundamental Integral</w:t>
            </w:r>
          </w:p>
        </w:tc>
        <w:tc>
          <w:tcPr>
            <w:tcW w:w="1699" w:type="dxa"/>
            <w:tcBorders>
              <w:left w:val="single" w:color="000000" w:sz="4" w:space="0"/>
              <w:bottom w:val="single" w:color="000000" w:sz="4" w:space="0"/>
            </w:tcBorders>
            <w:vAlign w:val="center"/>
          </w:tcPr>
          <w:p w14:paraId="3B87ED06">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Jantar</w:t>
            </w:r>
          </w:p>
        </w:tc>
        <w:tc>
          <w:tcPr>
            <w:tcW w:w="1426" w:type="dxa"/>
            <w:tcBorders>
              <w:left w:val="single" w:color="000000" w:sz="4" w:space="0"/>
              <w:bottom w:val="single" w:color="000000" w:sz="4" w:space="0"/>
            </w:tcBorders>
            <w:vAlign w:val="center"/>
          </w:tcPr>
          <w:p w14:paraId="689CC396">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51000</w:t>
            </w:r>
          </w:p>
        </w:tc>
        <w:tc>
          <w:tcPr>
            <w:tcW w:w="850" w:type="dxa"/>
            <w:tcBorders>
              <w:left w:val="single" w:color="000000" w:sz="4" w:space="0"/>
              <w:bottom w:val="single" w:color="000000" w:sz="4" w:space="0"/>
            </w:tcBorders>
            <w:vAlign w:val="center"/>
          </w:tcPr>
          <w:p w14:paraId="61084B79">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16445613">
            <w:pPr>
              <w:widowControl w:val="0"/>
              <w:jc w:val="center"/>
              <w:rPr>
                <w:rFonts w:ascii="Century Gothic" w:hAnsi="Century Gothic" w:eastAsia="Century Gothic" w:cs="Century Gothic"/>
                <w:sz w:val="17"/>
                <w:szCs w:val="17"/>
              </w:rPr>
            </w:pPr>
          </w:p>
        </w:tc>
      </w:tr>
      <w:tr w14:paraId="49929D21">
        <w:tblPrEx>
          <w:tblCellMar>
            <w:top w:w="0" w:type="dxa"/>
            <w:left w:w="108" w:type="dxa"/>
            <w:bottom w:w="0" w:type="dxa"/>
            <w:right w:w="108" w:type="dxa"/>
          </w:tblCellMar>
        </w:tblPrEx>
        <w:trPr>
          <w:trHeight w:val="288" w:hRule="atLeast"/>
        </w:trPr>
        <w:tc>
          <w:tcPr>
            <w:tcW w:w="849" w:type="dxa"/>
            <w:tcBorders>
              <w:left w:val="single" w:color="000000" w:sz="4" w:space="0"/>
              <w:bottom w:val="single" w:color="000000" w:sz="4" w:space="0"/>
            </w:tcBorders>
            <w:vAlign w:val="center"/>
          </w:tcPr>
          <w:p w14:paraId="5721E33F">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127834</w:t>
            </w:r>
          </w:p>
        </w:tc>
        <w:tc>
          <w:tcPr>
            <w:tcW w:w="3514" w:type="dxa"/>
            <w:tcBorders>
              <w:left w:val="single" w:color="000000" w:sz="4" w:space="0"/>
              <w:bottom w:val="single" w:color="000000" w:sz="4" w:space="0"/>
            </w:tcBorders>
            <w:vAlign w:val="center"/>
          </w:tcPr>
          <w:p w14:paraId="4A17CB64">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EJA – Educação de Jovens e Adultos</w:t>
            </w:r>
          </w:p>
        </w:tc>
        <w:tc>
          <w:tcPr>
            <w:tcW w:w="1699" w:type="dxa"/>
            <w:tcBorders>
              <w:left w:val="single" w:color="000000" w:sz="4" w:space="0"/>
              <w:bottom w:val="single" w:color="000000" w:sz="4" w:space="0"/>
            </w:tcBorders>
            <w:vAlign w:val="center"/>
          </w:tcPr>
          <w:p w14:paraId="0DE29D90">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Lanche Noturno</w:t>
            </w:r>
          </w:p>
        </w:tc>
        <w:tc>
          <w:tcPr>
            <w:tcW w:w="1426" w:type="dxa"/>
            <w:tcBorders>
              <w:left w:val="single" w:color="000000" w:sz="4" w:space="0"/>
              <w:bottom w:val="single" w:color="000000" w:sz="4" w:space="0"/>
            </w:tcBorders>
            <w:vAlign w:val="center"/>
          </w:tcPr>
          <w:p w14:paraId="49C355CF">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79200</w:t>
            </w:r>
          </w:p>
        </w:tc>
        <w:tc>
          <w:tcPr>
            <w:tcW w:w="850" w:type="dxa"/>
            <w:tcBorders>
              <w:left w:val="single" w:color="000000" w:sz="4" w:space="0"/>
              <w:bottom w:val="single" w:color="000000" w:sz="4" w:space="0"/>
            </w:tcBorders>
            <w:vAlign w:val="center"/>
          </w:tcPr>
          <w:p w14:paraId="65BFBE63">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07F7D427">
            <w:pPr>
              <w:widowControl w:val="0"/>
              <w:jc w:val="center"/>
              <w:rPr>
                <w:rFonts w:ascii="Century Gothic" w:hAnsi="Century Gothic" w:eastAsia="Century Gothic" w:cs="Century Gothic"/>
                <w:sz w:val="17"/>
                <w:szCs w:val="17"/>
              </w:rPr>
            </w:pPr>
          </w:p>
        </w:tc>
      </w:tr>
      <w:tr w14:paraId="23CF771A">
        <w:tblPrEx>
          <w:tblCellMar>
            <w:top w:w="0" w:type="dxa"/>
            <w:left w:w="108" w:type="dxa"/>
            <w:bottom w:w="0" w:type="dxa"/>
            <w:right w:w="108" w:type="dxa"/>
          </w:tblCellMar>
        </w:tblPrEx>
        <w:trPr>
          <w:trHeight w:val="262" w:hRule="atLeast"/>
        </w:trPr>
        <w:tc>
          <w:tcPr>
            <w:tcW w:w="849" w:type="dxa"/>
            <w:tcBorders>
              <w:left w:val="single" w:color="000000" w:sz="4" w:space="0"/>
              <w:bottom w:val="single" w:color="000000" w:sz="4" w:space="0"/>
            </w:tcBorders>
            <w:vAlign w:val="center"/>
          </w:tcPr>
          <w:p w14:paraId="18A2E756">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127835</w:t>
            </w:r>
          </w:p>
        </w:tc>
        <w:tc>
          <w:tcPr>
            <w:tcW w:w="3514" w:type="dxa"/>
            <w:tcBorders>
              <w:left w:val="single" w:color="000000" w:sz="4" w:space="0"/>
              <w:bottom w:val="single" w:color="000000" w:sz="4" w:space="0"/>
            </w:tcBorders>
            <w:vAlign w:val="center"/>
          </w:tcPr>
          <w:p w14:paraId="3C919ABF">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AEE – Pré-Escola e Fundamental</w:t>
            </w:r>
          </w:p>
        </w:tc>
        <w:tc>
          <w:tcPr>
            <w:tcW w:w="1699" w:type="dxa"/>
            <w:tcBorders>
              <w:left w:val="single" w:color="000000" w:sz="4" w:space="0"/>
              <w:bottom w:val="single" w:color="000000" w:sz="4" w:space="0"/>
            </w:tcBorders>
            <w:vAlign w:val="center"/>
          </w:tcPr>
          <w:p w14:paraId="38EA5652">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Merenda suplementar</w:t>
            </w:r>
          </w:p>
        </w:tc>
        <w:tc>
          <w:tcPr>
            <w:tcW w:w="1426" w:type="dxa"/>
            <w:tcBorders>
              <w:left w:val="single" w:color="000000" w:sz="4" w:space="0"/>
              <w:bottom w:val="single" w:color="000000" w:sz="4" w:space="0"/>
            </w:tcBorders>
            <w:vAlign w:val="center"/>
          </w:tcPr>
          <w:p w14:paraId="10FE65D4">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126800</w:t>
            </w:r>
          </w:p>
        </w:tc>
        <w:tc>
          <w:tcPr>
            <w:tcW w:w="850" w:type="dxa"/>
            <w:tcBorders>
              <w:left w:val="single" w:color="000000" w:sz="4" w:space="0"/>
              <w:bottom w:val="single" w:color="000000" w:sz="4" w:space="0"/>
            </w:tcBorders>
            <w:vAlign w:val="center"/>
          </w:tcPr>
          <w:p w14:paraId="0A9527EC">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17293B2A">
            <w:pPr>
              <w:widowControl w:val="0"/>
              <w:jc w:val="center"/>
              <w:rPr>
                <w:rFonts w:ascii="Century Gothic" w:hAnsi="Century Gothic" w:eastAsia="Century Gothic" w:cs="Century Gothic"/>
                <w:sz w:val="17"/>
                <w:szCs w:val="17"/>
              </w:rPr>
            </w:pPr>
          </w:p>
        </w:tc>
      </w:tr>
      <w:tr w14:paraId="5F0B5B4F">
        <w:tblPrEx>
          <w:tblCellMar>
            <w:top w:w="0" w:type="dxa"/>
            <w:left w:w="108" w:type="dxa"/>
            <w:bottom w:w="0" w:type="dxa"/>
            <w:right w:w="108" w:type="dxa"/>
          </w:tblCellMar>
        </w:tblPrEx>
        <w:trPr>
          <w:trHeight w:val="349" w:hRule="atLeast"/>
        </w:trPr>
        <w:tc>
          <w:tcPr>
            <w:tcW w:w="849" w:type="dxa"/>
            <w:tcBorders>
              <w:left w:val="single" w:color="000000" w:sz="4" w:space="0"/>
              <w:bottom w:val="single" w:color="000000" w:sz="4" w:space="0"/>
            </w:tcBorders>
            <w:vAlign w:val="center"/>
          </w:tcPr>
          <w:p w14:paraId="6918E6CD">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127836</w:t>
            </w:r>
          </w:p>
        </w:tc>
        <w:tc>
          <w:tcPr>
            <w:tcW w:w="3514" w:type="dxa"/>
            <w:tcBorders>
              <w:left w:val="single" w:color="000000" w:sz="4" w:space="0"/>
              <w:bottom w:val="single" w:color="000000" w:sz="4" w:space="0"/>
            </w:tcBorders>
            <w:vAlign w:val="center"/>
          </w:tcPr>
          <w:p w14:paraId="7B5B35D0">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AEE – Creche (matutino)</w:t>
            </w:r>
          </w:p>
        </w:tc>
        <w:tc>
          <w:tcPr>
            <w:tcW w:w="1699" w:type="dxa"/>
            <w:tcBorders>
              <w:left w:val="single" w:color="000000" w:sz="4" w:space="0"/>
              <w:bottom w:val="single" w:color="000000" w:sz="4" w:space="0"/>
            </w:tcBorders>
            <w:vAlign w:val="center"/>
          </w:tcPr>
          <w:p w14:paraId="752C699D">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Café da Manhã</w:t>
            </w:r>
          </w:p>
        </w:tc>
        <w:tc>
          <w:tcPr>
            <w:tcW w:w="1426" w:type="dxa"/>
            <w:tcBorders>
              <w:left w:val="single" w:color="000000" w:sz="4" w:space="0"/>
              <w:bottom w:val="single" w:color="000000" w:sz="4" w:space="0"/>
            </w:tcBorders>
            <w:vAlign w:val="center"/>
          </w:tcPr>
          <w:p w14:paraId="43DCB262">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45000</w:t>
            </w:r>
          </w:p>
        </w:tc>
        <w:tc>
          <w:tcPr>
            <w:tcW w:w="850" w:type="dxa"/>
            <w:tcBorders>
              <w:left w:val="single" w:color="000000" w:sz="4" w:space="0"/>
              <w:bottom w:val="single" w:color="000000" w:sz="4" w:space="0"/>
            </w:tcBorders>
            <w:vAlign w:val="center"/>
          </w:tcPr>
          <w:p w14:paraId="04B4274E">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0E549CAD">
            <w:pPr>
              <w:widowControl w:val="0"/>
              <w:jc w:val="center"/>
              <w:rPr>
                <w:rFonts w:ascii="Century Gothic" w:hAnsi="Century Gothic" w:eastAsia="Century Gothic" w:cs="Century Gothic"/>
                <w:sz w:val="17"/>
                <w:szCs w:val="17"/>
              </w:rPr>
            </w:pPr>
          </w:p>
        </w:tc>
      </w:tr>
      <w:tr w14:paraId="3B2FE594">
        <w:tblPrEx>
          <w:tblCellMar>
            <w:top w:w="0" w:type="dxa"/>
            <w:left w:w="108" w:type="dxa"/>
            <w:bottom w:w="0" w:type="dxa"/>
            <w:right w:w="108" w:type="dxa"/>
          </w:tblCellMar>
        </w:tblPrEx>
        <w:trPr>
          <w:trHeight w:val="267" w:hRule="atLeast"/>
        </w:trPr>
        <w:tc>
          <w:tcPr>
            <w:tcW w:w="849" w:type="dxa"/>
            <w:tcBorders>
              <w:left w:val="single" w:color="000000" w:sz="4" w:space="0"/>
              <w:bottom w:val="single" w:color="000000" w:sz="4" w:space="0"/>
            </w:tcBorders>
            <w:vAlign w:val="center"/>
          </w:tcPr>
          <w:p w14:paraId="51BAC3F5">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127837</w:t>
            </w:r>
          </w:p>
        </w:tc>
        <w:tc>
          <w:tcPr>
            <w:tcW w:w="3514" w:type="dxa"/>
            <w:tcBorders>
              <w:left w:val="single" w:color="000000" w:sz="4" w:space="0"/>
              <w:bottom w:val="single" w:color="000000" w:sz="4" w:space="0"/>
            </w:tcBorders>
            <w:vAlign w:val="center"/>
          </w:tcPr>
          <w:p w14:paraId="04FC7B2E">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AEE – Creche (matutino)</w:t>
            </w:r>
          </w:p>
        </w:tc>
        <w:tc>
          <w:tcPr>
            <w:tcW w:w="1699" w:type="dxa"/>
            <w:tcBorders>
              <w:left w:val="single" w:color="000000" w:sz="4" w:space="0"/>
              <w:bottom w:val="single" w:color="000000" w:sz="4" w:space="0"/>
            </w:tcBorders>
            <w:vAlign w:val="center"/>
          </w:tcPr>
          <w:p w14:paraId="650E39C6">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Almoço</w:t>
            </w:r>
          </w:p>
        </w:tc>
        <w:tc>
          <w:tcPr>
            <w:tcW w:w="1426" w:type="dxa"/>
            <w:tcBorders>
              <w:left w:val="single" w:color="000000" w:sz="4" w:space="0"/>
              <w:bottom w:val="single" w:color="000000" w:sz="4" w:space="0"/>
            </w:tcBorders>
            <w:vAlign w:val="center"/>
          </w:tcPr>
          <w:p w14:paraId="6DCB4542">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45000</w:t>
            </w:r>
          </w:p>
        </w:tc>
        <w:tc>
          <w:tcPr>
            <w:tcW w:w="850" w:type="dxa"/>
            <w:tcBorders>
              <w:left w:val="single" w:color="000000" w:sz="4" w:space="0"/>
              <w:bottom w:val="single" w:color="000000" w:sz="4" w:space="0"/>
            </w:tcBorders>
            <w:vAlign w:val="center"/>
          </w:tcPr>
          <w:p w14:paraId="2A2CD722">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15460B65">
            <w:pPr>
              <w:widowControl w:val="0"/>
              <w:jc w:val="center"/>
              <w:rPr>
                <w:rFonts w:ascii="Century Gothic" w:hAnsi="Century Gothic" w:eastAsia="Century Gothic" w:cs="Century Gothic"/>
                <w:sz w:val="17"/>
                <w:szCs w:val="17"/>
              </w:rPr>
            </w:pPr>
          </w:p>
        </w:tc>
      </w:tr>
      <w:tr w14:paraId="268DDD18">
        <w:tblPrEx>
          <w:tblCellMar>
            <w:top w:w="0" w:type="dxa"/>
            <w:left w:w="108" w:type="dxa"/>
            <w:bottom w:w="0" w:type="dxa"/>
            <w:right w:w="108" w:type="dxa"/>
          </w:tblCellMar>
        </w:tblPrEx>
        <w:trPr>
          <w:trHeight w:val="338" w:hRule="atLeast"/>
        </w:trPr>
        <w:tc>
          <w:tcPr>
            <w:tcW w:w="849" w:type="dxa"/>
            <w:tcBorders>
              <w:left w:val="single" w:color="000000" w:sz="4" w:space="0"/>
              <w:bottom w:val="single" w:color="000000" w:sz="4" w:space="0"/>
            </w:tcBorders>
            <w:vAlign w:val="center"/>
          </w:tcPr>
          <w:p w14:paraId="378727F9">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127838</w:t>
            </w:r>
          </w:p>
        </w:tc>
        <w:tc>
          <w:tcPr>
            <w:tcW w:w="3514" w:type="dxa"/>
            <w:tcBorders>
              <w:left w:val="single" w:color="000000" w:sz="4" w:space="0"/>
              <w:bottom w:val="single" w:color="000000" w:sz="4" w:space="0"/>
            </w:tcBorders>
            <w:vAlign w:val="center"/>
          </w:tcPr>
          <w:p w14:paraId="571540B1">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AEE – Creche (vespertino)</w:t>
            </w:r>
          </w:p>
        </w:tc>
        <w:tc>
          <w:tcPr>
            <w:tcW w:w="1699" w:type="dxa"/>
            <w:tcBorders>
              <w:left w:val="single" w:color="000000" w:sz="4" w:space="0"/>
              <w:bottom w:val="single" w:color="000000" w:sz="4" w:space="0"/>
            </w:tcBorders>
            <w:vAlign w:val="center"/>
          </w:tcPr>
          <w:p w14:paraId="655F99D8">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Lanche Tarde</w:t>
            </w:r>
          </w:p>
        </w:tc>
        <w:tc>
          <w:tcPr>
            <w:tcW w:w="1426" w:type="dxa"/>
            <w:tcBorders>
              <w:left w:val="single" w:color="000000" w:sz="4" w:space="0"/>
              <w:bottom w:val="single" w:color="000000" w:sz="4" w:space="0"/>
            </w:tcBorders>
            <w:vAlign w:val="center"/>
          </w:tcPr>
          <w:p w14:paraId="1F9DE19E">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43000</w:t>
            </w:r>
          </w:p>
        </w:tc>
        <w:tc>
          <w:tcPr>
            <w:tcW w:w="850" w:type="dxa"/>
            <w:tcBorders>
              <w:left w:val="single" w:color="000000" w:sz="4" w:space="0"/>
              <w:bottom w:val="single" w:color="000000" w:sz="4" w:space="0"/>
            </w:tcBorders>
            <w:vAlign w:val="center"/>
          </w:tcPr>
          <w:p w14:paraId="06E51E54">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1EC92B46">
            <w:pPr>
              <w:widowControl w:val="0"/>
              <w:jc w:val="center"/>
              <w:rPr>
                <w:rFonts w:ascii="Century Gothic" w:hAnsi="Century Gothic" w:eastAsia="Century Gothic" w:cs="Century Gothic"/>
                <w:sz w:val="17"/>
                <w:szCs w:val="17"/>
              </w:rPr>
            </w:pPr>
          </w:p>
        </w:tc>
      </w:tr>
      <w:tr w14:paraId="7D81B5E6">
        <w:tblPrEx>
          <w:tblCellMar>
            <w:top w:w="0" w:type="dxa"/>
            <w:left w:w="108" w:type="dxa"/>
            <w:bottom w:w="0" w:type="dxa"/>
            <w:right w:w="108" w:type="dxa"/>
          </w:tblCellMar>
        </w:tblPrEx>
        <w:trPr>
          <w:trHeight w:val="287" w:hRule="atLeast"/>
        </w:trPr>
        <w:tc>
          <w:tcPr>
            <w:tcW w:w="849" w:type="dxa"/>
            <w:tcBorders>
              <w:left w:val="single" w:color="000000" w:sz="4" w:space="0"/>
              <w:bottom w:val="single" w:color="000000" w:sz="4" w:space="0"/>
            </w:tcBorders>
            <w:vAlign w:val="center"/>
          </w:tcPr>
          <w:p w14:paraId="2B67B231">
            <w:pPr>
              <w:widowControl w:val="0"/>
              <w:jc w:val="center"/>
              <w:rPr>
                <w:rFonts w:ascii="Century Gothic" w:hAnsi="Century Gothic" w:eastAsia="Century Gothic" w:cs="Century Gothic"/>
                <w:b/>
                <w:sz w:val="17"/>
                <w:szCs w:val="17"/>
              </w:rPr>
            </w:pPr>
            <w:r>
              <w:rPr>
                <w:rFonts w:ascii="Century Gothic" w:hAnsi="Century Gothic" w:eastAsia="Century Gothic" w:cs="Century Gothic"/>
                <w:b/>
                <w:sz w:val="17"/>
                <w:szCs w:val="17"/>
              </w:rPr>
              <w:t>127839</w:t>
            </w:r>
          </w:p>
        </w:tc>
        <w:tc>
          <w:tcPr>
            <w:tcW w:w="3514" w:type="dxa"/>
            <w:tcBorders>
              <w:left w:val="single" w:color="000000" w:sz="4" w:space="0"/>
              <w:bottom w:val="single" w:color="000000" w:sz="4" w:space="0"/>
            </w:tcBorders>
            <w:vAlign w:val="center"/>
          </w:tcPr>
          <w:p w14:paraId="442BDEC9">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AEE – Creche (vespertino)</w:t>
            </w:r>
          </w:p>
        </w:tc>
        <w:tc>
          <w:tcPr>
            <w:tcW w:w="1699" w:type="dxa"/>
            <w:tcBorders>
              <w:left w:val="single" w:color="000000" w:sz="4" w:space="0"/>
              <w:bottom w:val="single" w:color="000000" w:sz="4" w:space="0"/>
            </w:tcBorders>
            <w:vAlign w:val="center"/>
          </w:tcPr>
          <w:p w14:paraId="620EAED1">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Jantar</w:t>
            </w:r>
          </w:p>
        </w:tc>
        <w:tc>
          <w:tcPr>
            <w:tcW w:w="1426" w:type="dxa"/>
            <w:tcBorders>
              <w:left w:val="single" w:color="000000" w:sz="4" w:space="0"/>
              <w:bottom w:val="single" w:color="000000" w:sz="4" w:space="0"/>
            </w:tcBorders>
            <w:vAlign w:val="center"/>
          </w:tcPr>
          <w:p w14:paraId="6855740C">
            <w:pPr>
              <w:widowControl w:val="0"/>
              <w:jc w:val="center"/>
              <w:rPr>
                <w:rFonts w:ascii="Century Gothic" w:hAnsi="Century Gothic" w:eastAsia="Century Gothic" w:cs="Century Gothic"/>
                <w:sz w:val="17"/>
                <w:szCs w:val="17"/>
              </w:rPr>
            </w:pPr>
            <w:r>
              <w:rPr>
                <w:rFonts w:ascii="Century Gothic" w:hAnsi="Century Gothic" w:eastAsia="Century Gothic" w:cs="Century Gothic"/>
                <w:sz w:val="17"/>
                <w:szCs w:val="17"/>
              </w:rPr>
              <w:t>43000</w:t>
            </w:r>
          </w:p>
        </w:tc>
        <w:tc>
          <w:tcPr>
            <w:tcW w:w="850" w:type="dxa"/>
            <w:tcBorders>
              <w:left w:val="single" w:color="000000" w:sz="4" w:space="0"/>
              <w:bottom w:val="single" w:color="000000" w:sz="4" w:space="0"/>
            </w:tcBorders>
            <w:vAlign w:val="center"/>
          </w:tcPr>
          <w:p w14:paraId="3151CE52">
            <w:pPr>
              <w:widowControl w:val="0"/>
              <w:jc w:val="center"/>
              <w:rPr>
                <w:rFonts w:ascii="Century Gothic" w:hAnsi="Century Gothic" w:eastAsia="Century Gothic" w:cs="Century Gothic"/>
                <w:sz w:val="17"/>
                <w:szCs w:val="17"/>
              </w:rPr>
            </w:pPr>
          </w:p>
        </w:tc>
        <w:tc>
          <w:tcPr>
            <w:tcW w:w="1636" w:type="dxa"/>
            <w:tcBorders>
              <w:left w:val="single" w:color="000000" w:sz="4" w:space="0"/>
              <w:bottom w:val="single" w:color="000000" w:sz="4" w:space="0"/>
              <w:right w:val="single" w:color="000000" w:sz="4" w:space="0"/>
            </w:tcBorders>
            <w:vAlign w:val="center"/>
          </w:tcPr>
          <w:p w14:paraId="2A64F117">
            <w:pPr>
              <w:widowControl w:val="0"/>
              <w:jc w:val="center"/>
              <w:rPr>
                <w:rFonts w:ascii="Century Gothic" w:hAnsi="Century Gothic" w:eastAsia="Century Gothic" w:cs="Century Gothic"/>
                <w:sz w:val="17"/>
                <w:szCs w:val="17"/>
              </w:rPr>
            </w:pPr>
          </w:p>
        </w:tc>
      </w:tr>
      <w:tr w14:paraId="0636DA06">
        <w:tblPrEx>
          <w:tblCellMar>
            <w:top w:w="0" w:type="dxa"/>
            <w:left w:w="108" w:type="dxa"/>
            <w:bottom w:w="0" w:type="dxa"/>
            <w:right w:w="108" w:type="dxa"/>
          </w:tblCellMar>
        </w:tblPrEx>
        <w:trPr>
          <w:trHeight w:val="156" w:hRule="atLeast"/>
        </w:trPr>
        <w:tc>
          <w:tcPr>
            <w:tcW w:w="8338" w:type="dxa"/>
            <w:gridSpan w:val="5"/>
            <w:tcBorders>
              <w:left w:val="single" w:color="000000" w:sz="4" w:space="0"/>
              <w:bottom w:val="single" w:color="000000" w:sz="4" w:space="0"/>
            </w:tcBorders>
            <w:shd w:val="clear" w:color="auto" w:fill="DDDDDD"/>
          </w:tcPr>
          <w:p w14:paraId="742C41BF">
            <w:pPr>
              <w:widowControl w:val="0"/>
              <w:spacing w:before="57" w:after="57" w:line="216" w:lineRule="auto"/>
              <w:jc w:val="right"/>
              <w:rPr>
                <w:rFonts w:ascii="Century Gothic" w:hAnsi="Century Gothic" w:eastAsia="Century Gothic" w:cs="Century Gothic"/>
                <w:sz w:val="19"/>
                <w:szCs w:val="19"/>
              </w:rPr>
            </w:pPr>
            <w:r>
              <w:rPr>
                <w:rFonts w:ascii="Century Gothic" w:hAnsi="Century Gothic" w:eastAsia="Century Gothic" w:cs="Century Gothic"/>
                <w:b/>
                <w:sz w:val="19"/>
                <w:szCs w:val="19"/>
              </w:rPr>
              <w:t>VALOR TOTAL</w:t>
            </w:r>
          </w:p>
        </w:tc>
        <w:tc>
          <w:tcPr>
            <w:tcW w:w="1636" w:type="dxa"/>
            <w:tcBorders>
              <w:left w:val="single" w:color="000000" w:sz="4" w:space="0"/>
              <w:bottom w:val="single" w:color="000000" w:sz="4" w:space="0"/>
              <w:right w:val="single" w:color="000000" w:sz="4" w:space="0"/>
            </w:tcBorders>
            <w:shd w:val="clear" w:color="auto" w:fill="DDDDDD"/>
          </w:tcPr>
          <w:p w14:paraId="60E32CB4">
            <w:pPr>
              <w:widowControl w:val="0"/>
              <w:spacing w:before="57" w:after="57" w:line="216" w:lineRule="auto"/>
              <w:ind w:left="-57" w:right="-113"/>
              <w:jc w:val="center"/>
              <w:rPr>
                <w:rFonts w:ascii="Century Gothic" w:hAnsi="Century Gothic" w:eastAsia="Century Gothic" w:cs="Century Gothic"/>
                <w:sz w:val="19"/>
                <w:szCs w:val="19"/>
              </w:rPr>
            </w:pPr>
            <w:r>
              <w:rPr>
                <w:rFonts w:ascii="Century Gothic" w:hAnsi="Century Gothic" w:eastAsia="Century Gothic" w:cs="Century Gothic"/>
                <w:b/>
                <w:sz w:val="19"/>
                <w:szCs w:val="19"/>
              </w:rPr>
              <w:t xml:space="preserve">R$ </w:t>
            </w:r>
          </w:p>
        </w:tc>
      </w:tr>
    </w:tbl>
    <w:p w14:paraId="0156C97D">
      <w:pPr>
        <w:jc w:val="both"/>
        <w:rPr>
          <w:rFonts w:ascii="Arial" w:hAnsi="Arial" w:eastAsia="Arial" w:cs="Arial"/>
          <w:b/>
        </w:rPr>
      </w:pPr>
    </w:p>
    <w:p w14:paraId="797C6173">
      <w:pPr>
        <w:jc w:val="both"/>
        <w:rPr>
          <w:rFonts w:ascii="Arial" w:hAnsi="Arial" w:eastAsia="Arial" w:cs="Arial"/>
          <w:color w:val="000000"/>
        </w:rPr>
      </w:pPr>
    </w:p>
    <w:p w14:paraId="33B37CF4">
      <w:pPr>
        <w:jc w:val="both"/>
        <w:rPr>
          <w:rFonts w:ascii="Arial" w:hAnsi="Arial" w:eastAsia="Arial" w:cs="Arial"/>
          <w:color w:val="000000"/>
        </w:rPr>
      </w:pPr>
    </w:p>
    <w:p w14:paraId="07CD6B8B">
      <w:pPr>
        <w:jc w:val="both"/>
        <w:rPr>
          <w:color w:val="000000"/>
        </w:rPr>
      </w:pPr>
      <w:r>
        <w:rPr>
          <w:rFonts w:ascii="Arial" w:hAnsi="Arial" w:eastAsia="Arial" w:cs="Arial"/>
          <w:color w:val="000000"/>
        </w:rPr>
        <w:t>1 – Nos preços estão inclusos todos os custos básicos diretos, bem como quaisquer outros custos ou despesas que incidam ou venham a incidir direta ou indiretamente que porventura possam recair sobre o fornecimento.</w:t>
      </w:r>
    </w:p>
    <w:p w14:paraId="6EA3713C">
      <w:pPr>
        <w:jc w:val="both"/>
        <w:rPr>
          <w:color w:val="000000"/>
        </w:rPr>
      </w:pPr>
      <w:r>
        <w:rPr>
          <w:rFonts w:ascii="Arial" w:hAnsi="Arial" w:eastAsia="Arial" w:cs="Arial"/>
          <w:color w:val="000000"/>
        </w:rPr>
        <w:t>2 – Declaramos que temos pleno conhecimento de todas as condições estabelecidas no termo de referência, edital e anexos, bem como do (s) local (is) de entrega do objeto licitado.</w:t>
      </w:r>
    </w:p>
    <w:p w14:paraId="0F3BFE6A">
      <w:pPr>
        <w:jc w:val="both"/>
        <w:rPr>
          <w:color w:val="000000"/>
        </w:rPr>
      </w:pPr>
      <w:r>
        <w:rPr>
          <w:rFonts w:ascii="Arial" w:hAnsi="Arial" w:eastAsia="Arial" w:cs="Arial"/>
          <w:color w:val="000000"/>
        </w:rPr>
        <w:t>3 – Declaramos que assumimos inteira e completa responsabilidade pela perfeita execução da entrega dos produtos/serviços, conforme condições estabelecidas no termo de referência, edital e anexos.</w:t>
      </w:r>
    </w:p>
    <w:p w14:paraId="0B9BE67A">
      <w:pPr>
        <w:jc w:val="both"/>
        <w:rPr>
          <w:color w:val="000000"/>
        </w:rPr>
      </w:pPr>
      <w:r>
        <w:rPr>
          <w:rFonts w:ascii="Arial" w:hAnsi="Arial" w:eastAsia="Arial" w:cs="Arial"/>
          <w:color w:val="000000"/>
        </w:rPr>
        <w:t>4 – Declaramos que possuímos total capacidade técnica para atendermos ao objeto solicitado.</w:t>
      </w:r>
    </w:p>
    <w:p w14:paraId="76E5921C">
      <w:pPr>
        <w:jc w:val="both"/>
        <w:rPr>
          <w:color w:val="000000"/>
        </w:rPr>
      </w:pPr>
      <w:r>
        <w:rPr>
          <w:rFonts w:ascii="Arial" w:hAnsi="Arial" w:eastAsia="Arial" w:cs="Arial"/>
          <w:color w:val="000000"/>
        </w:rPr>
        <w:t>5 – O prazo de validade da proposta é de 120 (cento e vinte) dias corridos, contados da entrega dos envelopes “PROPOSTA DE PREÇOS”.</w:t>
      </w:r>
    </w:p>
    <w:p w14:paraId="60233A6D">
      <w:pPr>
        <w:jc w:val="both"/>
        <w:rPr>
          <w:color w:val="000000"/>
        </w:rPr>
      </w:pPr>
      <w:r>
        <w:rPr>
          <w:rFonts w:ascii="Arial" w:hAnsi="Arial" w:eastAsia="Arial" w:cs="Arial"/>
          <w:color w:val="000000"/>
        </w:rPr>
        <w:t>6 – O prazo de realização dos serviços/entrega do produto é</w:t>
      </w:r>
      <w:r>
        <w:rPr>
          <w:rFonts w:ascii="Arial" w:hAnsi="Arial" w:eastAsia="Arial" w:cs="Arial"/>
          <w:b/>
          <w:color w:val="000000"/>
        </w:rPr>
        <w:t xml:space="preserve"> </w:t>
      </w:r>
      <w:r>
        <w:rPr>
          <w:rFonts w:ascii="Arial" w:hAnsi="Arial" w:eastAsia="Arial" w:cs="Arial"/>
          <w:color w:val="000000"/>
        </w:rPr>
        <w:t>de acordo com o previsto contida no edital e seus anexos.</w:t>
      </w:r>
    </w:p>
    <w:p w14:paraId="428543FC">
      <w:pPr>
        <w:jc w:val="both"/>
      </w:pPr>
      <w:r>
        <w:rPr>
          <w:rFonts w:ascii="Arial" w:hAnsi="Arial" w:eastAsia="Arial" w:cs="Arial"/>
        </w:rPr>
        <w:t>7 – Apresentamos, conforme exigido, nossos dados bancários:</w:t>
      </w:r>
    </w:p>
    <w:p w14:paraId="0D8DF2F7">
      <w:pPr>
        <w:jc w:val="both"/>
        <w:rPr>
          <w:rFonts w:ascii="Arial" w:hAnsi="Arial" w:eastAsia="Arial" w:cs="Arial"/>
        </w:rPr>
      </w:pPr>
    </w:p>
    <w:p w14:paraId="19AEAE19">
      <w:pPr>
        <w:jc w:val="both"/>
      </w:pPr>
      <w:r>
        <w:rPr>
          <w:rFonts w:ascii="Arial" w:hAnsi="Arial" w:eastAsia="Arial" w:cs="Arial"/>
        </w:rPr>
        <w:t>NOME DO BANCO ......................... N° ...............</w:t>
      </w:r>
    </w:p>
    <w:p w14:paraId="5D59A9AE">
      <w:pPr>
        <w:jc w:val="both"/>
      </w:pPr>
      <w:r>
        <w:rPr>
          <w:rFonts w:ascii="Arial" w:hAnsi="Arial" w:eastAsia="Arial" w:cs="Arial"/>
        </w:rPr>
        <w:t>NOME DA AGÊNCIA ....................... N° ..............</w:t>
      </w:r>
    </w:p>
    <w:p w14:paraId="53CF65AE">
      <w:pPr>
        <w:jc w:val="both"/>
      </w:pPr>
      <w:r>
        <w:rPr>
          <w:rFonts w:ascii="Arial" w:hAnsi="Arial" w:eastAsia="Arial" w:cs="Arial"/>
        </w:rPr>
        <w:t>NÚMERO DA CONTA ..........................................</w:t>
      </w:r>
    </w:p>
    <w:p w14:paraId="567CAC83">
      <w:pPr>
        <w:jc w:val="both"/>
        <w:rPr>
          <w:rFonts w:ascii="Arial" w:hAnsi="Arial" w:eastAsia="Arial" w:cs="Arial"/>
        </w:rPr>
      </w:pPr>
    </w:p>
    <w:p w14:paraId="07F2F170">
      <w:pPr>
        <w:jc w:val="both"/>
      </w:pPr>
      <w:r>
        <w:rPr>
          <w:rFonts w:ascii="Arial" w:hAnsi="Arial" w:eastAsia="Arial" w:cs="Arial"/>
        </w:rPr>
        <w:t>Local/data.................................................................................</w:t>
      </w:r>
    </w:p>
    <w:p w14:paraId="0E2512FB">
      <w:pPr>
        <w:jc w:val="center"/>
        <w:rPr>
          <w:rFonts w:ascii="Arial" w:hAnsi="Arial" w:eastAsia="Arial" w:cs="Arial"/>
        </w:rPr>
      </w:pPr>
    </w:p>
    <w:p w14:paraId="3F55F0FD">
      <w:pPr>
        <w:jc w:val="center"/>
      </w:pPr>
      <w:r>
        <w:rPr>
          <w:rFonts w:ascii="Arial" w:hAnsi="Arial" w:eastAsia="Arial" w:cs="Arial"/>
        </w:rPr>
        <w:t>(Assinatura do Representante Legal pela Empresa)</w:t>
      </w:r>
    </w:p>
    <w:p w14:paraId="5F0AF087">
      <w:pPr>
        <w:jc w:val="center"/>
        <w:rPr>
          <w:rFonts w:ascii="Arial" w:hAnsi="Arial" w:eastAsia="Arial" w:cs="Arial"/>
        </w:rPr>
      </w:pPr>
      <w:r>
        <w:rPr>
          <w:rFonts w:ascii="Arial" w:hAnsi="Arial" w:eastAsia="Arial" w:cs="Arial"/>
        </w:rPr>
        <w:t>Nome/Cargo e Carimbo CNPJ</w:t>
      </w:r>
    </w:p>
    <w:p w14:paraId="41BA43FC">
      <w:pPr>
        <w:jc w:val="center"/>
        <w:rPr>
          <w:rFonts w:ascii="Arial" w:hAnsi="Arial" w:eastAsia="Arial" w:cs="Arial"/>
        </w:rPr>
      </w:pPr>
    </w:p>
    <w:p w14:paraId="21CEE554">
      <w:pPr>
        <w:jc w:val="center"/>
        <w:rPr>
          <w:rFonts w:ascii="Arial" w:hAnsi="Arial" w:eastAsia="Arial" w:cs="Arial"/>
        </w:rPr>
      </w:pPr>
    </w:p>
    <w:p w14:paraId="194085A2">
      <w:pPr>
        <w:jc w:val="center"/>
        <w:rPr>
          <w:rFonts w:ascii="Arial" w:hAnsi="Arial" w:eastAsia="Arial" w:cs="Arial"/>
        </w:rPr>
      </w:pPr>
      <w:r>
        <w:br w:type="page"/>
      </w:r>
    </w:p>
    <w:p w14:paraId="5B536194">
      <w:pPr>
        <w:jc w:val="center"/>
        <w:rPr>
          <w:rFonts w:ascii="Arial" w:hAnsi="Arial" w:eastAsia="Arial" w:cs="Arial"/>
        </w:rPr>
      </w:pPr>
    </w:p>
    <w:p w14:paraId="28D360C8">
      <w:pPr>
        <w:pBdr>
          <w:top w:val="single" w:color="000000" w:sz="4" w:space="1"/>
          <w:left w:val="single" w:color="000000" w:sz="4" w:space="4"/>
          <w:bottom w:val="single" w:color="000000" w:sz="4" w:space="1"/>
          <w:right w:val="single" w:color="000000" w:sz="4" w:space="4"/>
        </w:pBdr>
        <w:tabs>
          <w:tab w:val="left" w:pos="8576"/>
          <w:tab w:val="left" w:pos="10419"/>
        </w:tabs>
        <w:jc w:val="center"/>
        <w:rPr>
          <w:rFonts w:ascii="Arial" w:hAnsi="Arial" w:eastAsia="Arial" w:cs="Arial"/>
          <w:b/>
        </w:rPr>
      </w:pPr>
      <w:r>
        <w:rPr>
          <w:rFonts w:ascii="Arial" w:hAnsi="Arial" w:eastAsia="Arial" w:cs="Arial"/>
          <w:b/>
        </w:rPr>
        <w:t>PAPEL TIMBRADO DA EMPRESA LICITANTE</w:t>
      </w:r>
    </w:p>
    <w:p w14:paraId="50348F5A">
      <w:pPr>
        <w:jc w:val="both"/>
        <w:rPr>
          <w:rFonts w:ascii="Arial" w:hAnsi="Arial" w:eastAsia="Arial" w:cs="Arial"/>
          <w:b/>
        </w:rPr>
      </w:pPr>
    </w:p>
    <w:p w14:paraId="0B6C6077">
      <w:pPr>
        <w:pStyle w:val="2"/>
        <w:spacing w:before="0" w:after="0"/>
        <w:rPr>
          <w:sz w:val="20"/>
          <w:szCs w:val="20"/>
          <w:lang w:val="pt-BR"/>
        </w:rPr>
      </w:pPr>
      <w:bookmarkStart w:id="65" w:name="_heading=h.rd3mtgz7xzk4"/>
      <w:bookmarkEnd w:id="65"/>
      <w:r>
        <w:rPr>
          <w:sz w:val="20"/>
          <w:szCs w:val="20"/>
          <w:lang w:val="pt-BR"/>
        </w:rPr>
        <w:t>ANEXO V: MODELO CREDENCIAMENTO E COMPROVAÇÕES COMPLEMENTARES ESPECIAIS.</w:t>
      </w:r>
    </w:p>
    <w:p w14:paraId="57BD76DE">
      <w:pPr>
        <w:jc w:val="both"/>
        <w:rPr>
          <w:rFonts w:ascii="Arial" w:hAnsi="Arial" w:eastAsia="Arial" w:cs="Arial"/>
          <w:b/>
        </w:rPr>
      </w:pPr>
    </w:p>
    <w:p w14:paraId="1A8600FC">
      <w:pPr>
        <w:jc w:val="both"/>
        <w:rPr>
          <w:rFonts w:ascii="Arial" w:hAnsi="Arial" w:eastAsia="Arial" w:cs="Arial"/>
          <w:b/>
        </w:rPr>
      </w:pPr>
      <w:r>
        <w:rPr>
          <w:rFonts w:ascii="Arial" w:hAnsi="Arial" w:eastAsia="Arial" w:cs="Arial"/>
          <w:b/>
        </w:rPr>
        <w:t>À</w:t>
      </w:r>
    </w:p>
    <w:p w14:paraId="21E09153">
      <w:pPr>
        <w:jc w:val="both"/>
        <w:rPr>
          <w:rFonts w:ascii="Arial" w:hAnsi="Arial" w:eastAsia="Arial" w:cs="Arial"/>
          <w:b/>
        </w:rPr>
      </w:pPr>
      <w:r>
        <w:rPr>
          <w:rFonts w:ascii="Arial" w:hAnsi="Arial" w:eastAsia="Arial" w:cs="Arial"/>
          <w:b/>
        </w:rPr>
        <w:t>PREFEITURA MUNICIPAL DE RONDONÓPOLIS-MT.</w:t>
      </w:r>
    </w:p>
    <w:p w14:paraId="3F33E575">
      <w:pPr>
        <w:jc w:val="both"/>
        <w:rPr>
          <w:rFonts w:ascii="Arial" w:hAnsi="Arial" w:eastAsia="Arial" w:cs="Arial"/>
          <w:b/>
        </w:rPr>
      </w:pPr>
      <w:r>
        <w:rPr>
          <w:rFonts w:ascii="Arial" w:hAnsi="Arial" w:eastAsia="Arial" w:cs="Arial"/>
          <w:b/>
        </w:rPr>
        <w:t>REF.: EDITAL DE LICITAÇÃO - MODALIDADE PREGÃO ___/2025.</w:t>
      </w:r>
    </w:p>
    <w:p w14:paraId="44F69E35">
      <w:pPr>
        <w:jc w:val="both"/>
        <w:rPr>
          <w:rFonts w:ascii="Arial" w:hAnsi="Arial" w:eastAsia="Arial" w:cs="Arial"/>
          <w:b/>
        </w:rPr>
      </w:pPr>
      <w:r>
        <w:rPr>
          <w:rFonts w:ascii="Arial" w:hAnsi="Arial" w:eastAsia="Arial" w:cs="Arial"/>
          <w:b/>
        </w:rPr>
        <w:t>TIPO MENOR PREÇO POR ITEM/LOTE.</w:t>
      </w:r>
    </w:p>
    <w:p w14:paraId="442035E3">
      <w:pPr>
        <w:jc w:val="both"/>
        <w:rPr>
          <w:rFonts w:ascii="Arial" w:hAnsi="Arial" w:eastAsia="Arial" w:cs="Arial"/>
          <w:b/>
        </w:rPr>
      </w:pPr>
    </w:p>
    <w:p w14:paraId="22C02F1E">
      <w:pPr>
        <w:jc w:val="both"/>
        <w:rPr>
          <w:rFonts w:ascii="Arial" w:hAnsi="Arial" w:eastAsia="Arial" w:cs="Arial"/>
          <w:b/>
        </w:rPr>
      </w:pPr>
      <w:r>
        <w:rPr>
          <w:rFonts w:ascii="Arial" w:hAnsi="Arial" w:eastAsia="Arial" w:cs="Arial"/>
          <w:b/>
        </w:rPr>
        <w:t xml:space="preserve">(Razão Social da Licitante) ____________________, inscrita no CNPJ/MF sob o n.º __________, sediada à_____________________________________________, por intermédio de seu representante legal o(a) Sr(a)__________________________, portador(a) da Carteira de Identidade n.º_________________ e do CPF n.º__________________, declara como nosso representante legal na Licitação em referência, podendo rubricar a documentação de Habilitação e das Propostas, manifestar, dar lances verbais, prestar todos os esclarecimentos à nossa Proposta, interpor recursos, desistir de prazos e recursos, enfim, praticar todos os atos necessários ao fiel cumprimento do presente Credenciamento.(No caso de indicar representante). </w:t>
      </w:r>
    </w:p>
    <w:p w14:paraId="41DC49B8">
      <w:pPr>
        <w:jc w:val="both"/>
        <w:rPr>
          <w:rFonts w:ascii="Arial" w:hAnsi="Arial" w:eastAsia="Arial" w:cs="Arial"/>
          <w:b/>
        </w:rPr>
      </w:pPr>
    </w:p>
    <w:p w14:paraId="3B04FE0C">
      <w:pPr>
        <w:jc w:val="both"/>
        <w:rPr>
          <w:rFonts w:ascii="Arial" w:hAnsi="Arial" w:eastAsia="Arial" w:cs="Arial"/>
          <w:b/>
        </w:rPr>
      </w:pPr>
      <w:r>
        <w:rPr>
          <w:rFonts w:ascii="Arial" w:hAnsi="Arial" w:eastAsia="Arial" w:cs="Arial"/>
          <w:b/>
        </w:rPr>
        <w:t>13.7.1.1.</w:t>
      </w:r>
      <w:r>
        <w:rPr>
          <w:rFonts w:ascii="Arial" w:hAnsi="Arial" w:eastAsia="Arial" w:cs="Arial"/>
        </w:rPr>
        <w:t xml:space="preserve"> Está ciente e concorda com as condições contidas no edital e seus anexos, bem como de que a proposta apresentada compreende a integralidade dos custos para atendimento dos direitos trabalhistas assegurados na Constituição Federal, nas leis trabalhistas, nas normas infra legais, nas convenções coletivas de trabalho e nos termos de ajustamento de conduta vigentes na data de sua entrega em definitivo e que cumpre plenamente os requisitos de habilitação definidos no instrumento convocatório;</w:t>
      </w:r>
    </w:p>
    <w:p w14:paraId="4992E2E8">
      <w:pPr>
        <w:jc w:val="both"/>
        <w:rPr>
          <w:rFonts w:ascii="Arial" w:hAnsi="Arial" w:eastAsia="Arial" w:cs="Arial"/>
        </w:rPr>
      </w:pPr>
      <w:r>
        <w:rPr>
          <w:rFonts w:ascii="Arial" w:hAnsi="Arial" w:eastAsia="Arial" w:cs="Arial"/>
          <w:b/>
        </w:rPr>
        <w:t>13.7.1.2.</w:t>
      </w:r>
      <w:r>
        <w:rPr>
          <w:rFonts w:ascii="Arial" w:hAnsi="Arial" w:eastAsia="Arial" w:cs="Arial"/>
        </w:rPr>
        <w:t xml:space="preserve"> Não emprega menor de 18 anos em trabalho noturno, perigoso ou insalubre e não emprega menor de 16 anos, em qualquer trabalho, salvo menor, a partir de 14 anos, na condição de aprendiz, nos termos do </w:t>
      </w:r>
      <w:r>
        <w:fldChar w:fldCharType="begin"/>
      </w:r>
      <w:r>
        <w:instrText xml:space="preserve"> HYPERLINK "https://www.planalto.gov.br/ccivil_03/constituicao/constituicaocompilado.htm" \l "art7" </w:instrText>
      </w:r>
      <w:r>
        <w:fldChar w:fldCharType="separate"/>
      </w:r>
      <w:r>
        <w:rPr>
          <w:rFonts w:ascii="Arial" w:hAnsi="Arial" w:eastAsia="Arial" w:cs="Arial"/>
        </w:rPr>
        <w:t>artigo 7°, XXXIII da Constituição</w:t>
      </w:r>
      <w:r>
        <w:rPr>
          <w:rFonts w:ascii="Arial" w:hAnsi="Arial" w:eastAsia="Arial" w:cs="Arial"/>
        </w:rPr>
        <w:fldChar w:fldCharType="end"/>
      </w:r>
      <w:r>
        <w:rPr>
          <w:rFonts w:ascii="Arial" w:hAnsi="Arial" w:eastAsia="Arial" w:cs="Arial"/>
        </w:rPr>
        <w:t xml:space="preserve"> Federal, bem como, no artigo 68, inciso VI, da Lei nº 14.133/2021;</w:t>
      </w:r>
    </w:p>
    <w:p w14:paraId="2317C23D">
      <w:pPr>
        <w:jc w:val="both"/>
      </w:pPr>
      <w:r>
        <w:rPr>
          <w:rFonts w:ascii="Arial" w:hAnsi="Arial" w:eastAsia="Arial" w:cs="Arial"/>
          <w:b/>
        </w:rPr>
        <w:t>13.7.1.3.</w:t>
      </w:r>
      <w:r>
        <w:rPr>
          <w:rFonts w:ascii="Arial" w:hAnsi="Arial" w:eastAsia="Arial" w:cs="Arial"/>
        </w:rPr>
        <w:t xml:space="preserve"> Não possui empregados executando trabalho degradante ou forçado, observando o disposto nos </w:t>
      </w:r>
      <w:r>
        <w:fldChar w:fldCharType="begin"/>
      </w:r>
      <w:r>
        <w:instrText xml:space="preserve"> HYPERLINK "https://www.planalto.gov.br/ccivil_03/constituicao/constituicaocompilado.htm" \h </w:instrText>
      </w:r>
      <w:r>
        <w:fldChar w:fldCharType="separate"/>
      </w:r>
      <w:r>
        <w:rPr>
          <w:rFonts w:ascii="Arial" w:hAnsi="Arial" w:eastAsia="Arial" w:cs="Arial"/>
          <w:color w:val="000000"/>
        </w:rPr>
        <w:t>incisos III e IV do art. 1º e no inciso III do art. 5º da Constituição Federal</w:t>
      </w:r>
      <w:r>
        <w:rPr>
          <w:rFonts w:ascii="Arial" w:hAnsi="Arial" w:eastAsia="Arial" w:cs="Arial"/>
          <w:color w:val="000000"/>
        </w:rPr>
        <w:fldChar w:fldCharType="end"/>
      </w:r>
      <w:r>
        <w:rPr>
          <w:rFonts w:ascii="Arial" w:hAnsi="Arial" w:eastAsia="Arial" w:cs="Arial"/>
          <w:color w:val="000000"/>
        </w:rPr>
        <w:t xml:space="preserve">, </w:t>
      </w:r>
      <w:r>
        <w:rPr>
          <w:rFonts w:ascii="Arial" w:hAnsi="Arial" w:eastAsia="Arial" w:cs="Arial"/>
        </w:rPr>
        <w:t>bem como no art. 14, inciso VI da Lei nº 14.133/2021.</w:t>
      </w:r>
    </w:p>
    <w:p w14:paraId="61835D79">
      <w:pPr>
        <w:jc w:val="both"/>
        <w:rPr>
          <w:rFonts w:ascii="Arial" w:hAnsi="Arial" w:eastAsia="Arial" w:cs="Arial"/>
        </w:rPr>
      </w:pPr>
      <w:r>
        <w:rPr>
          <w:rFonts w:ascii="Arial" w:hAnsi="Arial" w:eastAsia="Arial" w:cs="Arial"/>
          <w:b/>
        </w:rPr>
        <w:t>13.7.1.4.</w:t>
      </w:r>
      <w:r>
        <w:rPr>
          <w:rFonts w:ascii="Arial" w:hAnsi="Arial" w:eastAsia="Arial" w:cs="Arial"/>
        </w:rPr>
        <w:t xml:space="preserve"> Cumpre as exigências de reserva de cargos para pessoa com deficiência e para reabilitado da Previdência Social, previstas em lei e em outras normas específicas;</w:t>
      </w:r>
    </w:p>
    <w:p w14:paraId="07A5D775">
      <w:pPr>
        <w:jc w:val="both"/>
        <w:rPr>
          <w:rFonts w:ascii="Arial" w:hAnsi="Arial" w:eastAsia="Arial" w:cs="Arial"/>
        </w:rPr>
      </w:pPr>
      <w:r>
        <w:rPr>
          <w:rFonts w:ascii="Arial" w:hAnsi="Arial" w:eastAsia="Arial" w:cs="Arial"/>
          <w:b/>
        </w:rPr>
        <w:t>13.7.1.5.</w:t>
      </w:r>
      <w:r>
        <w:rPr>
          <w:rFonts w:ascii="Arial" w:hAnsi="Arial" w:eastAsia="Arial" w:cs="Arial"/>
        </w:rPr>
        <w:t xml:space="preserve"> Não possui em seu quadro de pessoal e societário, servidor público do Poder Executivo Estadual exercendo funções de gerência ou administração, conforme art. 1, inciso X da Lei Complementar Estadual nº 04/1990, ou servidor do Órgão/Entidade contratante em qualquer função, nos termos do art. 9º, §1º da Lei Federal nº 14.133/2021;</w:t>
      </w:r>
    </w:p>
    <w:p w14:paraId="00475795">
      <w:pPr>
        <w:jc w:val="both"/>
        <w:rPr>
          <w:rFonts w:ascii="Arial" w:hAnsi="Arial" w:eastAsia="Arial" w:cs="Arial"/>
          <w:b/>
        </w:rPr>
      </w:pPr>
      <w:r>
        <w:rPr>
          <w:rFonts w:ascii="Arial" w:hAnsi="Arial" w:eastAsia="Arial" w:cs="Arial"/>
        </w:rPr>
        <w:t xml:space="preserve">13.7.1.6. O licitante enquadrado como microempresa, empresa de pequeno porte ou sociedade cooperativa deverá declarar, que cumpre os requisitos estabelecidos no </w:t>
      </w:r>
      <w:r>
        <w:fldChar w:fldCharType="begin"/>
      </w:r>
      <w:r>
        <w:instrText xml:space="preserve"> HYPERLINK "https://www.planalto.gov.br/ccivil_03/leis/lcp/lcp123.htm" \l "art3" </w:instrText>
      </w:r>
      <w:r>
        <w:fldChar w:fldCharType="separate"/>
      </w:r>
      <w:r>
        <w:rPr>
          <w:rFonts w:ascii="Arial" w:hAnsi="Arial" w:eastAsia="Arial" w:cs="Arial"/>
        </w:rPr>
        <w:t>artigo 3° da Lei Complementar nº 123, de 2006</w:t>
      </w:r>
      <w:r>
        <w:rPr>
          <w:rFonts w:ascii="Arial" w:hAnsi="Arial" w:eastAsia="Arial" w:cs="Arial"/>
        </w:rPr>
        <w:fldChar w:fldCharType="end"/>
      </w:r>
      <w:r>
        <w:rPr>
          <w:rFonts w:ascii="Arial" w:hAnsi="Arial" w:eastAsia="Arial" w:cs="Arial"/>
        </w:rPr>
        <w:t xml:space="preserve">, estando apto a usufruir do tratamento favorecido estabelecido em seus </w:t>
      </w:r>
      <w:r>
        <w:fldChar w:fldCharType="begin"/>
      </w:r>
      <w:r>
        <w:instrText xml:space="preserve"> HYPERLINK "https://www.planalto.gov.br/ccivil_03/leis/lcp/lcp123.htm" \l "art42" </w:instrText>
      </w:r>
      <w:r>
        <w:fldChar w:fldCharType="separate"/>
      </w:r>
      <w:r>
        <w:rPr>
          <w:rFonts w:ascii="Arial" w:hAnsi="Arial" w:eastAsia="Arial" w:cs="Arial"/>
        </w:rPr>
        <w:t>arts. 42 a 49</w:t>
      </w:r>
      <w:r>
        <w:rPr>
          <w:rFonts w:ascii="Arial" w:hAnsi="Arial" w:eastAsia="Arial" w:cs="Arial"/>
        </w:rPr>
        <w:fldChar w:fldCharType="end"/>
      </w:r>
      <w:r>
        <w:rPr>
          <w:rFonts w:ascii="Arial" w:hAnsi="Arial" w:eastAsia="Arial" w:cs="Arial"/>
        </w:rPr>
        <w:t xml:space="preserve">, observado o disposto nos </w:t>
      </w:r>
      <w:r>
        <w:fldChar w:fldCharType="begin"/>
      </w:r>
      <w:r>
        <w:instrText xml:space="preserve"> HYPERLINK "http://www.planalto.gov.br/ccivil_03/_ato2019-2022/2021/lei/L14133.htm" \l "art4§1" </w:instrText>
      </w:r>
      <w:r>
        <w:fldChar w:fldCharType="separate"/>
      </w:r>
      <w:r>
        <w:rPr>
          <w:rFonts w:ascii="Arial" w:hAnsi="Arial" w:eastAsia="Arial" w:cs="Arial"/>
        </w:rPr>
        <w:t>§§ 1º ao 3º do art. 4º, da Lei n.º 14.133, de 2021;</w:t>
      </w:r>
      <w:r>
        <w:rPr>
          <w:rFonts w:ascii="Arial" w:hAnsi="Arial" w:eastAsia="Arial" w:cs="Arial"/>
        </w:rPr>
        <w:fldChar w:fldCharType="end"/>
      </w:r>
    </w:p>
    <w:p w14:paraId="4BF7ABD2">
      <w:pPr>
        <w:jc w:val="both"/>
        <w:rPr>
          <w:rFonts w:ascii="Arial" w:hAnsi="Arial" w:eastAsia="Arial" w:cs="Arial"/>
        </w:rPr>
      </w:pPr>
      <w:r>
        <w:rPr>
          <w:rFonts w:ascii="Arial" w:hAnsi="Arial" w:eastAsia="Arial" w:cs="Arial"/>
          <w:b/>
        </w:rPr>
        <w:t>13.7.1.7.</w:t>
      </w:r>
      <w:r>
        <w:rPr>
          <w:rFonts w:ascii="Arial" w:hAnsi="Arial" w:eastAsia="Arial" w:cs="Arial"/>
        </w:rPr>
        <w:t xml:space="preserve"> O licitante organizado em cooperativa deverá declarar, ainda que, cumpre os requisitos estabelecidos no </w:t>
      </w:r>
      <w:r>
        <w:fldChar w:fldCharType="begin"/>
      </w:r>
      <w:r>
        <w:instrText xml:space="preserve"> HYPERLINK "http://www.planalto.gov.br/ccivil_03/_ato2019-2022/2021/lei/L14133.htm" \l "art16" </w:instrText>
      </w:r>
      <w:r>
        <w:fldChar w:fldCharType="separate"/>
      </w:r>
      <w:r>
        <w:rPr>
          <w:rFonts w:ascii="Arial" w:hAnsi="Arial" w:eastAsia="Arial" w:cs="Arial"/>
        </w:rPr>
        <w:t>artigo 16 da Lei nº 14.133, de 2021</w:t>
      </w:r>
      <w:r>
        <w:rPr>
          <w:rFonts w:ascii="Arial" w:hAnsi="Arial" w:eastAsia="Arial" w:cs="Arial"/>
        </w:rPr>
        <w:fldChar w:fldCharType="end"/>
      </w:r>
      <w:r>
        <w:rPr>
          <w:rFonts w:ascii="Arial" w:hAnsi="Arial" w:eastAsia="Arial" w:cs="Arial"/>
        </w:rPr>
        <w:t>;</w:t>
      </w:r>
    </w:p>
    <w:p w14:paraId="77877612">
      <w:pPr>
        <w:jc w:val="both"/>
        <w:rPr>
          <w:rFonts w:ascii="Arial" w:hAnsi="Arial" w:eastAsia="Arial" w:cs="Arial"/>
        </w:rPr>
      </w:pPr>
      <w:r>
        <w:rPr>
          <w:rFonts w:ascii="Arial" w:hAnsi="Arial" w:eastAsia="Arial" w:cs="Arial"/>
          <w:b/>
        </w:rPr>
        <w:t xml:space="preserve">13.7.1.8. </w:t>
      </w:r>
      <w:r>
        <w:rPr>
          <w:rFonts w:ascii="Arial" w:hAnsi="Arial" w:eastAsia="Arial" w:cs="Arial"/>
        </w:rPr>
        <w:t>Que não há sanções vigentes que legalmente proíbam a participante de licitar e/ou contratar com o Órgão/Entidade contratante;</w:t>
      </w:r>
    </w:p>
    <w:p w14:paraId="22C99683">
      <w:pPr>
        <w:jc w:val="both"/>
        <w:rPr>
          <w:rFonts w:ascii="Arial" w:hAnsi="Arial" w:eastAsia="Arial" w:cs="Arial"/>
        </w:rPr>
      </w:pPr>
      <w:r>
        <w:rPr>
          <w:rFonts w:ascii="Arial" w:hAnsi="Arial" w:eastAsia="Arial" w:cs="Arial"/>
          <w:b/>
        </w:rPr>
        <w:t>13.7.1.9.</w:t>
      </w:r>
      <w:r>
        <w:rPr>
          <w:rFonts w:ascii="Arial" w:hAnsi="Arial" w:eastAsia="Arial" w:cs="Arial"/>
        </w:rPr>
        <w:t xml:space="preserve"> O declarante responderá pela veracidade das informações prestadas, sujeitando-se às sanções previstas na forma da lei, e neste Edital.</w:t>
      </w:r>
    </w:p>
    <w:p w14:paraId="2A9FF0BD">
      <w:pPr>
        <w:tabs>
          <w:tab w:val="left" w:pos="4350"/>
        </w:tabs>
        <w:jc w:val="both"/>
        <w:rPr>
          <w:rFonts w:ascii="Arial" w:hAnsi="Arial" w:eastAsia="Arial" w:cs="Arial"/>
        </w:rPr>
      </w:pPr>
      <w:r>
        <w:rPr>
          <w:rFonts w:ascii="Arial" w:hAnsi="Arial" w:eastAsia="Arial" w:cs="Arial"/>
        </w:rPr>
        <w:tab/>
      </w:r>
    </w:p>
    <w:p w14:paraId="54E351A2">
      <w:pPr>
        <w:jc w:val="both"/>
        <w:rPr>
          <w:rFonts w:ascii="Arial" w:hAnsi="Arial" w:eastAsia="Arial" w:cs="Arial"/>
        </w:rPr>
      </w:pPr>
      <w:r>
        <w:rPr>
          <w:rFonts w:ascii="Arial" w:hAnsi="Arial" w:eastAsia="Arial" w:cs="Arial"/>
        </w:rPr>
        <w:t>Por ser verdade assino o presente.</w:t>
      </w:r>
    </w:p>
    <w:p w14:paraId="2FBF9EED">
      <w:pPr>
        <w:jc w:val="both"/>
        <w:rPr>
          <w:rFonts w:ascii="Arial" w:hAnsi="Arial" w:eastAsia="Arial" w:cs="Arial"/>
        </w:rPr>
      </w:pPr>
    </w:p>
    <w:p w14:paraId="6540B33A">
      <w:pPr>
        <w:jc w:val="both"/>
        <w:rPr>
          <w:rFonts w:ascii="Arial" w:hAnsi="Arial" w:eastAsia="Arial" w:cs="Arial"/>
        </w:rPr>
      </w:pPr>
    </w:p>
    <w:p w14:paraId="7E289CB2">
      <w:pPr>
        <w:jc w:val="both"/>
        <w:rPr>
          <w:rFonts w:ascii="Arial" w:hAnsi="Arial" w:eastAsia="Arial" w:cs="Arial"/>
        </w:rPr>
      </w:pPr>
      <w:r>
        <w:rPr>
          <w:rFonts w:ascii="Arial" w:hAnsi="Arial" w:eastAsia="Arial" w:cs="Arial"/>
        </w:rPr>
        <w:t>__________________, _______ de ___________________ de 2025.</w:t>
      </w:r>
    </w:p>
    <w:p w14:paraId="771056B1">
      <w:pPr>
        <w:jc w:val="both"/>
        <w:rPr>
          <w:rFonts w:ascii="Arial" w:hAnsi="Arial" w:eastAsia="Arial" w:cs="Arial"/>
        </w:rPr>
      </w:pPr>
    </w:p>
    <w:p w14:paraId="48DAB238">
      <w:pPr>
        <w:jc w:val="both"/>
        <w:rPr>
          <w:rFonts w:ascii="Arial" w:hAnsi="Arial" w:eastAsia="Arial" w:cs="Arial"/>
          <w:b/>
        </w:rPr>
      </w:pPr>
      <w:r>
        <w:rPr>
          <w:rFonts w:ascii="Arial" w:hAnsi="Arial" w:eastAsia="Arial" w:cs="Arial"/>
          <w:b/>
        </w:rPr>
        <w:t>________________________________________________________________________</w:t>
      </w:r>
    </w:p>
    <w:p w14:paraId="08F3FA2B">
      <w:pPr>
        <w:jc w:val="both"/>
        <w:rPr>
          <w:rFonts w:ascii="Arial" w:hAnsi="Arial" w:eastAsia="Arial" w:cs="Arial"/>
        </w:rPr>
      </w:pPr>
      <w:r>
        <w:rPr>
          <w:rFonts w:ascii="Arial" w:hAnsi="Arial" w:eastAsia="Arial" w:cs="Arial"/>
        </w:rPr>
        <w:t>Assinatura do Representante Legal</w:t>
      </w:r>
    </w:p>
    <w:p w14:paraId="12D105B6">
      <w:pPr>
        <w:jc w:val="both"/>
        <w:rPr>
          <w:rFonts w:ascii="Arial" w:hAnsi="Arial" w:eastAsia="Arial" w:cs="Arial"/>
        </w:rPr>
      </w:pPr>
    </w:p>
    <w:p w14:paraId="77D4D288">
      <w:pPr>
        <w:jc w:val="both"/>
        <w:rPr>
          <w:rFonts w:ascii="Arial" w:hAnsi="Arial" w:eastAsia="Arial" w:cs="Arial"/>
        </w:rPr>
      </w:pPr>
    </w:p>
    <w:p w14:paraId="3A9DAD2F">
      <w:pPr>
        <w:jc w:val="both"/>
        <w:rPr>
          <w:rFonts w:ascii="Arial" w:hAnsi="Arial" w:eastAsia="Arial" w:cs="Arial"/>
        </w:rPr>
      </w:pPr>
    </w:p>
    <w:p w14:paraId="4E09AEA1">
      <w:pPr>
        <w:jc w:val="both"/>
        <w:rPr>
          <w:rFonts w:ascii="Arial" w:hAnsi="Arial" w:eastAsia="Arial" w:cs="Arial"/>
        </w:rPr>
      </w:pPr>
    </w:p>
    <w:p w14:paraId="647D260F">
      <w:pPr>
        <w:jc w:val="both"/>
        <w:rPr>
          <w:rFonts w:ascii="Arial" w:hAnsi="Arial" w:eastAsia="Arial" w:cs="Arial"/>
        </w:rPr>
      </w:pPr>
    </w:p>
    <w:p w14:paraId="302A09E8">
      <w:pPr>
        <w:jc w:val="both"/>
        <w:rPr>
          <w:rFonts w:ascii="Arial" w:hAnsi="Arial" w:eastAsia="Arial" w:cs="Arial"/>
        </w:rPr>
      </w:pPr>
    </w:p>
    <w:p w14:paraId="57CAD7CE">
      <w:pPr>
        <w:jc w:val="both"/>
        <w:rPr>
          <w:rFonts w:ascii="Arial" w:hAnsi="Arial" w:eastAsia="Arial" w:cs="Arial"/>
        </w:rPr>
      </w:pPr>
    </w:p>
    <w:p w14:paraId="1BC5E177">
      <w:pPr>
        <w:pBdr>
          <w:top w:val="single" w:color="000000" w:sz="4" w:space="1"/>
          <w:left w:val="single" w:color="000000" w:sz="4" w:space="4"/>
          <w:bottom w:val="single" w:color="000000" w:sz="4" w:space="1"/>
          <w:right w:val="single" w:color="000000" w:sz="4" w:space="4"/>
        </w:pBdr>
        <w:tabs>
          <w:tab w:val="left" w:pos="8576"/>
          <w:tab w:val="left" w:pos="10419"/>
        </w:tabs>
        <w:jc w:val="center"/>
        <w:rPr>
          <w:rFonts w:ascii="Arial" w:hAnsi="Arial" w:eastAsia="Arial" w:cs="Arial"/>
          <w:b/>
        </w:rPr>
      </w:pPr>
      <w:r>
        <w:rPr>
          <w:rFonts w:ascii="Arial" w:hAnsi="Arial" w:eastAsia="Arial" w:cs="Arial"/>
          <w:b/>
        </w:rPr>
        <w:t>PAPEL TIMBRADO DA EMPRESA LICITANTE</w:t>
      </w:r>
    </w:p>
    <w:p w14:paraId="11674DBA">
      <w:pPr>
        <w:jc w:val="center"/>
        <w:rPr>
          <w:rFonts w:ascii="Arial" w:hAnsi="Arial" w:eastAsia="Arial" w:cs="Arial"/>
          <w:sz w:val="21"/>
          <w:szCs w:val="21"/>
        </w:rPr>
      </w:pPr>
    </w:p>
    <w:p w14:paraId="431D9497">
      <w:pPr>
        <w:jc w:val="center"/>
        <w:rPr>
          <w:rFonts w:ascii="Arial" w:hAnsi="Arial" w:eastAsia="Arial" w:cs="Arial"/>
          <w:sz w:val="21"/>
          <w:szCs w:val="21"/>
        </w:rPr>
      </w:pPr>
      <w:r>
        <w:rPr>
          <w:rFonts w:ascii="Arial" w:hAnsi="Arial" w:eastAsia="Arial" w:cs="Arial"/>
          <w:sz w:val="21"/>
          <w:szCs w:val="21"/>
        </w:rPr>
        <w:t>ANEXO VI – MODELO DE ATESTADO DE VISTORIA/VISITA TÉCNICA</w:t>
      </w:r>
    </w:p>
    <w:p w14:paraId="60DA2B49">
      <w:pPr>
        <w:spacing w:before="280" w:after="280"/>
        <w:rPr>
          <w:rFonts w:ascii="Arial" w:hAnsi="Arial" w:eastAsia="Arial" w:cs="Arial"/>
          <w:sz w:val="21"/>
          <w:szCs w:val="21"/>
        </w:rPr>
      </w:pPr>
      <w:r>
        <w:rPr>
          <w:rFonts w:ascii="Arial" w:hAnsi="Arial" w:eastAsia="Arial" w:cs="Arial"/>
          <w:b/>
          <w:sz w:val="21"/>
          <w:szCs w:val="21"/>
        </w:rPr>
        <w:t>Ref.:</w:t>
      </w:r>
      <w:r>
        <w:rPr>
          <w:rFonts w:ascii="Arial" w:hAnsi="Arial" w:eastAsia="Arial" w:cs="Arial"/>
          <w:sz w:val="21"/>
          <w:szCs w:val="21"/>
        </w:rPr>
        <w:t xml:space="preserve"> Pregão Eletrônico nº 30/2025</w:t>
      </w:r>
      <w:r>
        <w:rPr>
          <w:rFonts w:ascii="Arial" w:hAnsi="Arial" w:eastAsia="Arial" w:cs="Arial"/>
          <w:sz w:val="21"/>
          <w:szCs w:val="21"/>
        </w:rPr>
        <w:br w:type="textWrapping"/>
      </w:r>
      <w:r>
        <w:rPr>
          <w:rFonts w:ascii="Arial" w:hAnsi="Arial" w:eastAsia="Arial" w:cs="Arial"/>
          <w:b/>
          <w:sz w:val="21"/>
          <w:szCs w:val="21"/>
        </w:rPr>
        <w:t>Processo Administrativo nº:</w:t>
      </w:r>
      <w:r>
        <w:rPr>
          <w:rFonts w:ascii="Arial" w:hAnsi="Arial" w:eastAsia="Arial" w:cs="Arial"/>
          <w:sz w:val="21"/>
          <w:szCs w:val="21"/>
        </w:rPr>
        <w:t xml:space="preserve"> _____________</w:t>
      </w:r>
    </w:p>
    <w:p w14:paraId="2CBB85D5">
      <w:pPr>
        <w:spacing w:before="280" w:after="280"/>
        <w:jc w:val="both"/>
        <w:rPr>
          <w:rFonts w:ascii="Arial" w:hAnsi="Arial" w:eastAsia="Arial" w:cs="Arial"/>
          <w:sz w:val="21"/>
          <w:szCs w:val="21"/>
        </w:rPr>
      </w:pPr>
      <w:r>
        <w:rPr>
          <w:rFonts w:ascii="Arial" w:hAnsi="Arial" w:eastAsia="Arial" w:cs="Arial"/>
          <w:sz w:val="21"/>
          <w:szCs w:val="21"/>
        </w:rPr>
        <w:t>Declaramos, para os devidos fins, que o(a) Sr(a). ______________________________________, portador(a) do RG nº _____________ e CPF nº _____________, representante legal da empresa ______________________________________, inscrita no CNPJ sob o nº _____________, realizou visita técnica aos locais destinados à execução dos serviços de nutrição e fornecimento de alimentação escolar, conforme especificado em anexo a declaração.</w:t>
      </w:r>
    </w:p>
    <w:p w14:paraId="310A0EF3">
      <w:pPr>
        <w:spacing w:before="280" w:after="280"/>
        <w:jc w:val="both"/>
        <w:rPr>
          <w:rFonts w:ascii="Arial" w:hAnsi="Arial" w:eastAsia="Arial" w:cs="Arial"/>
          <w:sz w:val="21"/>
          <w:szCs w:val="21"/>
        </w:rPr>
      </w:pPr>
      <w:r>
        <w:rPr>
          <w:rFonts w:ascii="Arial" w:hAnsi="Arial" w:eastAsia="Arial" w:cs="Arial"/>
          <w:sz w:val="21"/>
          <w:szCs w:val="21"/>
        </w:rPr>
        <w:t>A visita ocorreu no(s) dia(s) ________ de _______________________ de 2025, abrangendo a inspeção das instalações relacionadas ao fornecimento de gêneros alimentícios, preparo, cocção, transporte, armazenamento, distribuição das refeições, fornecimento de gás GLP, higienização e acompanhamento nutricional, destinados ao atendimento dos alunos regularmente matriculados na rede pública municipal de ensino de Rondonópolis/MT.</w:t>
      </w:r>
    </w:p>
    <w:p w14:paraId="69EC608F">
      <w:pPr>
        <w:spacing w:before="280" w:after="280"/>
        <w:jc w:val="both"/>
        <w:rPr>
          <w:rFonts w:ascii="Arial" w:hAnsi="Arial" w:eastAsia="Arial" w:cs="Arial"/>
          <w:sz w:val="21"/>
          <w:szCs w:val="21"/>
        </w:rPr>
      </w:pPr>
      <w:r>
        <w:rPr>
          <w:rFonts w:ascii="Arial" w:hAnsi="Arial" w:eastAsia="Arial" w:cs="Arial"/>
          <w:sz w:val="21"/>
          <w:szCs w:val="21"/>
        </w:rPr>
        <w:t>Durante a visita, foram fornecidas todas as informações pertinentes, e o representante da empresa teve a oportunidade de esclarecer dúvidas e verificar in loco as condições operacionais e estruturais dos locais.</w:t>
      </w:r>
    </w:p>
    <w:p w14:paraId="2C413773">
      <w:pPr>
        <w:spacing w:before="280" w:after="280"/>
        <w:jc w:val="both"/>
        <w:rPr>
          <w:rFonts w:ascii="Arial" w:hAnsi="Arial" w:eastAsia="Arial" w:cs="Arial"/>
          <w:sz w:val="21"/>
          <w:szCs w:val="21"/>
        </w:rPr>
      </w:pPr>
      <w:r>
        <w:rPr>
          <w:rFonts w:ascii="Arial" w:hAnsi="Arial" w:eastAsia="Arial" w:cs="Arial"/>
          <w:b/>
          <w:sz w:val="21"/>
          <w:szCs w:val="21"/>
        </w:rPr>
        <w:t>Declaração da Empresa Licitante:</w:t>
      </w:r>
    </w:p>
    <w:p w14:paraId="5CF90706">
      <w:pPr>
        <w:spacing w:before="280" w:after="280"/>
        <w:jc w:val="both"/>
        <w:rPr>
          <w:rFonts w:ascii="Arial" w:hAnsi="Arial" w:eastAsia="Arial" w:cs="Arial"/>
          <w:sz w:val="21"/>
          <w:szCs w:val="21"/>
        </w:rPr>
      </w:pPr>
      <w:r>
        <w:rPr>
          <w:rFonts w:ascii="Arial" w:hAnsi="Arial" w:eastAsia="Arial" w:cs="Arial"/>
          <w:sz w:val="21"/>
          <w:szCs w:val="21"/>
        </w:rPr>
        <w:t>A empresa ______________________________________ declara que, após a visita técnica realizada, tomou pleno conhecimento de todas as condições e peculiaridades dos locais de execução dos serviços, comprometendo-se a considerar tais informações na elaboração de sua proposta e na execução contratual, caso seja vencedora do certame. Reconhece, ainda, que não poderá alegar, em qualquer hipótese, desconhecimento de fatos ou condições que possam interferir na perfeita execução do objeto licitado.</w:t>
      </w:r>
    </w:p>
    <w:p w14:paraId="588F5F9F">
      <w:pPr>
        <w:spacing w:before="280" w:after="280"/>
        <w:rPr>
          <w:rFonts w:ascii="Arial" w:hAnsi="Arial" w:eastAsia="Arial" w:cs="Arial"/>
          <w:sz w:val="21"/>
          <w:szCs w:val="21"/>
        </w:rPr>
      </w:pPr>
      <w:r>
        <w:rPr>
          <w:rFonts w:ascii="Arial" w:hAnsi="Arial" w:eastAsia="Arial" w:cs="Arial"/>
          <w:b/>
          <w:sz w:val="21"/>
          <w:szCs w:val="21"/>
        </w:rPr>
        <w:t>Rondonópolis/MT, ____ de ________________ de 2025.</w:t>
      </w:r>
    </w:p>
    <w:p w14:paraId="0F544CED">
      <w:pPr>
        <w:rPr>
          <w:rFonts w:ascii="Arial" w:hAnsi="Arial" w:eastAsia="Arial" w:cs="Arial"/>
          <w:sz w:val="21"/>
          <w:szCs w:val="21"/>
        </w:rPr>
      </w:pPr>
      <w:r>
        <w:rPr>
          <w:lang w:eastAsia="pt-BR"/>
        </w:rPr>
        <mc:AlternateContent>
          <mc:Choice Requires="wps">
            <w:drawing>
              <wp:inline distT="0" distB="0" distL="0" distR="0">
                <wp:extent cx="6392545" cy="19685"/>
                <wp:effectExtent l="0" t="0" r="0" b="0"/>
                <wp:docPr id="1" name="Retângulo 1"/>
                <wp:cNvGraphicFramePr/>
                <a:graphic xmlns:a="http://schemas.openxmlformats.org/drawingml/2006/main">
                  <a:graphicData uri="http://schemas.microsoft.com/office/word/2010/wordprocessingShape">
                    <wps:wsp>
                      <wps:cNvSpPr/>
                      <wps:spPr>
                        <a:xfrm>
                          <a:off x="0" y="0"/>
                          <a:ext cx="6391800" cy="19080"/>
                        </a:xfrm>
                        <a:prstGeom prst="rect">
                          <a:avLst/>
                        </a:prstGeom>
                        <a:solidFill>
                          <a:srgbClr val="A0A0A0"/>
                        </a:solidFill>
                        <a:ln w="0">
                          <a:noFill/>
                        </a:ln>
                      </wps:spPr>
                      <wps:bodyPr/>
                    </wps:wsp>
                  </a:graphicData>
                </a:graphic>
              </wp:inline>
            </w:drawing>
          </mc:Choice>
          <mc:Fallback>
            <w:pict>
              <v:rect id="_x0000_s1026" o:spid="_x0000_s1026" o:spt="1" style="height:1.55pt;width:503.35pt;" fillcolor="#A0A0A0" filled="t" stroked="f" coordsize="21600,21600" o:gfxdata="UEsDBAoAAAAAAIdO4kAAAAAAAAAAAAAAAAAEAAAAZHJzL1BLAwQUAAAACACHTuJAM4B0CdMAAAAE&#10;AQAADwAAAGRycy9kb3ducmV2LnhtbE2PzU7DMBCE70i8g7VIvVEnVBSUZlMhJBAHJGgKdyfexhHx&#10;OrLdP56+bi9wGWk1q5lvyuXBDmJHPvSOEfJpBoK4dbrnDuFr/XL7CCJExVoNjgnhSAGW1fVVqQrt&#10;9ryiXR07kUI4FArBxDgWUobWkFVh6kbi5G2ctyqm03dSe7VP4XaQd1k2l1b1nBqMGunZUPtTby2C&#10;5+bYzV/pvn76Nh9v+ef7evUbECc3ebYAEekQ/57hjJ/QoUpMjduyDmJASEPiRc9eanoA0SDMcpBV&#10;Kf/DVydQSwMEFAAAAAgAh07iQG/HHeSrAQAAXAMAAA4AAABkcnMvZTJvRG9jLnhtbK1TwW7bMAy9&#10;D9g/CLovtjugSI04RdGguwxbsa4foMiyLUASBVKJk9/Zr+zHRilZunWXHgYDMimRj3yP0ur24J3Y&#10;GyQLoZPNopbCBA29DWMnn78/fFhKQUmFXjkIppNHQ/J2/f7dao6tuYIJXG9QMEigdo6dnFKKbVWR&#10;noxXtIBoAh8OgF4ldnGselQzo3tXXdX1dTUD9hFBGyLe3ZwO5RkR3wIIw2C12YDeeRPSCRWNU4kp&#10;0WQjyXXpdhiMTl+HgUwSrpPMNJWVi7C9zWu1Xql2RBUnq88tqLe08IqTVzZw0QvURiUldmj/gfJW&#10;IxAMaaHBVyciRRFm0dSvtHmaVDSFC0tN8SI6/T9Y/WX/iML2fBOkCMrzwL+Z9PNHGHcORJP1mSO1&#10;HPYUH/HsEZuZ7GFAn/9MQxyKpseLpuaQhObN6483zbJmuTWfNTf1smhevSRHpPTJgBfZ6CTyyIqS&#10;av+ZEhfk0N8huRaBs/2Dda44OG7vHYq94vHe1fnLHXPKX2EuiDk3llMC5ORTkAscm+mdCGVrC/2x&#10;8Cz7LHpBO1+QPNU//ZL98ijW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XBAAAW0NvbnRlbnRfVHlwZXNdLnhtbFBLAQIUAAoAAAAAAIdO4kAA&#10;AAAAAAAAAAAAAAAGAAAAAAAAAAAAEAAAAPkCAABfcmVscy9QSwECFAAUAAAACACHTuJAihRmPNEA&#10;AACUAQAACwAAAAAAAAABACAAAAAdAwAAX3JlbHMvLnJlbHNQSwECFAAKAAAAAACHTuJAAAAAAAAA&#10;AAAAAAAABAAAAAAAAAAAABAAAAAAAAAAZHJzL1BLAQIUABQAAAAIAIdO4kAzgHQJ0wAAAAQBAAAP&#10;AAAAAAAAAAEAIAAAACIAAABkcnMvZG93bnJldi54bWxQSwECFAAUAAAACACHTuJAb8cd5KsBAABc&#10;AwAADgAAAAAAAAABACAAAAAiAQAAZHJzL2Uyb0RvYy54bWxQSwUGAAAAAAYABgBZAQAAPwUAAAAA&#10;">
                <v:fill on="t" focussize="0,0"/>
                <v:stroke on="f" weight="0pt"/>
                <v:imagedata o:title=""/>
                <o:lock v:ext="edit" aspectratio="f"/>
                <w10:wrap type="none"/>
                <w10:anchorlock/>
              </v:rect>
            </w:pict>
          </mc:Fallback>
        </mc:AlternateContent>
      </w:r>
    </w:p>
    <w:p w14:paraId="3017E4BC">
      <w:pPr>
        <w:spacing w:before="280" w:after="280"/>
        <w:rPr>
          <w:rFonts w:ascii="Arial" w:hAnsi="Arial" w:eastAsia="Arial" w:cs="Arial"/>
          <w:sz w:val="21"/>
          <w:szCs w:val="21"/>
        </w:rPr>
      </w:pPr>
      <w:r>
        <w:rPr>
          <w:rFonts w:ascii="Arial" w:hAnsi="Arial" w:eastAsia="Arial" w:cs="Arial"/>
          <w:b/>
          <w:sz w:val="21"/>
          <w:szCs w:val="21"/>
        </w:rPr>
        <w:t>Assinatura do Servidor Responsável pela Acompanhamento</w:t>
      </w:r>
      <w:r>
        <w:rPr>
          <w:rFonts w:ascii="Arial" w:hAnsi="Arial" w:eastAsia="Arial" w:cs="Arial"/>
          <w:sz w:val="21"/>
          <w:szCs w:val="21"/>
        </w:rPr>
        <w:br w:type="textWrapping"/>
      </w:r>
      <w:r>
        <w:rPr>
          <w:rFonts w:ascii="Arial" w:hAnsi="Arial" w:eastAsia="Arial" w:cs="Arial"/>
          <w:sz w:val="21"/>
          <w:szCs w:val="21"/>
        </w:rPr>
        <w:t>Carimbo com nome e cargo</w:t>
      </w:r>
    </w:p>
    <w:p w14:paraId="1FAEC276">
      <w:pPr>
        <w:rPr>
          <w:rFonts w:ascii="Arial" w:hAnsi="Arial" w:eastAsia="Arial" w:cs="Arial"/>
          <w:sz w:val="21"/>
          <w:szCs w:val="21"/>
        </w:rPr>
      </w:pPr>
      <w:r>
        <w:rPr>
          <w:lang w:eastAsia="pt-BR"/>
        </w:rPr>
        <mc:AlternateContent>
          <mc:Choice Requires="wps">
            <w:drawing>
              <wp:inline distT="0" distB="0" distL="0" distR="0">
                <wp:extent cx="6392545" cy="19685"/>
                <wp:effectExtent l="0" t="0" r="0" b="0"/>
                <wp:docPr id="2" name="Retângulo 2"/>
                <wp:cNvGraphicFramePr/>
                <a:graphic xmlns:a="http://schemas.openxmlformats.org/drawingml/2006/main">
                  <a:graphicData uri="http://schemas.microsoft.com/office/word/2010/wordprocessingShape">
                    <wps:wsp>
                      <wps:cNvSpPr/>
                      <wps:spPr>
                        <a:xfrm>
                          <a:off x="0" y="0"/>
                          <a:ext cx="6391800" cy="19080"/>
                        </a:xfrm>
                        <a:prstGeom prst="rect">
                          <a:avLst/>
                        </a:prstGeom>
                        <a:solidFill>
                          <a:srgbClr val="A0A0A0"/>
                        </a:solidFill>
                        <a:ln w="0">
                          <a:noFill/>
                        </a:ln>
                      </wps:spPr>
                      <wps:bodyPr/>
                    </wps:wsp>
                  </a:graphicData>
                </a:graphic>
              </wp:inline>
            </w:drawing>
          </mc:Choice>
          <mc:Fallback>
            <w:pict>
              <v:rect id="_x0000_s1026" o:spid="_x0000_s1026" o:spt="1" style="height:1.55pt;width:503.35pt;" fillcolor="#A0A0A0" filled="t" stroked="f" coordsize="21600,21600" o:gfxdata="UEsDBAoAAAAAAIdO4kAAAAAAAAAAAAAAAAAEAAAAZHJzL1BLAwQUAAAACACHTuJAM4B0CdMAAAAE&#10;AQAADwAAAGRycy9kb3ducmV2LnhtbE2PzU7DMBCE70i8g7VIvVEnVBSUZlMhJBAHJGgKdyfexhHx&#10;OrLdP56+bi9wGWk1q5lvyuXBDmJHPvSOEfJpBoK4dbrnDuFr/XL7CCJExVoNjgnhSAGW1fVVqQrt&#10;9ryiXR07kUI4FArBxDgWUobWkFVh6kbi5G2ctyqm03dSe7VP4XaQd1k2l1b1nBqMGunZUPtTby2C&#10;5+bYzV/pvn76Nh9v+ef7evUbECc3ebYAEekQ/57hjJ/QoUpMjduyDmJASEPiRc9eanoA0SDMcpBV&#10;Kf/DVydQSwMEFAAAAAgAh07iQN+bVFmrAQAAXAMAAA4AAABkcnMvZTJvRG9jLnhtbK1TwW7bMAy9&#10;D9g/CLovdjKgSI04xbCguwxbsa4foMiyLUASBVKJk9/Zr+zHRslZunWXHgYDMkmRj3yP9ubu5J04&#10;GiQLoZXLRS2FCRo6G4ZWPn2/f7eWgpIKnXIQTCvPhuTd9u2bzRQbs4IRXGdQMEigZoqtHFOKTVWR&#10;Ho1XtIBoAl/2gF4ldnGoOlQTo3tXrer6ppoAu4igDRFHd/OlvCDiawCh7602O9AHb0KaUdE4lZgS&#10;jTaS3JZp+97o9LXvySThWslMUzm5Cdv7fFbbjWoGVHG0+jKCes0ILzh5ZQM3vULtVFLigPYfKG81&#10;AkGfFhp8NRMpijCLZf1Cm8dRRVO4sNQUr6LT/4PVX44PKGzXypUUQXle+DeTfv4Iw8GBWGV9pkgN&#10;pz3GB7x4xGYme+rR5zfTEKei6fmqqTkloTl48/52ua5Zbs13y9t6XTSvnosjUvpkwItstBJ5ZUVJ&#10;dfxMiRty6u+U3IvA2e7eOlccHPYfHYqj4vV+qPOTJ+aSv9JcEFMeLJcEyMVzkgucm+nNhLK1h+5c&#10;eJY4i17QLh9I3uqffql+/im2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XBAAAW0NvbnRlbnRfVHlwZXNdLnhtbFBLAQIUAAoAAAAAAIdO4kAA&#10;AAAAAAAAAAAAAAAGAAAAAAAAAAAAEAAAAPkCAABfcmVscy9QSwECFAAUAAAACACHTuJAihRmPNEA&#10;AACUAQAACwAAAAAAAAABACAAAAAdAwAAX3JlbHMvLnJlbHNQSwECFAAKAAAAAACHTuJAAAAAAAAA&#10;AAAAAAAABAAAAAAAAAAAABAAAAAAAAAAZHJzL1BLAQIUABQAAAAIAIdO4kAzgHQJ0wAAAAQBAAAP&#10;AAAAAAAAAAEAIAAAACIAAABkcnMvZG93bnJldi54bWxQSwECFAAUAAAACACHTuJA35tUWasBAABc&#10;AwAADgAAAAAAAAABACAAAAAiAQAAZHJzL2Uyb0RvYy54bWxQSwUGAAAAAAYABgBZAQAAPwUAAAAA&#10;">
                <v:fill on="t" focussize="0,0"/>
                <v:stroke on="f" weight="0pt"/>
                <v:imagedata o:title=""/>
                <o:lock v:ext="edit" aspectratio="f"/>
                <w10:wrap type="none"/>
                <w10:anchorlock/>
              </v:rect>
            </w:pict>
          </mc:Fallback>
        </mc:AlternateContent>
      </w:r>
    </w:p>
    <w:p w14:paraId="0E66EB42">
      <w:pPr>
        <w:spacing w:before="280" w:after="280"/>
        <w:rPr>
          <w:rFonts w:ascii="Arial" w:hAnsi="Arial" w:eastAsia="Arial" w:cs="Arial"/>
          <w:sz w:val="21"/>
          <w:szCs w:val="21"/>
        </w:rPr>
      </w:pPr>
      <w:r>
        <w:rPr>
          <w:rFonts w:ascii="Arial" w:hAnsi="Arial" w:eastAsia="Arial" w:cs="Arial"/>
          <w:b/>
          <w:sz w:val="21"/>
          <w:szCs w:val="21"/>
        </w:rPr>
        <w:t>Assinatura do Representante Legal da Empresa Licitante</w:t>
      </w:r>
      <w:r>
        <w:rPr>
          <w:rFonts w:ascii="Arial" w:hAnsi="Arial" w:eastAsia="Arial" w:cs="Arial"/>
          <w:sz w:val="21"/>
          <w:szCs w:val="21"/>
        </w:rPr>
        <w:br w:type="textWrapping"/>
      </w:r>
      <w:r>
        <w:rPr>
          <w:rFonts w:ascii="Arial" w:hAnsi="Arial" w:eastAsia="Arial" w:cs="Arial"/>
          <w:sz w:val="21"/>
          <w:szCs w:val="21"/>
        </w:rPr>
        <w:t>Carimbo com nome, cargo e CNPJ</w:t>
      </w:r>
    </w:p>
    <w:p w14:paraId="1D5BF3E8">
      <w:pPr>
        <w:spacing w:before="280" w:after="280"/>
        <w:jc w:val="both"/>
        <w:rPr>
          <w:rFonts w:ascii="Arial" w:hAnsi="Arial" w:eastAsia="Arial" w:cs="Arial"/>
          <w:sz w:val="21"/>
          <w:szCs w:val="21"/>
        </w:rPr>
      </w:pPr>
      <w:r>
        <w:rPr>
          <w:rFonts w:ascii="Arial" w:hAnsi="Arial" w:eastAsia="Arial" w:cs="Arial"/>
          <w:i/>
          <w:sz w:val="21"/>
          <w:szCs w:val="21"/>
        </w:rPr>
        <w:t>Observação: Este documento deverá ser previamente preenchido pela licitante e apresentado ao servidor responsável no momento da realização da visita técnica, para conferência e assinatura.</w:t>
      </w:r>
      <w:r>
        <w:rPr>
          <w:rFonts w:ascii="Arial" w:hAnsi="Arial" w:eastAsia="Arial" w:cs="Arial"/>
          <w:i/>
          <w:sz w:val="21"/>
          <w:szCs w:val="21"/>
        </w:rPr>
        <w:br w:type="textWrapping"/>
      </w:r>
      <w:r>
        <w:rPr>
          <w:rFonts w:ascii="Arial" w:hAnsi="Arial" w:eastAsia="Arial" w:cs="Arial"/>
          <w:i/>
          <w:sz w:val="21"/>
          <w:szCs w:val="21"/>
        </w:rPr>
        <w:br w:type="textWrapping"/>
      </w:r>
      <w:r>
        <w:rPr>
          <w:rFonts w:ascii="Arial" w:hAnsi="Arial" w:eastAsia="Arial" w:cs="Arial"/>
          <w:i/>
          <w:sz w:val="21"/>
          <w:szCs w:val="21"/>
        </w:rPr>
        <w:t>Observação: Esta declaração deverá ser apresentada em papel timbrado da empresa, assinada pelo representante legal, e entregue juntamente com os documentos de habilitação, em substituição ao Atestado de Visita Técnica, caso a visita não seja realizada.</w:t>
      </w:r>
    </w:p>
    <w:p w14:paraId="6BA8D635">
      <w:pPr>
        <w:spacing w:before="280" w:after="280"/>
        <w:rPr>
          <w:rFonts w:ascii="Arial" w:hAnsi="Arial" w:eastAsia="Arial" w:cs="Arial"/>
          <w:i/>
          <w:sz w:val="21"/>
          <w:szCs w:val="21"/>
        </w:rPr>
      </w:pPr>
    </w:p>
    <w:p w14:paraId="472EA1AB">
      <w:pPr>
        <w:spacing w:before="280" w:after="280"/>
        <w:rPr>
          <w:rFonts w:ascii="Arial" w:hAnsi="Arial" w:eastAsia="Arial" w:cs="Arial"/>
          <w:i/>
          <w:sz w:val="21"/>
          <w:szCs w:val="21"/>
        </w:rPr>
      </w:pPr>
    </w:p>
    <w:p w14:paraId="62FD050B">
      <w:pPr>
        <w:spacing w:before="280" w:after="280"/>
        <w:rPr>
          <w:rFonts w:ascii="Arial" w:hAnsi="Arial" w:eastAsia="Arial" w:cs="Arial"/>
          <w:i/>
          <w:sz w:val="21"/>
          <w:szCs w:val="21"/>
        </w:rPr>
      </w:pPr>
    </w:p>
    <w:p w14:paraId="1FB774BA">
      <w:pPr>
        <w:spacing w:before="280" w:after="280"/>
        <w:rPr>
          <w:rFonts w:ascii="Arial" w:hAnsi="Arial" w:eastAsia="Arial" w:cs="Arial"/>
          <w:sz w:val="21"/>
          <w:szCs w:val="21"/>
        </w:rPr>
      </w:pPr>
    </w:p>
    <w:p w14:paraId="5C05D577">
      <w:pPr>
        <w:jc w:val="both"/>
        <w:rPr>
          <w:rFonts w:ascii="Arial" w:hAnsi="Arial" w:eastAsia="Arial" w:cs="Arial"/>
          <w:color w:val="000000"/>
          <w:sz w:val="21"/>
          <w:szCs w:val="21"/>
        </w:rPr>
      </w:pPr>
      <w:r>
        <w:rPr>
          <w:rFonts w:ascii="Arial" w:hAnsi="Arial" w:eastAsia="Arial" w:cs="Arial"/>
          <w:color w:val="000000"/>
          <w:sz w:val="21"/>
          <w:szCs w:val="21"/>
        </w:rPr>
        <w:t>Para garantir a conformidade com o Edital do Pregão Eletrônico nº 30/2025 e assegurar que as empresas licitantes tenham pleno conhecimento dos locais de execução dos serviços, é essencial incluir, como anexo</w:t>
      </w:r>
      <w:r>
        <w:rPr>
          <w:rFonts w:ascii="Arial" w:hAnsi="Arial" w:eastAsia="Arial" w:cs="Arial"/>
          <w:sz w:val="21"/>
          <w:szCs w:val="21"/>
        </w:rPr>
        <w:t xml:space="preserve"> </w:t>
      </w:r>
      <w:r>
        <w:rPr>
          <w:rFonts w:ascii="Arial" w:hAnsi="Arial" w:eastAsia="Arial" w:cs="Arial"/>
          <w:color w:val="000000"/>
          <w:sz w:val="21"/>
          <w:szCs w:val="21"/>
        </w:rPr>
        <w:t>ao ANEXO VI – MODELO DE ATESTADO DE VISTORIA/VISITA TÉCNICA, a lista completa das unidades escolares da rede municipal de ensino de Rondonópolis/MT.</w:t>
      </w:r>
    </w:p>
    <w:p w14:paraId="66DB2486">
      <w:pPr>
        <w:jc w:val="both"/>
        <w:rPr>
          <w:rFonts w:ascii="Arial" w:hAnsi="Arial" w:eastAsia="Arial" w:cs="Arial"/>
          <w:color w:val="000000"/>
          <w:sz w:val="21"/>
          <w:szCs w:val="21"/>
        </w:rPr>
      </w:pPr>
      <w:r>
        <w:rPr>
          <w:rFonts w:ascii="Arial" w:hAnsi="Arial" w:eastAsia="Arial" w:cs="Arial"/>
          <w:color w:val="000000"/>
          <w:sz w:val="21"/>
          <w:szCs w:val="21"/>
        </w:rPr>
        <w:t xml:space="preserve">Conforme informações disponíveis até o momento, a rede municipal de Rondonópolis é composta por 102 unidades escolares. </w:t>
      </w:r>
    </w:p>
    <w:p w14:paraId="001510E9">
      <w:pPr>
        <w:jc w:val="both"/>
        <w:rPr>
          <w:rFonts w:ascii="Arial" w:hAnsi="Arial" w:eastAsia="Arial" w:cs="Arial"/>
          <w:color w:val="000000"/>
          <w:sz w:val="21"/>
          <w:szCs w:val="21"/>
        </w:rPr>
      </w:pPr>
      <w:r>
        <w:rPr>
          <w:rFonts w:ascii="Arial" w:hAnsi="Arial" w:eastAsia="Arial" w:cs="Arial"/>
          <w:color w:val="000000"/>
          <w:sz w:val="21"/>
          <w:szCs w:val="21"/>
        </w:rPr>
        <w:t>Abaixo, apresentamos uma lista das escolas municipais, conforme informado ou extraído do estudo técnico preliminar:</w:t>
      </w:r>
    </w:p>
    <w:tbl>
      <w:tblPr>
        <w:tblStyle w:val="12"/>
        <w:tblW w:w="8617" w:type="dxa"/>
        <w:tblInd w:w="25" w:type="dxa"/>
        <w:tblLayout w:type="fixed"/>
        <w:tblCellMar>
          <w:top w:w="0" w:type="dxa"/>
          <w:left w:w="108" w:type="dxa"/>
          <w:bottom w:w="0" w:type="dxa"/>
          <w:right w:w="108" w:type="dxa"/>
        </w:tblCellMar>
      </w:tblPr>
      <w:tblGrid>
        <w:gridCol w:w="722"/>
        <w:gridCol w:w="4428"/>
        <w:gridCol w:w="3467"/>
      </w:tblGrid>
      <w:tr w14:paraId="2B4B8F97">
        <w:tblPrEx>
          <w:tblCellMar>
            <w:top w:w="0" w:type="dxa"/>
            <w:left w:w="108" w:type="dxa"/>
            <w:bottom w:w="0" w:type="dxa"/>
            <w:right w:w="108" w:type="dxa"/>
          </w:tblCellMar>
        </w:tblPrEx>
        <w:trPr>
          <w:trHeight w:val="390" w:hRule="atLeast"/>
        </w:trPr>
        <w:tc>
          <w:tcPr>
            <w:tcW w:w="722" w:type="dxa"/>
            <w:tcBorders>
              <w:top w:val="single" w:color="000000" w:sz="4" w:space="0"/>
              <w:left w:val="single" w:color="000000" w:sz="4" w:space="0"/>
              <w:bottom w:val="single" w:color="000000" w:sz="4" w:space="0"/>
            </w:tcBorders>
            <w:shd w:val="clear" w:color="auto" w:fill="DDDDDD"/>
            <w:vAlign w:val="bottom"/>
          </w:tcPr>
          <w:p w14:paraId="43366128">
            <w:pPr>
              <w:widowControl w:val="0"/>
              <w:jc w:val="center"/>
              <w:rPr>
                <w:rFonts w:ascii="Arial" w:hAnsi="Arial" w:eastAsia="Arial" w:cs="Arial"/>
                <w:b/>
                <w:sz w:val="21"/>
                <w:szCs w:val="21"/>
              </w:rPr>
            </w:pPr>
            <w:r>
              <w:rPr>
                <w:rFonts w:ascii="Arial" w:hAnsi="Arial" w:eastAsia="Arial" w:cs="Arial"/>
                <w:b/>
                <w:sz w:val="21"/>
                <w:szCs w:val="21"/>
              </w:rPr>
              <w:t>ITEM</w:t>
            </w:r>
          </w:p>
        </w:tc>
        <w:tc>
          <w:tcPr>
            <w:tcW w:w="4428" w:type="dxa"/>
            <w:tcBorders>
              <w:top w:val="single" w:color="000000" w:sz="4" w:space="0"/>
              <w:left w:val="single" w:color="000000" w:sz="4" w:space="0"/>
              <w:bottom w:val="single" w:color="000000" w:sz="4" w:space="0"/>
            </w:tcBorders>
            <w:shd w:val="clear" w:color="auto" w:fill="DDDDDD"/>
            <w:vAlign w:val="bottom"/>
          </w:tcPr>
          <w:p w14:paraId="183A2350">
            <w:pPr>
              <w:widowControl w:val="0"/>
              <w:jc w:val="center"/>
              <w:rPr>
                <w:rFonts w:ascii="Arial" w:hAnsi="Arial" w:eastAsia="Arial" w:cs="Arial"/>
                <w:b/>
                <w:sz w:val="21"/>
                <w:szCs w:val="21"/>
              </w:rPr>
            </w:pPr>
            <w:r>
              <w:rPr>
                <w:rFonts w:ascii="Arial" w:hAnsi="Arial" w:eastAsia="Arial" w:cs="Arial"/>
                <w:b/>
                <w:sz w:val="21"/>
                <w:szCs w:val="21"/>
              </w:rPr>
              <w:t>UNIDADE</w:t>
            </w:r>
          </w:p>
        </w:tc>
        <w:tc>
          <w:tcPr>
            <w:tcW w:w="3467" w:type="dxa"/>
            <w:tcBorders>
              <w:top w:val="single" w:color="000000" w:sz="4" w:space="0"/>
              <w:left w:val="single" w:color="000000" w:sz="4" w:space="0"/>
              <w:bottom w:val="single" w:color="000000" w:sz="4" w:space="0"/>
              <w:right w:val="single" w:color="000000" w:sz="4" w:space="0"/>
            </w:tcBorders>
            <w:shd w:val="clear" w:color="auto" w:fill="DDDDDD"/>
            <w:vAlign w:val="bottom"/>
          </w:tcPr>
          <w:p w14:paraId="096964C5">
            <w:pPr>
              <w:widowControl w:val="0"/>
              <w:jc w:val="center"/>
              <w:rPr>
                <w:rFonts w:ascii="Arial" w:hAnsi="Arial" w:eastAsia="Arial" w:cs="Arial"/>
                <w:b/>
                <w:sz w:val="21"/>
                <w:szCs w:val="21"/>
              </w:rPr>
            </w:pPr>
            <w:r>
              <w:rPr>
                <w:rFonts w:ascii="Arial" w:hAnsi="Arial" w:eastAsia="Arial" w:cs="Arial"/>
                <w:b/>
                <w:sz w:val="21"/>
                <w:szCs w:val="21"/>
              </w:rPr>
              <w:t>ENDEREÇO</w:t>
            </w:r>
          </w:p>
        </w:tc>
      </w:tr>
      <w:tr w14:paraId="6EFE7C39">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0CD06C46">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32D679CB">
            <w:pPr>
              <w:widowControl w:val="0"/>
              <w:spacing w:line="192" w:lineRule="auto"/>
              <w:rPr>
                <w:rFonts w:ascii="Arial" w:hAnsi="Arial" w:eastAsia="Arial" w:cs="Arial"/>
                <w:sz w:val="21"/>
                <w:szCs w:val="21"/>
              </w:rPr>
            </w:pPr>
            <w:r>
              <w:rPr>
                <w:rFonts w:ascii="Arial" w:hAnsi="Arial" w:eastAsia="Arial" w:cs="Arial"/>
                <w:b/>
                <w:sz w:val="21"/>
                <w:szCs w:val="21"/>
              </w:rPr>
              <w:t>CMEI Leonese de Pinho Carvalho</w:t>
            </w:r>
          </w:p>
        </w:tc>
        <w:tc>
          <w:tcPr>
            <w:tcW w:w="3467" w:type="dxa"/>
            <w:tcBorders>
              <w:left w:val="single" w:color="000000" w:sz="4" w:space="0"/>
              <w:bottom w:val="single" w:color="000000" w:sz="4" w:space="0"/>
              <w:right w:val="single" w:color="000000" w:sz="4" w:space="0"/>
            </w:tcBorders>
            <w:vAlign w:val="bottom"/>
          </w:tcPr>
          <w:p w14:paraId="690B3BB5">
            <w:pPr>
              <w:widowControl w:val="0"/>
              <w:spacing w:line="192" w:lineRule="auto"/>
              <w:jc w:val="both"/>
              <w:rPr>
                <w:rFonts w:ascii="Arial" w:hAnsi="Arial" w:eastAsia="Arial" w:cs="Arial"/>
                <w:sz w:val="21"/>
                <w:szCs w:val="21"/>
              </w:rPr>
            </w:pPr>
            <w:r>
              <w:rPr>
                <w:rFonts w:ascii="Arial" w:hAnsi="Arial" w:eastAsia="Arial" w:cs="Arial"/>
                <w:sz w:val="21"/>
                <w:szCs w:val="21"/>
              </w:rPr>
              <w:t>Rua E s/n Conj Habitacional Lucia Maggi. Cep 78.731-025</w:t>
            </w:r>
          </w:p>
        </w:tc>
      </w:tr>
      <w:tr w14:paraId="01B94579">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33F07F02">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2C454393">
            <w:pPr>
              <w:widowControl w:val="0"/>
              <w:spacing w:line="192" w:lineRule="auto"/>
              <w:rPr>
                <w:rFonts w:ascii="Arial" w:hAnsi="Arial" w:eastAsia="Arial" w:cs="Arial"/>
                <w:sz w:val="21"/>
                <w:szCs w:val="21"/>
              </w:rPr>
            </w:pPr>
            <w:r>
              <w:rPr>
                <w:rFonts w:ascii="Arial" w:hAnsi="Arial" w:eastAsia="Arial" w:cs="Arial"/>
                <w:b/>
                <w:sz w:val="21"/>
                <w:szCs w:val="21"/>
              </w:rPr>
              <w:t>UMEI Luiz Henrique Dias Bulhões</w:t>
            </w:r>
          </w:p>
        </w:tc>
        <w:tc>
          <w:tcPr>
            <w:tcW w:w="3467" w:type="dxa"/>
            <w:tcBorders>
              <w:left w:val="single" w:color="000000" w:sz="4" w:space="0"/>
              <w:bottom w:val="single" w:color="000000" w:sz="4" w:space="0"/>
              <w:right w:val="single" w:color="000000" w:sz="4" w:space="0"/>
            </w:tcBorders>
            <w:vAlign w:val="bottom"/>
          </w:tcPr>
          <w:p w14:paraId="783E1BB1">
            <w:pPr>
              <w:widowControl w:val="0"/>
              <w:spacing w:line="192" w:lineRule="auto"/>
              <w:jc w:val="both"/>
              <w:rPr>
                <w:rFonts w:ascii="Arial" w:hAnsi="Arial" w:eastAsia="Arial" w:cs="Arial"/>
                <w:sz w:val="21"/>
                <w:szCs w:val="21"/>
              </w:rPr>
            </w:pPr>
            <w:r>
              <w:rPr>
                <w:rFonts w:ascii="Arial" w:hAnsi="Arial" w:eastAsia="Arial" w:cs="Arial"/>
                <w:sz w:val="21"/>
                <w:szCs w:val="21"/>
              </w:rPr>
              <w:t>Travessa quinze s/n Jd. Participação II. Cep 78.730-235</w:t>
            </w:r>
          </w:p>
        </w:tc>
      </w:tr>
      <w:tr w14:paraId="1EF4C38D">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3BAAE349">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25DE476F">
            <w:pPr>
              <w:widowControl w:val="0"/>
              <w:spacing w:line="192" w:lineRule="auto"/>
              <w:rPr>
                <w:rFonts w:ascii="Arial" w:hAnsi="Arial" w:eastAsia="Arial" w:cs="Arial"/>
                <w:sz w:val="21"/>
                <w:szCs w:val="21"/>
              </w:rPr>
            </w:pPr>
            <w:r>
              <w:rPr>
                <w:rFonts w:ascii="Arial" w:hAnsi="Arial" w:eastAsia="Arial" w:cs="Arial"/>
                <w:b/>
                <w:sz w:val="21"/>
                <w:szCs w:val="21"/>
              </w:rPr>
              <w:t>UMEI Pequenos Brilhantes</w:t>
            </w:r>
          </w:p>
        </w:tc>
        <w:tc>
          <w:tcPr>
            <w:tcW w:w="3467" w:type="dxa"/>
            <w:tcBorders>
              <w:left w:val="single" w:color="000000" w:sz="4" w:space="0"/>
              <w:bottom w:val="single" w:color="000000" w:sz="4" w:space="0"/>
              <w:right w:val="single" w:color="000000" w:sz="4" w:space="0"/>
            </w:tcBorders>
            <w:vAlign w:val="bottom"/>
          </w:tcPr>
          <w:p w14:paraId="5B67249F">
            <w:pPr>
              <w:widowControl w:val="0"/>
              <w:spacing w:line="192" w:lineRule="auto"/>
              <w:jc w:val="both"/>
              <w:rPr>
                <w:rFonts w:ascii="Arial" w:hAnsi="Arial" w:eastAsia="Arial" w:cs="Arial"/>
                <w:sz w:val="21"/>
                <w:szCs w:val="21"/>
              </w:rPr>
            </w:pPr>
            <w:r>
              <w:rPr>
                <w:rFonts w:ascii="Arial" w:hAnsi="Arial" w:eastAsia="Arial" w:cs="Arial"/>
                <w:sz w:val="21"/>
                <w:szCs w:val="21"/>
              </w:rPr>
              <w:t>R. Tamoios, n.º 365 Cidade Alta. Cep78.730-430</w:t>
            </w:r>
          </w:p>
        </w:tc>
      </w:tr>
      <w:tr w14:paraId="7CA1332A">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2EFEBF42">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7DFC01F1">
            <w:pPr>
              <w:widowControl w:val="0"/>
              <w:spacing w:line="192" w:lineRule="auto"/>
              <w:rPr>
                <w:rFonts w:ascii="Arial" w:hAnsi="Arial" w:eastAsia="Arial" w:cs="Arial"/>
                <w:sz w:val="21"/>
                <w:szCs w:val="21"/>
              </w:rPr>
            </w:pPr>
            <w:r>
              <w:rPr>
                <w:rFonts w:ascii="Arial" w:hAnsi="Arial" w:eastAsia="Arial" w:cs="Arial"/>
                <w:b/>
                <w:sz w:val="21"/>
                <w:szCs w:val="21"/>
              </w:rPr>
              <w:t>EMEI Mateus Vinícius Braz</w:t>
            </w:r>
          </w:p>
        </w:tc>
        <w:tc>
          <w:tcPr>
            <w:tcW w:w="3467" w:type="dxa"/>
            <w:tcBorders>
              <w:left w:val="single" w:color="000000" w:sz="4" w:space="0"/>
              <w:bottom w:val="single" w:color="000000" w:sz="4" w:space="0"/>
              <w:right w:val="single" w:color="000000" w:sz="4" w:space="0"/>
            </w:tcBorders>
            <w:vAlign w:val="bottom"/>
          </w:tcPr>
          <w:p w14:paraId="47E378E1">
            <w:pPr>
              <w:widowControl w:val="0"/>
              <w:spacing w:line="192" w:lineRule="auto"/>
              <w:jc w:val="both"/>
              <w:rPr>
                <w:rFonts w:ascii="Arial" w:hAnsi="Arial" w:eastAsia="Arial" w:cs="Arial"/>
                <w:sz w:val="21"/>
                <w:szCs w:val="21"/>
              </w:rPr>
            </w:pPr>
            <w:r>
              <w:rPr>
                <w:rFonts w:ascii="Arial" w:hAnsi="Arial" w:eastAsia="Arial" w:cs="Arial"/>
                <w:sz w:val="21"/>
                <w:szCs w:val="21"/>
              </w:rPr>
              <w:t>R. Barão de Jundiaí, Jd Pulista Cep78.700-800</w:t>
            </w:r>
          </w:p>
        </w:tc>
      </w:tr>
      <w:tr w14:paraId="411A4F8A">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4F34D3E2">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38B1683C">
            <w:pPr>
              <w:widowControl w:val="0"/>
              <w:spacing w:line="192" w:lineRule="auto"/>
              <w:rPr>
                <w:rFonts w:ascii="Arial" w:hAnsi="Arial" w:eastAsia="Arial" w:cs="Arial"/>
                <w:sz w:val="21"/>
                <w:szCs w:val="21"/>
              </w:rPr>
            </w:pPr>
            <w:r>
              <w:rPr>
                <w:rFonts w:ascii="Arial" w:hAnsi="Arial" w:eastAsia="Arial" w:cs="Arial"/>
                <w:b/>
                <w:sz w:val="21"/>
                <w:szCs w:val="21"/>
              </w:rPr>
              <w:t>EMEI Rubens Alves de Souza</w:t>
            </w:r>
          </w:p>
        </w:tc>
        <w:tc>
          <w:tcPr>
            <w:tcW w:w="3467" w:type="dxa"/>
            <w:tcBorders>
              <w:left w:val="single" w:color="000000" w:sz="4" w:space="0"/>
              <w:bottom w:val="single" w:color="000000" w:sz="4" w:space="0"/>
              <w:right w:val="single" w:color="000000" w:sz="4" w:space="0"/>
            </w:tcBorders>
            <w:vAlign w:val="bottom"/>
          </w:tcPr>
          <w:p w14:paraId="08F88531">
            <w:pPr>
              <w:widowControl w:val="0"/>
              <w:spacing w:line="192" w:lineRule="auto"/>
              <w:jc w:val="both"/>
              <w:rPr>
                <w:rFonts w:ascii="Arial" w:hAnsi="Arial" w:eastAsia="Arial" w:cs="Arial"/>
                <w:sz w:val="21"/>
                <w:szCs w:val="21"/>
              </w:rPr>
            </w:pPr>
            <w:r>
              <w:rPr>
                <w:rFonts w:ascii="Arial" w:hAnsi="Arial" w:eastAsia="Arial" w:cs="Arial"/>
                <w:sz w:val="21"/>
                <w:szCs w:val="21"/>
              </w:rPr>
              <w:t>Av. José de Assis N° 500, JD Belo Panorama. Cep78.730-176</w:t>
            </w:r>
          </w:p>
        </w:tc>
      </w:tr>
      <w:tr w14:paraId="4F8B3115">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296A3774">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6ADE1A34">
            <w:pPr>
              <w:widowControl w:val="0"/>
              <w:spacing w:line="192" w:lineRule="auto"/>
              <w:rPr>
                <w:rFonts w:ascii="Arial" w:hAnsi="Arial" w:eastAsia="Arial" w:cs="Arial"/>
                <w:sz w:val="21"/>
                <w:szCs w:val="21"/>
              </w:rPr>
            </w:pPr>
            <w:r>
              <w:rPr>
                <w:rFonts w:ascii="Arial" w:hAnsi="Arial" w:eastAsia="Arial" w:cs="Arial"/>
                <w:b/>
                <w:sz w:val="21"/>
                <w:szCs w:val="21"/>
              </w:rPr>
              <w:t>CMEI Agton Kayro Leite dos Santos</w:t>
            </w:r>
          </w:p>
        </w:tc>
        <w:tc>
          <w:tcPr>
            <w:tcW w:w="3467" w:type="dxa"/>
            <w:tcBorders>
              <w:left w:val="single" w:color="000000" w:sz="4" w:space="0"/>
              <w:bottom w:val="single" w:color="000000" w:sz="4" w:space="0"/>
              <w:right w:val="single" w:color="000000" w:sz="4" w:space="0"/>
            </w:tcBorders>
            <w:vAlign w:val="bottom"/>
          </w:tcPr>
          <w:p w14:paraId="65A03E84">
            <w:pPr>
              <w:widowControl w:val="0"/>
              <w:spacing w:line="192" w:lineRule="auto"/>
              <w:jc w:val="both"/>
              <w:rPr>
                <w:rFonts w:ascii="Arial" w:hAnsi="Arial" w:eastAsia="Arial" w:cs="Arial"/>
                <w:sz w:val="21"/>
                <w:szCs w:val="21"/>
              </w:rPr>
            </w:pPr>
            <w:r>
              <w:rPr>
                <w:rFonts w:ascii="Arial" w:hAnsi="Arial" w:eastAsia="Arial" w:cs="Arial"/>
                <w:sz w:val="21"/>
                <w:szCs w:val="21"/>
              </w:rPr>
              <w:t>Rua 03, Qd 04 S/N Res. Altamirando. Cep78.700-002</w:t>
            </w:r>
          </w:p>
        </w:tc>
      </w:tr>
      <w:tr w14:paraId="2ABACA2F">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29E6D862">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1807F4B5">
            <w:pPr>
              <w:widowControl w:val="0"/>
              <w:spacing w:line="192" w:lineRule="auto"/>
              <w:rPr>
                <w:rFonts w:ascii="Arial" w:hAnsi="Arial" w:eastAsia="Arial" w:cs="Arial"/>
                <w:sz w:val="21"/>
                <w:szCs w:val="21"/>
              </w:rPr>
            </w:pPr>
            <w:r>
              <w:rPr>
                <w:rFonts w:ascii="Arial" w:hAnsi="Arial" w:eastAsia="Arial" w:cs="Arial"/>
                <w:b/>
                <w:sz w:val="21"/>
                <w:szCs w:val="21"/>
              </w:rPr>
              <w:t>CMEI Maria Severina da Silva</w:t>
            </w:r>
          </w:p>
        </w:tc>
        <w:tc>
          <w:tcPr>
            <w:tcW w:w="3467" w:type="dxa"/>
            <w:tcBorders>
              <w:left w:val="single" w:color="000000" w:sz="4" w:space="0"/>
              <w:bottom w:val="single" w:color="000000" w:sz="4" w:space="0"/>
              <w:right w:val="single" w:color="000000" w:sz="4" w:space="0"/>
            </w:tcBorders>
            <w:vAlign w:val="bottom"/>
          </w:tcPr>
          <w:p w14:paraId="044373B6">
            <w:pPr>
              <w:widowControl w:val="0"/>
              <w:spacing w:line="192" w:lineRule="auto"/>
              <w:jc w:val="both"/>
              <w:rPr>
                <w:rFonts w:ascii="Arial" w:hAnsi="Arial" w:eastAsia="Arial" w:cs="Arial"/>
                <w:sz w:val="21"/>
                <w:szCs w:val="21"/>
              </w:rPr>
            </w:pPr>
            <w:r>
              <w:rPr>
                <w:rFonts w:ascii="Arial" w:hAnsi="Arial" w:eastAsia="Arial" w:cs="Arial"/>
                <w:sz w:val="21"/>
                <w:szCs w:val="21"/>
              </w:rPr>
              <w:t>Rua Catorze, Quadra 21, s/n Resid. Sitio Farias. Cep 78.734-520</w:t>
            </w:r>
          </w:p>
        </w:tc>
      </w:tr>
      <w:tr w14:paraId="15B46207">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5AEB4856">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0F42EE3A">
            <w:pPr>
              <w:widowControl w:val="0"/>
              <w:spacing w:line="192" w:lineRule="auto"/>
              <w:rPr>
                <w:rFonts w:ascii="Arial" w:hAnsi="Arial" w:eastAsia="Arial" w:cs="Arial"/>
                <w:sz w:val="21"/>
                <w:szCs w:val="21"/>
              </w:rPr>
            </w:pPr>
            <w:r>
              <w:rPr>
                <w:rFonts w:ascii="Arial" w:hAnsi="Arial" w:eastAsia="Arial" w:cs="Arial"/>
                <w:b/>
                <w:sz w:val="21"/>
                <w:szCs w:val="21"/>
              </w:rPr>
              <w:t>CMEI Jessica Adriana Lima Ferreira</w:t>
            </w:r>
          </w:p>
        </w:tc>
        <w:tc>
          <w:tcPr>
            <w:tcW w:w="3467" w:type="dxa"/>
            <w:tcBorders>
              <w:left w:val="single" w:color="000000" w:sz="4" w:space="0"/>
              <w:bottom w:val="single" w:color="000000" w:sz="4" w:space="0"/>
              <w:right w:val="single" w:color="000000" w:sz="4" w:space="0"/>
            </w:tcBorders>
            <w:vAlign w:val="bottom"/>
          </w:tcPr>
          <w:p w14:paraId="15B9D887">
            <w:pPr>
              <w:widowControl w:val="0"/>
              <w:spacing w:line="192" w:lineRule="auto"/>
              <w:jc w:val="both"/>
              <w:rPr>
                <w:rFonts w:ascii="Arial" w:hAnsi="Arial" w:eastAsia="Arial" w:cs="Arial"/>
                <w:sz w:val="21"/>
                <w:szCs w:val="21"/>
              </w:rPr>
            </w:pPr>
            <w:r>
              <w:rPr>
                <w:rFonts w:ascii="Arial" w:hAnsi="Arial" w:eastAsia="Arial" w:cs="Arial"/>
                <w:sz w:val="21"/>
                <w:szCs w:val="21"/>
              </w:rPr>
              <w:t>R. Ligia Fagundes Teles, nº78, Jardim Atlântico. Cep78.735-753</w:t>
            </w:r>
          </w:p>
        </w:tc>
      </w:tr>
      <w:tr w14:paraId="6B490A23">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442155BF">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4DE36ADC">
            <w:pPr>
              <w:widowControl w:val="0"/>
              <w:spacing w:line="192" w:lineRule="auto"/>
              <w:rPr>
                <w:rFonts w:ascii="Arial" w:hAnsi="Arial" w:eastAsia="Arial" w:cs="Arial"/>
                <w:sz w:val="21"/>
                <w:szCs w:val="21"/>
              </w:rPr>
            </w:pPr>
            <w:r>
              <w:rPr>
                <w:rFonts w:ascii="Arial" w:hAnsi="Arial" w:eastAsia="Arial" w:cs="Arial"/>
                <w:b/>
                <w:sz w:val="21"/>
                <w:szCs w:val="21"/>
              </w:rPr>
              <w:t>CMEI Enézio Machado Vieira</w:t>
            </w:r>
          </w:p>
        </w:tc>
        <w:tc>
          <w:tcPr>
            <w:tcW w:w="3467" w:type="dxa"/>
            <w:tcBorders>
              <w:left w:val="single" w:color="000000" w:sz="4" w:space="0"/>
              <w:bottom w:val="single" w:color="000000" w:sz="4" w:space="0"/>
              <w:right w:val="single" w:color="000000" w:sz="4" w:space="0"/>
            </w:tcBorders>
            <w:vAlign w:val="bottom"/>
          </w:tcPr>
          <w:p w14:paraId="28875809">
            <w:pPr>
              <w:widowControl w:val="0"/>
              <w:spacing w:line="192" w:lineRule="auto"/>
              <w:jc w:val="both"/>
              <w:rPr>
                <w:rFonts w:ascii="Arial" w:hAnsi="Arial" w:eastAsia="Arial" w:cs="Arial"/>
                <w:sz w:val="21"/>
                <w:szCs w:val="21"/>
              </w:rPr>
            </w:pPr>
            <w:r>
              <w:rPr>
                <w:rFonts w:ascii="Arial" w:hAnsi="Arial" w:eastAsia="Arial" w:cs="Arial"/>
                <w:sz w:val="21"/>
                <w:szCs w:val="21"/>
              </w:rPr>
              <w:t>Jardim Residencial Bispo Pedro Casaldáliga</w:t>
            </w:r>
          </w:p>
        </w:tc>
      </w:tr>
      <w:tr w14:paraId="31064DDA">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6C16DBBF">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43F9121E">
            <w:pPr>
              <w:widowControl w:val="0"/>
              <w:spacing w:line="192" w:lineRule="auto"/>
              <w:rPr>
                <w:rFonts w:ascii="Arial" w:hAnsi="Arial" w:eastAsia="Arial" w:cs="Arial"/>
                <w:sz w:val="21"/>
                <w:szCs w:val="21"/>
              </w:rPr>
            </w:pPr>
            <w:r>
              <w:rPr>
                <w:rFonts w:ascii="Arial" w:hAnsi="Arial" w:eastAsia="Arial" w:cs="Arial"/>
                <w:b/>
                <w:sz w:val="21"/>
                <w:szCs w:val="21"/>
              </w:rPr>
              <w:t>CMEI Professora Liege Santos Pereira</w:t>
            </w:r>
          </w:p>
        </w:tc>
        <w:tc>
          <w:tcPr>
            <w:tcW w:w="3467" w:type="dxa"/>
            <w:tcBorders>
              <w:left w:val="single" w:color="000000" w:sz="4" w:space="0"/>
              <w:bottom w:val="single" w:color="000000" w:sz="4" w:space="0"/>
              <w:right w:val="single" w:color="000000" w:sz="4" w:space="0"/>
            </w:tcBorders>
            <w:vAlign w:val="bottom"/>
          </w:tcPr>
          <w:p w14:paraId="4538D9BF">
            <w:pPr>
              <w:widowControl w:val="0"/>
              <w:spacing w:line="192" w:lineRule="auto"/>
              <w:jc w:val="both"/>
              <w:rPr>
                <w:rFonts w:ascii="Arial" w:hAnsi="Arial" w:eastAsia="Arial" w:cs="Arial"/>
                <w:sz w:val="21"/>
                <w:szCs w:val="21"/>
              </w:rPr>
            </w:pPr>
            <w:r>
              <w:rPr>
                <w:rFonts w:ascii="Arial" w:hAnsi="Arial" w:eastAsia="Arial" w:cs="Arial"/>
                <w:sz w:val="21"/>
                <w:szCs w:val="21"/>
              </w:rPr>
              <w:t>Rua M – Conjunto habitacional Cidade de Deus II</w:t>
            </w:r>
          </w:p>
        </w:tc>
      </w:tr>
      <w:tr w14:paraId="630F4D34">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59E57963">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536EB8F5">
            <w:pPr>
              <w:widowControl w:val="0"/>
              <w:spacing w:line="192" w:lineRule="auto"/>
              <w:rPr>
                <w:rFonts w:ascii="Arial" w:hAnsi="Arial" w:eastAsia="Arial" w:cs="Arial"/>
                <w:sz w:val="21"/>
                <w:szCs w:val="21"/>
              </w:rPr>
            </w:pPr>
            <w:r>
              <w:rPr>
                <w:rFonts w:ascii="Arial" w:hAnsi="Arial" w:eastAsia="Arial" w:cs="Arial"/>
                <w:b/>
                <w:sz w:val="21"/>
                <w:szCs w:val="21"/>
              </w:rPr>
              <w:t>CMEI Arthur Araújo Lula da Silva</w:t>
            </w:r>
          </w:p>
        </w:tc>
        <w:tc>
          <w:tcPr>
            <w:tcW w:w="3467" w:type="dxa"/>
            <w:tcBorders>
              <w:left w:val="single" w:color="000000" w:sz="4" w:space="0"/>
              <w:bottom w:val="single" w:color="000000" w:sz="4" w:space="0"/>
              <w:right w:val="single" w:color="000000" w:sz="4" w:space="0"/>
            </w:tcBorders>
            <w:vAlign w:val="bottom"/>
          </w:tcPr>
          <w:p w14:paraId="59BA81B8">
            <w:pPr>
              <w:widowControl w:val="0"/>
              <w:spacing w:line="192" w:lineRule="auto"/>
              <w:jc w:val="both"/>
              <w:rPr>
                <w:rFonts w:ascii="Arial" w:hAnsi="Arial" w:eastAsia="Arial" w:cs="Arial"/>
                <w:sz w:val="21"/>
                <w:szCs w:val="21"/>
              </w:rPr>
            </w:pPr>
            <w:r>
              <w:rPr>
                <w:rFonts w:ascii="Arial" w:hAnsi="Arial" w:eastAsia="Arial" w:cs="Arial"/>
                <w:sz w:val="21"/>
                <w:szCs w:val="21"/>
              </w:rPr>
              <w:t>Rua 01, s/n, Região do Bairro Alfredo de Castro, Avenida C, Arca "C'</w:t>
            </w:r>
          </w:p>
        </w:tc>
      </w:tr>
      <w:tr w14:paraId="535C69E9">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5D11AA2B">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09BA0B24">
            <w:pPr>
              <w:widowControl w:val="0"/>
              <w:spacing w:line="192" w:lineRule="auto"/>
              <w:rPr>
                <w:rFonts w:ascii="Arial" w:hAnsi="Arial" w:eastAsia="Arial" w:cs="Arial"/>
                <w:sz w:val="21"/>
                <w:szCs w:val="21"/>
              </w:rPr>
            </w:pPr>
            <w:r>
              <w:rPr>
                <w:rFonts w:ascii="Arial" w:hAnsi="Arial" w:eastAsia="Arial" w:cs="Arial"/>
                <w:b/>
                <w:sz w:val="21"/>
                <w:szCs w:val="21"/>
              </w:rPr>
              <w:t>EMEI Cora Coralina</w:t>
            </w:r>
          </w:p>
        </w:tc>
        <w:tc>
          <w:tcPr>
            <w:tcW w:w="3467" w:type="dxa"/>
            <w:tcBorders>
              <w:left w:val="single" w:color="000000" w:sz="4" w:space="0"/>
              <w:bottom w:val="single" w:color="000000" w:sz="4" w:space="0"/>
              <w:right w:val="single" w:color="000000" w:sz="4" w:space="0"/>
            </w:tcBorders>
            <w:vAlign w:val="bottom"/>
          </w:tcPr>
          <w:p w14:paraId="414A1D8C">
            <w:pPr>
              <w:widowControl w:val="0"/>
              <w:spacing w:line="192" w:lineRule="auto"/>
              <w:jc w:val="both"/>
              <w:rPr>
                <w:rFonts w:ascii="Arial" w:hAnsi="Arial" w:eastAsia="Arial" w:cs="Arial"/>
                <w:sz w:val="21"/>
                <w:szCs w:val="21"/>
              </w:rPr>
            </w:pPr>
            <w:r>
              <w:rPr>
                <w:rFonts w:ascii="Arial" w:hAnsi="Arial" w:eastAsia="Arial" w:cs="Arial"/>
                <w:sz w:val="21"/>
                <w:szCs w:val="21"/>
              </w:rPr>
              <w:t>R.Nª Senhora Aparecida,1025. Parque São Jorge. Cep78.735-815</w:t>
            </w:r>
          </w:p>
        </w:tc>
      </w:tr>
      <w:tr w14:paraId="68B8F3FB">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1B57F89F">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18E9B199">
            <w:pPr>
              <w:widowControl w:val="0"/>
              <w:spacing w:line="192" w:lineRule="auto"/>
              <w:rPr>
                <w:rFonts w:ascii="Arial" w:hAnsi="Arial" w:eastAsia="Arial" w:cs="Arial"/>
                <w:sz w:val="21"/>
                <w:szCs w:val="21"/>
              </w:rPr>
            </w:pPr>
            <w:r>
              <w:rPr>
                <w:rFonts w:ascii="Arial" w:hAnsi="Arial" w:eastAsia="Arial" w:cs="Arial"/>
                <w:b/>
                <w:sz w:val="21"/>
                <w:szCs w:val="21"/>
              </w:rPr>
              <w:t>UMEI José dos Reis Sales</w:t>
            </w:r>
          </w:p>
        </w:tc>
        <w:tc>
          <w:tcPr>
            <w:tcW w:w="3467" w:type="dxa"/>
            <w:tcBorders>
              <w:left w:val="single" w:color="000000" w:sz="4" w:space="0"/>
              <w:bottom w:val="single" w:color="000000" w:sz="4" w:space="0"/>
              <w:right w:val="single" w:color="000000" w:sz="4" w:space="0"/>
            </w:tcBorders>
            <w:vAlign w:val="bottom"/>
          </w:tcPr>
          <w:p w14:paraId="584EF925">
            <w:pPr>
              <w:widowControl w:val="0"/>
              <w:spacing w:line="192" w:lineRule="auto"/>
              <w:jc w:val="both"/>
              <w:rPr>
                <w:rFonts w:ascii="Arial" w:hAnsi="Arial" w:eastAsia="Arial" w:cs="Arial"/>
                <w:sz w:val="21"/>
                <w:szCs w:val="21"/>
              </w:rPr>
            </w:pPr>
            <w:r>
              <w:rPr>
                <w:rFonts w:ascii="Arial" w:hAnsi="Arial" w:eastAsia="Arial" w:cs="Arial"/>
                <w:sz w:val="21"/>
                <w:szCs w:val="21"/>
              </w:rPr>
              <w:t>Rua São Bento Parque São Jorge. Cep78.735-820</w:t>
            </w:r>
          </w:p>
        </w:tc>
      </w:tr>
      <w:tr w14:paraId="0D920B0C">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1A74C179">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0C2EF7E8">
            <w:pPr>
              <w:widowControl w:val="0"/>
              <w:spacing w:line="192" w:lineRule="auto"/>
              <w:rPr>
                <w:rFonts w:ascii="Arial" w:hAnsi="Arial" w:eastAsia="Arial" w:cs="Arial"/>
                <w:sz w:val="21"/>
                <w:szCs w:val="21"/>
              </w:rPr>
            </w:pPr>
            <w:r>
              <w:rPr>
                <w:rFonts w:ascii="Arial" w:hAnsi="Arial" w:eastAsia="Arial" w:cs="Arial"/>
                <w:b/>
                <w:sz w:val="21"/>
                <w:szCs w:val="21"/>
              </w:rPr>
              <w:t>CMEI Professora Vilma Moreira dos Santos</w:t>
            </w:r>
          </w:p>
        </w:tc>
        <w:tc>
          <w:tcPr>
            <w:tcW w:w="3467" w:type="dxa"/>
            <w:tcBorders>
              <w:left w:val="single" w:color="000000" w:sz="4" w:space="0"/>
              <w:bottom w:val="single" w:color="000000" w:sz="4" w:space="0"/>
              <w:right w:val="single" w:color="000000" w:sz="4" w:space="0"/>
            </w:tcBorders>
            <w:vAlign w:val="bottom"/>
          </w:tcPr>
          <w:p w14:paraId="00E9348F">
            <w:pPr>
              <w:widowControl w:val="0"/>
              <w:spacing w:line="192" w:lineRule="auto"/>
              <w:jc w:val="both"/>
              <w:rPr>
                <w:rFonts w:ascii="Arial" w:hAnsi="Arial" w:eastAsia="Arial" w:cs="Arial"/>
                <w:sz w:val="21"/>
                <w:szCs w:val="21"/>
              </w:rPr>
            </w:pPr>
            <w:r>
              <w:rPr>
                <w:rFonts w:ascii="Arial" w:hAnsi="Arial" w:eastAsia="Arial" w:cs="Arial"/>
                <w:sz w:val="21"/>
                <w:szCs w:val="21"/>
              </w:rPr>
              <w:t>R.I, 130 - Res. Das Orquídeas, Rondonópolis - MT, 78717-111</w:t>
            </w:r>
          </w:p>
        </w:tc>
      </w:tr>
      <w:tr w14:paraId="212FBEA5">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36BE8E92">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477059C2">
            <w:pPr>
              <w:widowControl w:val="0"/>
              <w:spacing w:line="192" w:lineRule="auto"/>
              <w:rPr>
                <w:rFonts w:ascii="Arial" w:hAnsi="Arial" w:eastAsia="Arial" w:cs="Arial"/>
                <w:sz w:val="21"/>
                <w:szCs w:val="21"/>
              </w:rPr>
            </w:pPr>
            <w:r>
              <w:rPr>
                <w:rFonts w:ascii="Arial" w:hAnsi="Arial" w:eastAsia="Arial" w:cs="Arial"/>
                <w:b/>
                <w:sz w:val="21"/>
                <w:szCs w:val="21"/>
              </w:rPr>
              <w:t>CMEI Maria Amélia se Araújo</w:t>
            </w:r>
          </w:p>
        </w:tc>
        <w:tc>
          <w:tcPr>
            <w:tcW w:w="3467" w:type="dxa"/>
            <w:tcBorders>
              <w:left w:val="single" w:color="000000" w:sz="4" w:space="0"/>
              <w:bottom w:val="single" w:color="000000" w:sz="4" w:space="0"/>
              <w:right w:val="single" w:color="000000" w:sz="4" w:space="0"/>
            </w:tcBorders>
            <w:vAlign w:val="bottom"/>
          </w:tcPr>
          <w:p w14:paraId="3C303A0C">
            <w:pPr>
              <w:widowControl w:val="0"/>
              <w:spacing w:line="192" w:lineRule="auto"/>
              <w:jc w:val="both"/>
              <w:rPr>
                <w:rFonts w:ascii="Arial" w:hAnsi="Arial" w:eastAsia="Arial" w:cs="Arial"/>
                <w:sz w:val="21"/>
                <w:szCs w:val="21"/>
              </w:rPr>
            </w:pPr>
            <w:r>
              <w:rPr>
                <w:rFonts w:ascii="Arial" w:hAnsi="Arial" w:eastAsia="Arial" w:cs="Arial"/>
                <w:sz w:val="21"/>
                <w:szCs w:val="21"/>
              </w:rPr>
              <w:t>Rua Osvaldo F. de Lima, nº 437 Bairro Dom Bosco. Cep 78.725-396</w:t>
            </w:r>
          </w:p>
        </w:tc>
      </w:tr>
      <w:tr w14:paraId="0D4E8F12">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3FB18314">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17FE6684">
            <w:pPr>
              <w:widowControl w:val="0"/>
              <w:spacing w:line="192" w:lineRule="auto"/>
              <w:rPr>
                <w:rFonts w:ascii="Arial" w:hAnsi="Arial" w:eastAsia="Arial" w:cs="Arial"/>
                <w:sz w:val="21"/>
                <w:szCs w:val="21"/>
              </w:rPr>
            </w:pPr>
            <w:r>
              <w:rPr>
                <w:rFonts w:ascii="Arial" w:hAnsi="Arial" w:eastAsia="Arial" w:cs="Arial"/>
                <w:b/>
                <w:sz w:val="21"/>
                <w:szCs w:val="21"/>
              </w:rPr>
              <w:t>CMEI Celina Fialho Bezerra</w:t>
            </w:r>
          </w:p>
        </w:tc>
        <w:tc>
          <w:tcPr>
            <w:tcW w:w="3467" w:type="dxa"/>
            <w:tcBorders>
              <w:left w:val="single" w:color="000000" w:sz="4" w:space="0"/>
              <w:bottom w:val="single" w:color="000000" w:sz="4" w:space="0"/>
              <w:right w:val="single" w:color="000000" w:sz="4" w:space="0"/>
            </w:tcBorders>
            <w:vAlign w:val="bottom"/>
          </w:tcPr>
          <w:p w14:paraId="15AF9E09">
            <w:pPr>
              <w:widowControl w:val="0"/>
              <w:spacing w:line="192" w:lineRule="auto"/>
              <w:jc w:val="both"/>
              <w:rPr>
                <w:rFonts w:ascii="Arial" w:hAnsi="Arial" w:eastAsia="Arial" w:cs="Arial"/>
                <w:sz w:val="21"/>
                <w:szCs w:val="21"/>
              </w:rPr>
            </w:pPr>
            <w:r>
              <w:rPr>
                <w:rFonts w:ascii="Arial" w:hAnsi="Arial" w:eastAsia="Arial" w:cs="Arial"/>
                <w:sz w:val="21"/>
                <w:szCs w:val="21"/>
              </w:rPr>
              <w:t>Rua Edson Pereira Lima Jd. Reis. Cep 78.719-025</w:t>
            </w:r>
          </w:p>
        </w:tc>
      </w:tr>
      <w:tr w14:paraId="7668D71C">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19D36A2D">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5E9D0282">
            <w:pPr>
              <w:widowControl w:val="0"/>
              <w:spacing w:line="192" w:lineRule="auto"/>
              <w:rPr>
                <w:rFonts w:ascii="Arial" w:hAnsi="Arial" w:eastAsia="Arial" w:cs="Arial"/>
                <w:sz w:val="21"/>
                <w:szCs w:val="21"/>
              </w:rPr>
            </w:pPr>
            <w:r>
              <w:rPr>
                <w:rFonts w:ascii="Arial" w:hAnsi="Arial" w:eastAsia="Arial" w:cs="Arial"/>
                <w:b/>
                <w:sz w:val="21"/>
                <w:szCs w:val="21"/>
              </w:rPr>
              <w:t>CMEI Professor Geraldo José de Oliveira</w:t>
            </w:r>
          </w:p>
        </w:tc>
        <w:tc>
          <w:tcPr>
            <w:tcW w:w="3467" w:type="dxa"/>
            <w:tcBorders>
              <w:left w:val="single" w:color="000000" w:sz="4" w:space="0"/>
              <w:bottom w:val="single" w:color="000000" w:sz="4" w:space="0"/>
              <w:right w:val="single" w:color="000000" w:sz="4" w:space="0"/>
            </w:tcBorders>
            <w:vAlign w:val="bottom"/>
          </w:tcPr>
          <w:p w14:paraId="48761DFA">
            <w:pPr>
              <w:widowControl w:val="0"/>
              <w:spacing w:line="192" w:lineRule="auto"/>
              <w:jc w:val="both"/>
              <w:rPr>
                <w:rFonts w:ascii="Arial" w:hAnsi="Arial" w:eastAsia="Arial" w:cs="Arial"/>
                <w:sz w:val="21"/>
                <w:szCs w:val="21"/>
              </w:rPr>
            </w:pPr>
            <w:r>
              <w:rPr>
                <w:rFonts w:ascii="Arial" w:hAnsi="Arial" w:eastAsia="Arial" w:cs="Arial"/>
                <w:sz w:val="21"/>
                <w:szCs w:val="21"/>
              </w:rPr>
              <w:t>Rua Vicente Pereira de Abreu, Esq. c/ Avenida João P. de Arruda</w:t>
            </w:r>
          </w:p>
        </w:tc>
      </w:tr>
      <w:tr w14:paraId="7BC4661F">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2F113E77">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43962748">
            <w:pPr>
              <w:widowControl w:val="0"/>
              <w:spacing w:line="192" w:lineRule="auto"/>
              <w:rPr>
                <w:rFonts w:ascii="Arial" w:hAnsi="Arial" w:eastAsia="Arial" w:cs="Arial"/>
                <w:sz w:val="21"/>
                <w:szCs w:val="21"/>
              </w:rPr>
            </w:pPr>
            <w:r>
              <w:rPr>
                <w:rFonts w:ascii="Arial" w:hAnsi="Arial" w:eastAsia="Arial" w:cs="Arial"/>
                <w:b/>
                <w:sz w:val="21"/>
                <w:szCs w:val="21"/>
              </w:rPr>
              <w:t>CMEI João Cesar Domingos da Silva</w:t>
            </w:r>
          </w:p>
        </w:tc>
        <w:tc>
          <w:tcPr>
            <w:tcW w:w="3467" w:type="dxa"/>
            <w:tcBorders>
              <w:left w:val="single" w:color="000000" w:sz="4" w:space="0"/>
              <w:bottom w:val="single" w:color="000000" w:sz="4" w:space="0"/>
              <w:right w:val="single" w:color="000000" w:sz="4" w:space="0"/>
            </w:tcBorders>
            <w:vAlign w:val="bottom"/>
          </w:tcPr>
          <w:p w14:paraId="726DDD01">
            <w:pPr>
              <w:widowControl w:val="0"/>
              <w:spacing w:line="192" w:lineRule="auto"/>
              <w:jc w:val="both"/>
              <w:rPr>
                <w:rFonts w:ascii="Arial" w:hAnsi="Arial" w:eastAsia="Arial" w:cs="Arial"/>
                <w:sz w:val="21"/>
                <w:szCs w:val="21"/>
              </w:rPr>
            </w:pPr>
            <w:r>
              <w:rPr>
                <w:rFonts w:ascii="Arial" w:hAnsi="Arial" w:eastAsia="Arial" w:cs="Arial"/>
                <w:sz w:val="21"/>
                <w:szCs w:val="21"/>
              </w:rPr>
              <w:t>Av. Dep Emanuel Pinheiro, 2020 – Jd Bela Vista cep 78.720-598</w:t>
            </w:r>
          </w:p>
        </w:tc>
      </w:tr>
      <w:tr w14:paraId="359F74AD">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388EAFB8">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54F7F471">
            <w:pPr>
              <w:widowControl w:val="0"/>
              <w:spacing w:line="192" w:lineRule="auto"/>
              <w:rPr>
                <w:rFonts w:ascii="Arial" w:hAnsi="Arial" w:eastAsia="Arial" w:cs="Arial"/>
                <w:sz w:val="21"/>
                <w:szCs w:val="21"/>
              </w:rPr>
            </w:pPr>
            <w:r>
              <w:rPr>
                <w:rFonts w:ascii="Arial" w:hAnsi="Arial" w:eastAsia="Arial" w:cs="Arial"/>
                <w:b/>
                <w:sz w:val="21"/>
                <w:szCs w:val="21"/>
              </w:rPr>
              <w:t>CMEI Bruna Cristina da Silva Santos</w:t>
            </w:r>
          </w:p>
        </w:tc>
        <w:tc>
          <w:tcPr>
            <w:tcW w:w="3467" w:type="dxa"/>
            <w:tcBorders>
              <w:left w:val="single" w:color="000000" w:sz="4" w:space="0"/>
              <w:bottom w:val="single" w:color="000000" w:sz="4" w:space="0"/>
              <w:right w:val="single" w:color="000000" w:sz="4" w:space="0"/>
            </w:tcBorders>
            <w:vAlign w:val="bottom"/>
          </w:tcPr>
          <w:p w14:paraId="476981A5">
            <w:pPr>
              <w:widowControl w:val="0"/>
              <w:spacing w:line="192" w:lineRule="auto"/>
              <w:jc w:val="both"/>
              <w:rPr>
                <w:rFonts w:ascii="Arial" w:hAnsi="Arial" w:eastAsia="Arial" w:cs="Arial"/>
                <w:sz w:val="21"/>
                <w:szCs w:val="21"/>
              </w:rPr>
            </w:pPr>
            <w:r>
              <w:rPr>
                <w:rFonts w:ascii="Arial" w:hAnsi="Arial" w:eastAsia="Arial" w:cs="Arial"/>
                <w:sz w:val="21"/>
                <w:szCs w:val="21"/>
              </w:rPr>
              <w:t>Rua Bahia, s/n , Jardim Itapuã cep 78.725-540</w:t>
            </w:r>
          </w:p>
        </w:tc>
      </w:tr>
      <w:tr w14:paraId="238B992B">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414BF39A">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19CD4439">
            <w:pPr>
              <w:widowControl w:val="0"/>
              <w:spacing w:line="192" w:lineRule="auto"/>
              <w:rPr>
                <w:rFonts w:ascii="Arial" w:hAnsi="Arial" w:eastAsia="Arial" w:cs="Arial"/>
                <w:sz w:val="21"/>
                <w:szCs w:val="21"/>
              </w:rPr>
            </w:pPr>
            <w:r>
              <w:rPr>
                <w:rFonts w:ascii="Arial" w:hAnsi="Arial" w:eastAsia="Arial" w:cs="Arial"/>
                <w:b/>
                <w:sz w:val="21"/>
                <w:szCs w:val="21"/>
              </w:rPr>
              <w:t>CMEI Hildegard Ebauchrowitz</w:t>
            </w:r>
          </w:p>
        </w:tc>
        <w:tc>
          <w:tcPr>
            <w:tcW w:w="3467" w:type="dxa"/>
            <w:tcBorders>
              <w:left w:val="single" w:color="000000" w:sz="4" w:space="0"/>
              <w:bottom w:val="single" w:color="000000" w:sz="4" w:space="0"/>
              <w:right w:val="single" w:color="000000" w:sz="4" w:space="0"/>
            </w:tcBorders>
            <w:vAlign w:val="bottom"/>
          </w:tcPr>
          <w:p w14:paraId="72BEFA0C">
            <w:pPr>
              <w:widowControl w:val="0"/>
              <w:spacing w:line="192" w:lineRule="auto"/>
              <w:jc w:val="both"/>
              <w:rPr>
                <w:rFonts w:ascii="Arial" w:hAnsi="Arial" w:eastAsia="Arial" w:cs="Arial"/>
                <w:sz w:val="21"/>
                <w:szCs w:val="21"/>
              </w:rPr>
            </w:pPr>
            <w:r>
              <w:rPr>
                <w:rFonts w:ascii="Arial" w:hAnsi="Arial" w:eastAsia="Arial" w:cs="Arial"/>
                <w:sz w:val="21"/>
                <w:szCs w:val="21"/>
              </w:rPr>
              <w:t>Rua Padre Ezequiel Ramin – Jardim Padre Rodolfo Lunkenbei cep 78.720-861</w:t>
            </w:r>
          </w:p>
        </w:tc>
      </w:tr>
      <w:tr w14:paraId="122C6FF9">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3D7FD55F">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6C2973AD">
            <w:pPr>
              <w:widowControl w:val="0"/>
              <w:spacing w:line="192" w:lineRule="auto"/>
              <w:rPr>
                <w:rFonts w:ascii="Arial" w:hAnsi="Arial" w:eastAsia="Arial" w:cs="Arial"/>
                <w:sz w:val="21"/>
                <w:szCs w:val="21"/>
              </w:rPr>
            </w:pPr>
            <w:r>
              <w:rPr>
                <w:rFonts w:ascii="Arial" w:hAnsi="Arial" w:eastAsia="Arial" w:cs="Arial"/>
                <w:b/>
                <w:sz w:val="21"/>
                <w:szCs w:val="21"/>
              </w:rPr>
              <w:t>CMEI Professor Alessandro Gomes de Jesus</w:t>
            </w:r>
          </w:p>
        </w:tc>
        <w:tc>
          <w:tcPr>
            <w:tcW w:w="3467" w:type="dxa"/>
            <w:tcBorders>
              <w:left w:val="single" w:color="000000" w:sz="4" w:space="0"/>
              <w:bottom w:val="single" w:color="000000" w:sz="4" w:space="0"/>
              <w:right w:val="single" w:color="000000" w:sz="4" w:space="0"/>
            </w:tcBorders>
            <w:vAlign w:val="bottom"/>
          </w:tcPr>
          <w:p w14:paraId="0D47AFB5">
            <w:pPr>
              <w:widowControl w:val="0"/>
              <w:spacing w:line="192" w:lineRule="auto"/>
              <w:jc w:val="both"/>
              <w:rPr>
                <w:rFonts w:ascii="Arial" w:hAnsi="Arial" w:eastAsia="Arial" w:cs="Arial"/>
                <w:sz w:val="21"/>
                <w:szCs w:val="21"/>
              </w:rPr>
            </w:pPr>
            <w:r>
              <w:rPr>
                <w:rFonts w:ascii="Arial" w:hAnsi="Arial" w:eastAsia="Arial" w:cs="Arial"/>
                <w:sz w:val="21"/>
                <w:szCs w:val="21"/>
              </w:rPr>
              <w:t>RESIDENCIAL - Rua NOVE, 54 - Jardim das Hortências, Rondonópolis - MT, 78717-700</w:t>
            </w:r>
          </w:p>
        </w:tc>
      </w:tr>
      <w:tr w14:paraId="1E42DFD6">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4DD0664B">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4EF125FC">
            <w:pPr>
              <w:widowControl w:val="0"/>
              <w:spacing w:line="192" w:lineRule="auto"/>
              <w:rPr>
                <w:rFonts w:ascii="Arial" w:hAnsi="Arial" w:eastAsia="Arial" w:cs="Arial"/>
                <w:sz w:val="21"/>
                <w:szCs w:val="21"/>
              </w:rPr>
            </w:pPr>
            <w:r>
              <w:rPr>
                <w:rFonts w:ascii="Arial" w:hAnsi="Arial" w:eastAsia="Arial" w:cs="Arial"/>
                <w:b/>
                <w:sz w:val="21"/>
                <w:szCs w:val="21"/>
              </w:rPr>
              <w:t>UMEI Charmene Rosa da Silva</w:t>
            </w:r>
          </w:p>
        </w:tc>
        <w:tc>
          <w:tcPr>
            <w:tcW w:w="3467" w:type="dxa"/>
            <w:tcBorders>
              <w:left w:val="single" w:color="000000" w:sz="4" w:space="0"/>
              <w:bottom w:val="single" w:color="000000" w:sz="4" w:space="0"/>
              <w:right w:val="single" w:color="000000" w:sz="4" w:space="0"/>
            </w:tcBorders>
            <w:vAlign w:val="bottom"/>
          </w:tcPr>
          <w:p w14:paraId="144B0D1D">
            <w:pPr>
              <w:widowControl w:val="0"/>
              <w:spacing w:line="192" w:lineRule="auto"/>
              <w:jc w:val="both"/>
              <w:rPr>
                <w:rFonts w:ascii="Arial" w:hAnsi="Arial" w:eastAsia="Arial" w:cs="Arial"/>
                <w:sz w:val="21"/>
                <w:szCs w:val="21"/>
              </w:rPr>
            </w:pPr>
            <w:r>
              <w:rPr>
                <w:rFonts w:ascii="Arial" w:hAnsi="Arial" w:eastAsia="Arial" w:cs="Arial"/>
                <w:sz w:val="21"/>
                <w:szCs w:val="21"/>
              </w:rPr>
              <w:t>R. Getúlio Vargas,s/n Jardim Nilmara. Cep78.720-570</w:t>
            </w:r>
          </w:p>
        </w:tc>
      </w:tr>
      <w:tr w14:paraId="60E8893F">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0691E778">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26698817">
            <w:pPr>
              <w:widowControl w:val="0"/>
              <w:spacing w:line="192" w:lineRule="auto"/>
              <w:rPr>
                <w:rFonts w:ascii="Arial" w:hAnsi="Arial" w:eastAsia="Arial" w:cs="Arial"/>
                <w:sz w:val="21"/>
                <w:szCs w:val="21"/>
              </w:rPr>
            </w:pPr>
            <w:r>
              <w:rPr>
                <w:rFonts w:ascii="Arial" w:hAnsi="Arial" w:eastAsia="Arial" w:cs="Arial"/>
                <w:b/>
                <w:sz w:val="21"/>
                <w:szCs w:val="21"/>
              </w:rPr>
              <w:t>CMEI  Prof. Giovanni Gomes Moreira</w:t>
            </w:r>
          </w:p>
        </w:tc>
        <w:tc>
          <w:tcPr>
            <w:tcW w:w="3467" w:type="dxa"/>
            <w:tcBorders>
              <w:left w:val="single" w:color="000000" w:sz="4" w:space="0"/>
              <w:bottom w:val="single" w:color="000000" w:sz="4" w:space="0"/>
              <w:right w:val="single" w:color="000000" w:sz="4" w:space="0"/>
            </w:tcBorders>
            <w:vAlign w:val="bottom"/>
          </w:tcPr>
          <w:p w14:paraId="39969540">
            <w:pPr>
              <w:widowControl w:val="0"/>
              <w:spacing w:line="192" w:lineRule="auto"/>
              <w:jc w:val="both"/>
              <w:rPr>
                <w:rFonts w:ascii="Arial" w:hAnsi="Arial" w:eastAsia="Arial" w:cs="Arial"/>
                <w:sz w:val="21"/>
                <w:szCs w:val="21"/>
              </w:rPr>
            </w:pPr>
            <w:r>
              <w:rPr>
                <w:rFonts w:ascii="Arial" w:hAnsi="Arial" w:eastAsia="Arial" w:cs="Arial"/>
                <w:sz w:val="21"/>
                <w:szCs w:val="21"/>
              </w:rPr>
              <w:t>Rua F nº 08, Bairro Ana Carla Muniz II. Cep78.746-112</w:t>
            </w:r>
          </w:p>
        </w:tc>
      </w:tr>
      <w:tr w14:paraId="39378EEF">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53E61D49">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3DFE6CD6">
            <w:pPr>
              <w:widowControl w:val="0"/>
              <w:spacing w:line="192" w:lineRule="auto"/>
              <w:rPr>
                <w:rFonts w:ascii="Arial" w:hAnsi="Arial" w:eastAsia="Arial" w:cs="Arial"/>
                <w:sz w:val="21"/>
                <w:szCs w:val="21"/>
              </w:rPr>
            </w:pPr>
            <w:r>
              <w:rPr>
                <w:rFonts w:ascii="Arial" w:hAnsi="Arial" w:eastAsia="Arial" w:cs="Arial"/>
                <w:b/>
                <w:sz w:val="21"/>
                <w:szCs w:val="21"/>
              </w:rPr>
              <w:t>CMEI Joana Maria dos anjos Meireles</w:t>
            </w:r>
          </w:p>
        </w:tc>
        <w:tc>
          <w:tcPr>
            <w:tcW w:w="3467" w:type="dxa"/>
            <w:tcBorders>
              <w:left w:val="single" w:color="000000" w:sz="4" w:space="0"/>
              <w:bottom w:val="single" w:color="000000" w:sz="4" w:space="0"/>
              <w:right w:val="single" w:color="000000" w:sz="4" w:space="0"/>
            </w:tcBorders>
            <w:vAlign w:val="bottom"/>
          </w:tcPr>
          <w:p w14:paraId="64A2161F">
            <w:pPr>
              <w:widowControl w:val="0"/>
              <w:spacing w:line="192" w:lineRule="auto"/>
              <w:jc w:val="both"/>
              <w:rPr>
                <w:rFonts w:ascii="Arial" w:hAnsi="Arial" w:eastAsia="Arial" w:cs="Arial"/>
                <w:sz w:val="21"/>
                <w:szCs w:val="21"/>
              </w:rPr>
            </w:pPr>
            <w:r>
              <w:rPr>
                <w:rFonts w:ascii="Arial" w:hAnsi="Arial" w:eastAsia="Arial" w:cs="Arial"/>
                <w:sz w:val="21"/>
                <w:szCs w:val="21"/>
              </w:rPr>
              <w:t>Rua C, s/n Bairro Tancredo Neves. Cep78.750-765</w:t>
            </w:r>
          </w:p>
        </w:tc>
      </w:tr>
      <w:tr w14:paraId="73BF20BE">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23734157">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179E6A45">
            <w:pPr>
              <w:widowControl w:val="0"/>
              <w:spacing w:line="192" w:lineRule="auto"/>
              <w:rPr>
                <w:rFonts w:ascii="Arial" w:hAnsi="Arial" w:eastAsia="Arial" w:cs="Arial"/>
                <w:sz w:val="21"/>
                <w:szCs w:val="21"/>
              </w:rPr>
            </w:pPr>
            <w:r>
              <w:rPr>
                <w:rFonts w:ascii="Arial" w:hAnsi="Arial" w:eastAsia="Arial" w:cs="Arial"/>
                <w:b/>
                <w:sz w:val="21"/>
                <w:szCs w:val="21"/>
              </w:rPr>
              <w:t>CMEI  Iracy Pereira da Conceição Araújo</w:t>
            </w:r>
          </w:p>
        </w:tc>
        <w:tc>
          <w:tcPr>
            <w:tcW w:w="3467" w:type="dxa"/>
            <w:tcBorders>
              <w:left w:val="single" w:color="000000" w:sz="4" w:space="0"/>
              <w:bottom w:val="single" w:color="000000" w:sz="4" w:space="0"/>
              <w:right w:val="single" w:color="000000" w:sz="4" w:space="0"/>
            </w:tcBorders>
            <w:vAlign w:val="bottom"/>
          </w:tcPr>
          <w:p w14:paraId="335F8D5E">
            <w:pPr>
              <w:widowControl w:val="0"/>
              <w:spacing w:line="192" w:lineRule="auto"/>
              <w:jc w:val="both"/>
              <w:rPr>
                <w:rFonts w:ascii="Arial" w:hAnsi="Arial" w:eastAsia="Arial" w:cs="Arial"/>
                <w:sz w:val="21"/>
                <w:szCs w:val="21"/>
              </w:rPr>
            </w:pPr>
            <w:r>
              <w:rPr>
                <w:rFonts w:ascii="Arial" w:hAnsi="Arial" w:eastAsia="Arial" w:cs="Arial"/>
                <w:sz w:val="21"/>
                <w:szCs w:val="21"/>
              </w:rPr>
              <w:t>Av. Das Perdizes s/n Jd. Das Paineiras. Cep78.750-050</w:t>
            </w:r>
          </w:p>
        </w:tc>
      </w:tr>
      <w:tr w14:paraId="05E605D0">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065811D0">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7BB0048B">
            <w:pPr>
              <w:widowControl w:val="0"/>
              <w:spacing w:line="192" w:lineRule="auto"/>
              <w:rPr>
                <w:rFonts w:ascii="Arial" w:hAnsi="Arial" w:eastAsia="Arial" w:cs="Arial"/>
                <w:sz w:val="21"/>
                <w:szCs w:val="21"/>
              </w:rPr>
            </w:pPr>
            <w:r>
              <w:rPr>
                <w:rFonts w:ascii="Arial" w:hAnsi="Arial" w:eastAsia="Arial" w:cs="Arial"/>
                <w:b/>
                <w:sz w:val="21"/>
                <w:szCs w:val="21"/>
              </w:rPr>
              <w:t>CMEI Professora Ivan Santos Arruda</w:t>
            </w:r>
          </w:p>
        </w:tc>
        <w:tc>
          <w:tcPr>
            <w:tcW w:w="3467" w:type="dxa"/>
            <w:tcBorders>
              <w:left w:val="single" w:color="000000" w:sz="4" w:space="0"/>
              <w:bottom w:val="single" w:color="000000" w:sz="4" w:space="0"/>
              <w:right w:val="single" w:color="000000" w:sz="4" w:space="0"/>
            </w:tcBorders>
            <w:vAlign w:val="bottom"/>
          </w:tcPr>
          <w:p w14:paraId="2AAB3A3D">
            <w:pPr>
              <w:widowControl w:val="0"/>
              <w:spacing w:line="192" w:lineRule="auto"/>
              <w:jc w:val="both"/>
              <w:rPr>
                <w:rFonts w:ascii="Arial" w:hAnsi="Arial" w:eastAsia="Arial" w:cs="Arial"/>
                <w:sz w:val="21"/>
                <w:szCs w:val="21"/>
              </w:rPr>
            </w:pPr>
            <w:r>
              <w:rPr>
                <w:rFonts w:ascii="Arial" w:hAnsi="Arial" w:eastAsia="Arial" w:cs="Arial"/>
                <w:sz w:val="21"/>
                <w:szCs w:val="21"/>
              </w:rPr>
              <w:t>R. das Garça., s/n , Pq. Universitário. Cep 78.750-210</w:t>
            </w:r>
          </w:p>
        </w:tc>
      </w:tr>
      <w:tr w14:paraId="7C24F483">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6479B342">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2BDEDBBF">
            <w:pPr>
              <w:widowControl w:val="0"/>
              <w:spacing w:line="192" w:lineRule="auto"/>
              <w:rPr>
                <w:rFonts w:ascii="Arial" w:hAnsi="Arial" w:eastAsia="Arial" w:cs="Arial"/>
                <w:sz w:val="21"/>
                <w:szCs w:val="21"/>
              </w:rPr>
            </w:pPr>
            <w:r>
              <w:rPr>
                <w:rFonts w:ascii="Arial" w:hAnsi="Arial" w:eastAsia="Arial" w:cs="Arial"/>
                <w:b/>
                <w:sz w:val="21"/>
                <w:szCs w:val="21"/>
              </w:rPr>
              <w:t>CMEITI Carlos Alberto de Carvalho</w:t>
            </w:r>
          </w:p>
        </w:tc>
        <w:tc>
          <w:tcPr>
            <w:tcW w:w="3467" w:type="dxa"/>
            <w:tcBorders>
              <w:left w:val="single" w:color="000000" w:sz="4" w:space="0"/>
              <w:bottom w:val="single" w:color="000000" w:sz="4" w:space="0"/>
              <w:right w:val="single" w:color="000000" w:sz="4" w:space="0"/>
            </w:tcBorders>
            <w:vAlign w:val="bottom"/>
          </w:tcPr>
          <w:p w14:paraId="1FA0F007">
            <w:pPr>
              <w:widowControl w:val="0"/>
              <w:spacing w:line="192" w:lineRule="auto"/>
              <w:jc w:val="both"/>
              <w:rPr>
                <w:rFonts w:ascii="Arial" w:hAnsi="Arial" w:eastAsia="Arial" w:cs="Arial"/>
                <w:sz w:val="21"/>
                <w:szCs w:val="21"/>
              </w:rPr>
            </w:pPr>
            <w:r>
              <w:rPr>
                <w:rFonts w:ascii="Arial" w:hAnsi="Arial" w:eastAsia="Arial" w:cs="Arial"/>
                <w:sz w:val="21"/>
                <w:szCs w:val="21"/>
              </w:rPr>
              <w:t>Rua Membira, 2. Alfredo de Castro Parque Rosa Bororo - CEP: 78736-318</w:t>
            </w:r>
          </w:p>
        </w:tc>
      </w:tr>
      <w:tr w14:paraId="3C6D93B4">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30C539BB">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19448364">
            <w:pPr>
              <w:widowControl w:val="0"/>
              <w:spacing w:line="192" w:lineRule="auto"/>
              <w:rPr>
                <w:rFonts w:ascii="Arial" w:hAnsi="Arial" w:eastAsia="Arial" w:cs="Arial"/>
                <w:sz w:val="21"/>
                <w:szCs w:val="21"/>
              </w:rPr>
            </w:pPr>
            <w:r>
              <w:rPr>
                <w:rFonts w:ascii="Arial" w:hAnsi="Arial" w:eastAsia="Arial" w:cs="Arial"/>
                <w:b/>
                <w:sz w:val="21"/>
                <w:szCs w:val="21"/>
              </w:rPr>
              <w:t>CMEITI  Natália Junqueira Botelho de Azevedo</w:t>
            </w:r>
          </w:p>
        </w:tc>
        <w:tc>
          <w:tcPr>
            <w:tcW w:w="3467" w:type="dxa"/>
            <w:tcBorders>
              <w:left w:val="single" w:color="000000" w:sz="4" w:space="0"/>
              <w:bottom w:val="single" w:color="000000" w:sz="4" w:space="0"/>
              <w:right w:val="single" w:color="000000" w:sz="4" w:space="0"/>
            </w:tcBorders>
            <w:vAlign w:val="bottom"/>
          </w:tcPr>
          <w:p w14:paraId="74715F9A">
            <w:pPr>
              <w:widowControl w:val="0"/>
              <w:spacing w:line="192" w:lineRule="auto"/>
              <w:jc w:val="both"/>
              <w:rPr>
                <w:rFonts w:ascii="Arial" w:hAnsi="Arial" w:eastAsia="Arial" w:cs="Arial"/>
                <w:sz w:val="21"/>
                <w:szCs w:val="21"/>
              </w:rPr>
            </w:pPr>
            <w:r>
              <w:rPr>
                <w:rFonts w:ascii="Arial" w:hAnsi="Arial" w:eastAsia="Arial" w:cs="Arial"/>
                <w:sz w:val="21"/>
                <w:szCs w:val="21"/>
              </w:rPr>
              <w:t>Avenida Asa Branca, esquina com a Rua 9 - Bairro Pedra 90 – CEP - 78746-575</w:t>
            </w:r>
          </w:p>
        </w:tc>
      </w:tr>
      <w:tr w14:paraId="67C29BF3">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52C82480">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632D209C">
            <w:pPr>
              <w:widowControl w:val="0"/>
              <w:spacing w:line="192" w:lineRule="auto"/>
              <w:rPr>
                <w:rFonts w:ascii="Arial" w:hAnsi="Arial" w:eastAsia="Arial" w:cs="Arial"/>
                <w:sz w:val="21"/>
                <w:szCs w:val="21"/>
              </w:rPr>
            </w:pPr>
            <w:r>
              <w:rPr>
                <w:rFonts w:ascii="Arial" w:hAnsi="Arial" w:eastAsia="Arial" w:cs="Arial"/>
                <w:b/>
                <w:sz w:val="21"/>
                <w:szCs w:val="21"/>
              </w:rPr>
              <w:t>CMEI Jonas Nunes Cavalcante</w:t>
            </w:r>
          </w:p>
        </w:tc>
        <w:tc>
          <w:tcPr>
            <w:tcW w:w="3467" w:type="dxa"/>
            <w:tcBorders>
              <w:left w:val="single" w:color="000000" w:sz="4" w:space="0"/>
              <w:bottom w:val="single" w:color="000000" w:sz="4" w:space="0"/>
              <w:right w:val="single" w:color="000000" w:sz="4" w:space="0"/>
            </w:tcBorders>
            <w:vAlign w:val="bottom"/>
          </w:tcPr>
          <w:p w14:paraId="5548DFE8">
            <w:pPr>
              <w:widowControl w:val="0"/>
              <w:spacing w:line="192" w:lineRule="auto"/>
              <w:jc w:val="both"/>
              <w:rPr>
                <w:rFonts w:ascii="Arial" w:hAnsi="Arial" w:eastAsia="Arial" w:cs="Arial"/>
                <w:sz w:val="21"/>
                <w:szCs w:val="21"/>
              </w:rPr>
            </w:pPr>
            <w:r>
              <w:rPr>
                <w:rFonts w:ascii="Arial" w:hAnsi="Arial" w:eastAsia="Arial" w:cs="Arial"/>
                <w:sz w:val="21"/>
                <w:szCs w:val="21"/>
              </w:rPr>
              <w:t>Av. Tiradentes, lote 3 B4, Centro. Cep78.700-028</w:t>
            </w:r>
          </w:p>
        </w:tc>
      </w:tr>
      <w:tr w14:paraId="7713458B">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2FE59CDC">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16BF66C3">
            <w:pPr>
              <w:widowControl w:val="0"/>
              <w:spacing w:line="192" w:lineRule="auto"/>
              <w:rPr>
                <w:rFonts w:ascii="Arial" w:hAnsi="Arial" w:eastAsia="Arial" w:cs="Arial"/>
                <w:sz w:val="21"/>
                <w:szCs w:val="21"/>
              </w:rPr>
            </w:pPr>
            <w:r>
              <w:rPr>
                <w:rFonts w:ascii="Arial" w:hAnsi="Arial" w:eastAsia="Arial" w:cs="Arial"/>
                <w:b/>
                <w:sz w:val="21"/>
                <w:szCs w:val="21"/>
              </w:rPr>
              <w:t>CMEI José Antônio de Oliveira</w:t>
            </w:r>
          </w:p>
        </w:tc>
        <w:tc>
          <w:tcPr>
            <w:tcW w:w="3467" w:type="dxa"/>
            <w:tcBorders>
              <w:left w:val="single" w:color="000000" w:sz="4" w:space="0"/>
              <w:bottom w:val="single" w:color="000000" w:sz="4" w:space="0"/>
              <w:right w:val="single" w:color="000000" w:sz="4" w:space="0"/>
            </w:tcBorders>
            <w:vAlign w:val="bottom"/>
          </w:tcPr>
          <w:p w14:paraId="47D5FB37">
            <w:pPr>
              <w:widowControl w:val="0"/>
              <w:spacing w:line="192" w:lineRule="auto"/>
              <w:jc w:val="both"/>
              <w:rPr>
                <w:rFonts w:ascii="Arial" w:hAnsi="Arial" w:eastAsia="Arial" w:cs="Arial"/>
                <w:sz w:val="21"/>
                <w:szCs w:val="21"/>
              </w:rPr>
            </w:pPr>
            <w:r>
              <w:rPr>
                <w:rFonts w:ascii="Arial" w:hAnsi="Arial" w:eastAsia="Arial" w:cs="Arial"/>
                <w:sz w:val="21"/>
                <w:szCs w:val="21"/>
              </w:rPr>
              <w:t>R. Papa João XXIII, 1.319, Vila Cardoso. Cep78.730-103</w:t>
            </w:r>
          </w:p>
        </w:tc>
      </w:tr>
      <w:tr w14:paraId="0967BAC4">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395FDA29">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2D4129B1">
            <w:pPr>
              <w:widowControl w:val="0"/>
              <w:spacing w:line="192" w:lineRule="auto"/>
              <w:rPr>
                <w:rFonts w:ascii="Arial" w:hAnsi="Arial" w:eastAsia="Arial" w:cs="Arial"/>
                <w:sz w:val="21"/>
                <w:szCs w:val="21"/>
              </w:rPr>
            </w:pPr>
            <w:r>
              <w:rPr>
                <w:rFonts w:ascii="Arial" w:hAnsi="Arial" w:eastAsia="Arial" w:cs="Arial"/>
                <w:b/>
                <w:sz w:val="21"/>
                <w:szCs w:val="21"/>
              </w:rPr>
              <w:t>CMEI Antônio Vanier de Oliveira</w:t>
            </w:r>
          </w:p>
        </w:tc>
        <w:tc>
          <w:tcPr>
            <w:tcW w:w="3467" w:type="dxa"/>
            <w:tcBorders>
              <w:left w:val="single" w:color="000000" w:sz="4" w:space="0"/>
              <w:bottom w:val="single" w:color="000000" w:sz="4" w:space="0"/>
              <w:right w:val="single" w:color="000000" w:sz="4" w:space="0"/>
            </w:tcBorders>
            <w:vAlign w:val="bottom"/>
          </w:tcPr>
          <w:p w14:paraId="37E93A20">
            <w:pPr>
              <w:widowControl w:val="0"/>
              <w:spacing w:line="192" w:lineRule="auto"/>
              <w:jc w:val="both"/>
              <w:rPr>
                <w:rFonts w:ascii="Arial" w:hAnsi="Arial" w:eastAsia="Arial" w:cs="Arial"/>
                <w:sz w:val="21"/>
                <w:szCs w:val="21"/>
              </w:rPr>
            </w:pPr>
            <w:r>
              <w:rPr>
                <w:rFonts w:ascii="Arial" w:hAnsi="Arial" w:eastAsia="Arial" w:cs="Arial"/>
                <w:sz w:val="21"/>
                <w:szCs w:val="21"/>
              </w:rPr>
              <w:t>Rua Rio Grande do Sul, 41 – Cidade Salmen cep 78705-154</w:t>
            </w:r>
          </w:p>
        </w:tc>
      </w:tr>
      <w:tr w14:paraId="7ED9DC07">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6B749C36">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7399A77E">
            <w:pPr>
              <w:widowControl w:val="0"/>
              <w:spacing w:line="192" w:lineRule="auto"/>
              <w:rPr>
                <w:rFonts w:ascii="Arial" w:hAnsi="Arial" w:eastAsia="Arial" w:cs="Arial"/>
                <w:sz w:val="21"/>
                <w:szCs w:val="21"/>
              </w:rPr>
            </w:pPr>
            <w:r>
              <w:rPr>
                <w:rFonts w:ascii="Arial" w:hAnsi="Arial" w:eastAsia="Arial" w:cs="Arial"/>
                <w:b/>
                <w:sz w:val="21"/>
                <w:szCs w:val="21"/>
              </w:rPr>
              <w:t xml:space="preserve"> CMEI Natália Máximo Lima</w:t>
            </w:r>
          </w:p>
        </w:tc>
        <w:tc>
          <w:tcPr>
            <w:tcW w:w="3467" w:type="dxa"/>
            <w:tcBorders>
              <w:left w:val="single" w:color="000000" w:sz="4" w:space="0"/>
              <w:bottom w:val="single" w:color="000000" w:sz="4" w:space="0"/>
              <w:right w:val="single" w:color="000000" w:sz="4" w:space="0"/>
            </w:tcBorders>
            <w:vAlign w:val="bottom"/>
          </w:tcPr>
          <w:p w14:paraId="68BB91EB">
            <w:pPr>
              <w:widowControl w:val="0"/>
              <w:spacing w:line="192" w:lineRule="auto"/>
              <w:jc w:val="both"/>
              <w:rPr>
                <w:rFonts w:ascii="Arial" w:hAnsi="Arial" w:eastAsia="Arial" w:cs="Arial"/>
                <w:sz w:val="21"/>
                <w:szCs w:val="21"/>
              </w:rPr>
            </w:pPr>
            <w:r>
              <w:rPr>
                <w:rFonts w:ascii="Arial" w:hAnsi="Arial" w:eastAsia="Arial" w:cs="Arial"/>
                <w:sz w:val="21"/>
                <w:szCs w:val="21"/>
              </w:rPr>
              <w:t>R.B, s/n - Vila Rosely, Rondonópolis - MT, 78745-530</w:t>
            </w:r>
          </w:p>
        </w:tc>
      </w:tr>
      <w:tr w14:paraId="0B6F27A6">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06DAFBD2">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19FB63C2">
            <w:pPr>
              <w:widowControl w:val="0"/>
              <w:spacing w:line="192" w:lineRule="auto"/>
              <w:rPr>
                <w:rFonts w:ascii="Arial" w:hAnsi="Arial" w:eastAsia="Arial" w:cs="Arial"/>
                <w:sz w:val="21"/>
                <w:szCs w:val="21"/>
              </w:rPr>
            </w:pPr>
            <w:r>
              <w:rPr>
                <w:rFonts w:ascii="Arial" w:hAnsi="Arial" w:eastAsia="Arial" w:cs="Arial"/>
                <w:b/>
                <w:sz w:val="21"/>
                <w:szCs w:val="21"/>
              </w:rPr>
              <w:t>CMEI Rita Maria correia</w:t>
            </w:r>
          </w:p>
        </w:tc>
        <w:tc>
          <w:tcPr>
            <w:tcW w:w="3467" w:type="dxa"/>
            <w:tcBorders>
              <w:left w:val="single" w:color="000000" w:sz="4" w:space="0"/>
              <w:bottom w:val="single" w:color="000000" w:sz="4" w:space="0"/>
              <w:right w:val="single" w:color="000000" w:sz="4" w:space="0"/>
            </w:tcBorders>
            <w:vAlign w:val="bottom"/>
          </w:tcPr>
          <w:p w14:paraId="5C2ED35B">
            <w:pPr>
              <w:widowControl w:val="0"/>
              <w:spacing w:line="192" w:lineRule="auto"/>
              <w:jc w:val="both"/>
              <w:rPr>
                <w:rFonts w:ascii="Arial" w:hAnsi="Arial" w:eastAsia="Arial" w:cs="Arial"/>
                <w:sz w:val="21"/>
                <w:szCs w:val="21"/>
              </w:rPr>
            </w:pPr>
            <w:r>
              <w:rPr>
                <w:rFonts w:ascii="Arial" w:hAnsi="Arial" w:eastAsia="Arial" w:cs="Arial"/>
                <w:sz w:val="21"/>
                <w:szCs w:val="21"/>
              </w:rPr>
              <w:t>Rua Rio de Janeiro, Quadra J, Lote 3A, Bairro Jardim Belo Horizonte</w:t>
            </w:r>
          </w:p>
        </w:tc>
      </w:tr>
      <w:tr w14:paraId="78AC37EB">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4250B9C3">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2DF338FF">
            <w:pPr>
              <w:widowControl w:val="0"/>
              <w:spacing w:line="192" w:lineRule="auto"/>
              <w:rPr>
                <w:rFonts w:ascii="Arial" w:hAnsi="Arial" w:eastAsia="Arial" w:cs="Arial"/>
                <w:sz w:val="21"/>
                <w:szCs w:val="21"/>
              </w:rPr>
            </w:pPr>
            <w:r>
              <w:rPr>
                <w:rFonts w:ascii="Arial" w:hAnsi="Arial" w:eastAsia="Arial" w:cs="Arial"/>
                <w:b/>
                <w:sz w:val="21"/>
                <w:szCs w:val="21"/>
              </w:rPr>
              <w:t>CMEI Maria das Graças de Souza</w:t>
            </w:r>
          </w:p>
        </w:tc>
        <w:tc>
          <w:tcPr>
            <w:tcW w:w="3467" w:type="dxa"/>
            <w:tcBorders>
              <w:left w:val="single" w:color="000000" w:sz="4" w:space="0"/>
              <w:bottom w:val="single" w:color="000000" w:sz="4" w:space="0"/>
              <w:right w:val="single" w:color="000000" w:sz="4" w:space="0"/>
            </w:tcBorders>
            <w:vAlign w:val="bottom"/>
          </w:tcPr>
          <w:p w14:paraId="66DE493B">
            <w:pPr>
              <w:widowControl w:val="0"/>
              <w:spacing w:line="192" w:lineRule="auto"/>
              <w:jc w:val="both"/>
              <w:rPr>
                <w:rFonts w:ascii="Arial" w:hAnsi="Arial" w:eastAsia="Arial" w:cs="Arial"/>
                <w:sz w:val="21"/>
                <w:szCs w:val="21"/>
              </w:rPr>
            </w:pPr>
            <w:r>
              <w:rPr>
                <w:rFonts w:ascii="Arial" w:hAnsi="Arial" w:eastAsia="Arial" w:cs="Arial"/>
                <w:sz w:val="21"/>
                <w:szCs w:val="21"/>
              </w:rPr>
              <w:t>Av. Casemiro de Abreu,184- Jardim Monte Libano          CEP: 78710-265</w:t>
            </w:r>
          </w:p>
        </w:tc>
      </w:tr>
      <w:tr w14:paraId="7C5560F7">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01EA2A43">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0F63F16F">
            <w:pPr>
              <w:widowControl w:val="0"/>
              <w:spacing w:line="192" w:lineRule="auto"/>
              <w:rPr>
                <w:rFonts w:ascii="Arial" w:hAnsi="Arial" w:eastAsia="Arial" w:cs="Arial"/>
                <w:sz w:val="21"/>
                <w:szCs w:val="21"/>
              </w:rPr>
            </w:pPr>
            <w:r>
              <w:rPr>
                <w:rFonts w:ascii="Arial" w:hAnsi="Arial" w:eastAsia="Arial" w:cs="Arial"/>
                <w:b/>
                <w:sz w:val="21"/>
                <w:szCs w:val="21"/>
              </w:rPr>
              <w:t>CMEITI Maria de Souza Miranda</w:t>
            </w:r>
          </w:p>
        </w:tc>
        <w:tc>
          <w:tcPr>
            <w:tcW w:w="3467" w:type="dxa"/>
            <w:tcBorders>
              <w:left w:val="single" w:color="000000" w:sz="4" w:space="0"/>
              <w:bottom w:val="single" w:color="000000" w:sz="4" w:space="0"/>
              <w:right w:val="single" w:color="000000" w:sz="4" w:space="0"/>
            </w:tcBorders>
            <w:vAlign w:val="bottom"/>
          </w:tcPr>
          <w:p w14:paraId="0831DF6F">
            <w:pPr>
              <w:widowControl w:val="0"/>
              <w:spacing w:line="192" w:lineRule="auto"/>
              <w:jc w:val="both"/>
              <w:rPr>
                <w:rFonts w:ascii="Arial" w:hAnsi="Arial" w:eastAsia="Arial" w:cs="Arial"/>
                <w:sz w:val="21"/>
                <w:szCs w:val="21"/>
              </w:rPr>
            </w:pPr>
            <w:r>
              <w:rPr>
                <w:rFonts w:ascii="Arial" w:hAnsi="Arial" w:eastAsia="Arial" w:cs="Arial"/>
                <w:sz w:val="21"/>
                <w:szCs w:val="21"/>
              </w:rPr>
              <w:t>Avenida B, área institucional 1, Bairro Jardim Maria Amélia Araújo</w:t>
            </w:r>
          </w:p>
        </w:tc>
      </w:tr>
      <w:tr w14:paraId="71A1460A">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7275D40C">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2D54B4FD">
            <w:pPr>
              <w:widowControl w:val="0"/>
              <w:spacing w:line="192" w:lineRule="auto"/>
              <w:rPr>
                <w:rFonts w:ascii="Arial" w:hAnsi="Arial" w:eastAsia="Arial" w:cs="Arial"/>
                <w:sz w:val="21"/>
                <w:szCs w:val="21"/>
              </w:rPr>
            </w:pPr>
            <w:r>
              <w:rPr>
                <w:rFonts w:ascii="Arial" w:hAnsi="Arial" w:eastAsia="Arial" w:cs="Arial"/>
                <w:b/>
                <w:sz w:val="21"/>
                <w:szCs w:val="21"/>
              </w:rPr>
              <w:t>CMEI João Lopes da Silva</w:t>
            </w:r>
          </w:p>
        </w:tc>
        <w:tc>
          <w:tcPr>
            <w:tcW w:w="3467" w:type="dxa"/>
            <w:tcBorders>
              <w:left w:val="single" w:color="000000" w:sz="4" w:space="0"/>
              <w:bottom w:val="single" w:color="000000" w:sz="4" w:space="0"/>
              <w:right w:val="single" w:color="000000" w:sz="4" w:space="0"/>
            </w:tcBorders>
            <w:vAlign w:val="bottom"/>
          </w:tcPr>
          <w:p w14:paraId="25B025A7">
            <w:pPr>
              <w:widowControl w:val="0"/>
              <w:spacing w:line="192" w:lineRule="auto"/>
              <w:jc w:val="both"/>
              <w:rPr>
                <w:rFonts w:ascii="Arial" w:hAnsi="Arial" w:eastAsia="Arial" w:cs="Arial"/>
                <w:sz w:val="21"/>
                <w:szCs w:val="21"/>
              </w:rPr>
            </w:pPr>
            <w:r>
              <w:rPr>
                <w:rFonts w:ascii="Arial" w:hAnsi="Arial" w:eastAsia="Arial" w:cs="Arial"/>
                <w:sz w:val="21"/>
                <w:szCs w:val="21"/>
              </w:rPr>
              <w:t>Av. São João Batista, s/n João de Barro. Cep 78.715-500</w:t>
            </w:r>
          </w:p>
        </w:tc>
      </w:tr>
      <w:tr w14:paraId="6638DA43">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5308EDAF">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18933CC0">
            <w:pPr>
              <w:widowControl w:val="0"/>
              <w:spacing w:line="192" w:lineRule="auto"/>
              <w:rPr>
                <w:rFonts w:ascii="Arial" w:hAnsi="Arial" w:eastAsia="Arial" w:cs="Arial"/>
                <w:sz w:val="21"/>
                <w:szCs w:val="21"/>
              </w:rPr>
            </w:pPr>
            <w:r>
              <w:rPr>
                <w:rFonts w:ascii="Arial" w:hAnsi="Arial" w:eastAsia="Arial" w:cs="Arial"/>
                <w:b/>
                <w:sz w:val="21"/>
                <w:szCs w:val="21"/>
              </w:rPr>
              <w:t>CMEI Anterina Miranda de Moraes</w:t>
            </w:r>
          </w:p>
        </w:tc>
        <w:tc>
          <w:tcPr>
            <w:tcW w:w="3467" w:type="dxa"/>
            <w:tcBorders>
              <w:left w:val="single" w:color="000000" w:sz="4" w:space="0"/>
              <w:bottom w:val="single" w:color="000000" w:sz="4" w:space="0"/>
              <w:right w:val="single" w:color="000000" w:sz="4" w:space="0"/>
            </w:tcBorders>
            <w:vAlign w:val="bottom"/>
          </w:tcPr>
          <w:p w14:paraId="638E53FC">
            <w:pPr>
              <w:widowControl w:val="0"/>
              <w:spacing w:line="192" w:lineRule="auto"/>
              <w:jc w:val="both"/>
              <w:rPr>
                <w:rFonts w:ascii="Arial" w:hAnsi="Arial" w:eastAsia="Arial" w:cs="Arial"/>
                <w:sz w:val="21"/>
                <w:szCs w:val="21"/>
              </w:rPr>
            </w:pPr>
            <w:r>
              <w:rPr>
                <w:rFonts w:ascii="Arial" w:hAnsi="Arial" w:eastAsia="Arial" w:cs="Arial"/>
                <w:sz w:val="21"/>
                <w:szCs w:val="21"/>
              </w:rPr>
              <w:t>Rua Pindorama, nº 705 Jd Pindorama. Cep 78.710-500</w:t>
            </w:r>
          </w:p>
        </w:tc>
      </w:tr>
      <w:tr w14:paraId="01062046">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2E1A35E0">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3E919DAE">
            <w:pPr>
              <w:widowControl w:val="0"/>
              <w:spacing w:line="192" w:lineRule="auto"/>
              <w:rPr>
                <w:rFonts w:ascii="Arial" w:hAnsi="Arial" w:eastAsia="Arial" w:cs="Arial"/>
                <w:sz w:val="21"/>
                <w:szCs w:val="21"/>
              </w:rPr>
            </w:pPr>
            <w:r>
              <w:rPr>
                <w:rFonts w:ascii="Arial" w:hAnsi="Arial" w:eastAsia="Arial" w:cs="Arial"/>
                <w:b/>
                <w:sz w:val="21"/>
                <w:szCs w:val="21"/>
              </w:rPr>
              <w:t>UMEI João de Paula Mendonça de Souza</w:t>
            </w:r>
          </w:p>
        </w:tc>
        <w:tc>
          <w:tcPr>
            <w:tcW w:w="3467" w:type="dxa"/>
            <w:tcBorders>
              <w:left w:val="single" w:color="000000" w:sz="4" w:space="0"/>
              <w:bottom w:val="single" w:color="000000" w:sz="4" w:space="0"/>
              <w:right w:val="single" w:color="000000" w:sz="4" w:space="0"/>
            </w:tcBorders>
            <w:vAlign w:val="bottom"/>
          </w:tcPr>
          <w:p w14:paraId="735AE4BD">
            <w:pPr>
              <w:widowControl w:val="0"/>
              <w:spacing w:line="192" w:lineRule="auto"/>
              <w:jc w:val="both"/>
              <w:rPr>
                <w:rFonts w:ascii="Arial" w:hAnsi="Arial" w:eastAsia="Arial" w:cs="Arial"/>
                <w:sz w:val="21"/>
                <w:szCs w:val="21"/>
              </w:rPr>
            </w:pPr>
            <w:r>
              <w:rPr>
                <w:rFonts w:ascii="Arial" w:hAnsi="Arial" w:eastAsia="Arial" w:cs="Arial"/>
                <w:sz w:val="21"/>
                <w:szCs w:val="21"/>
              </w:rPr>
              <w:t>Av. Teotônio Viela, 875 - Conj. S. José I. Cep78.730-310</w:t>
            </w:r>
          </w:p>
        </w:tc>
      </w:tr>
      <w:tr w14:paraId="2FD70812">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6310C969">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160BB2E4">
            <w:pPr>
              <w:widowControl w:val="0"/>
              <w:spacing w:line="192" w:lineRule="auto"/>
              <w:rPr>
                <w:rFonts w:ascii="Arial" w:hAnsi="Arial" w:eastAsia="Arial" w:cs="Arial"/>
                <w:sz w:val="21"/>
                <w:szCs w:val="21"/>
              </w:rPr>
            </w:pPr>
            <w:r>
              <w:rPr>
                <w:rFonts w:ascii="Arial" w:hAnsi="Arial" w:eastAsia="Arial" w:cs="Arial"/>
                <w:b/>
                <w:sz w:val="21"/>
                <w:szCs w:val="21"/>
              </w:rPr>
              <w:t>UMEI Gabriel de Oliveira Dias</w:t>
            </w:r>
          </w:p>
        </w:tc>
        <w:tc>
          <w:tcPr>
            <w:tcW w:w="3467" w:type="dxa"/>
            <w:tcBorders>
              <w:left w:val="single" w:color="000000" w:sz="4" w:space="0"/>
              <w:bottom w:val="single" w:color="000000" w:sz="4" w:space="0"/>
              <w:right w:val="single" w:color="000000" w:sz="4" w:space="0"/>
            </w:tcBorders>
            <w:vAlign w:val="bottom"/>
          </w:tcPr>
          <w:p w14:paraId="59DA896D">
            <w:pPr>
              <w:widowControl w:val="0"/>
              <w:spacing w:line="192" w:lineRule="auto"/>
              <w:jc w:val="both"/>
              <w:rPr>
                <w:rFonts w:ascii="Arial" w:hAnsi="Arial" w:eastAsia="Arial" w:cs="Arial"/>
                <w:sz w:val="21"/>
                <w:szCs w:val="21"/>
              </w:rPr>
            </w:pPr>
            <w:r>
              <w:rPr>
                <w:rFonts w:ascii="Arial" w:hAnsi="Arial" w:eastAsia="Arial" w:cs="Arial"/>
                <w:sz w:val="21"/>
                <w:szCs w:val="21"/>
              </w:rPr>
              <w:t>R. Radialista Aparecido Neto,123 V. Planalto. Cep78.710-129</w:t>
            </w:r>
          </w:p>
        </w:tc>
      </w:tr>
      <w:tr w14:paraId="39C758D0">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675D5C79">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03B1882B">
            <w:pPr>
              <w:widowControl w:val="0"/>
              <w:spacing w:line="192" w:lineRule="auto"/>
              <w:rPr>
                <w:rFonts w:ascii="Arial" w:hAnsi="Arial" w:eastAsia="Arial" w:cs="Arial"/>
                <w:sz w:val="21"/>
                <w:szCs w:val="21"/>
              </w:rPr>
            </w:pPr>
            <w:r>
              <w:rPr>
                <w:rFonts w:ascii="Arial" w:hAnsi="Arial" w:eastAsia="Arial" w:cs="Arial"/>
                <w:b/>
                <w:sz w:val="21"/>
                <w:szCs w:val="21"/>
              </w:rPr>
              <w:t>CMEI Monteiro Lobato</w:t>
            </w:r>
          </w:p>
        </w:tc>
        <w:tc>
          <w:tcPr>
            <w:tcW w:w="3467" w:type="dxa"/>
            <w:tcBorders>
              <w:left w:val="single" w:color="000000" w:sz="4" w:space="0"/>
              <w:bottom w:val="single" w:color="000000" w:sz="4" w:space="0"/>
              <w:right w:val="single" w:color="000000" w:sz="4" w:space="0"/>
            </w:tcBorders>
            <w:vAlign w:val="bottom"/>
          </w:tcPr>
          <w:p w14:paraId="4CC196E9">
            <w:pPr>
              <w:widowControl w:val="0"/>
              <w:spacing w:line="192" w:lineRule="auto"/>
              <w:jc w:val="both"/>
              <w:rPr>
                <w:rFonts w:ascii="Arial" w:hAnsi="Arial" w:eastAsia="Arial" w:cs="Arial"/>
                <w:sz w:val="21"/>
                <w:szCs w:val="21"/>
              </w:rPr>
            </w:pPr>
            <w:r>
              <w:rPr>
                <w:rFonts w:ascii="Arial" w:hAnsi="Arial" w:eastAsia="Arial" w:cs="Arial"/>
                <w:sz w:val="21"/>
                <w:szCs w:val="21"/>
              </w:rPr>
              <w:t>R. Belém, 1.401, Jd. Gramado Cep78.715-180</w:t>
            </w:r>
          </w:p>
        </w:tc>
      </w:tr>
      <w:tr w14:paraId="5C7C2DE4">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2FA6FA2E">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33D88FA7">
            <w:pPr>
              <w:widowControl w:val="0"/>
              <w:spacing w:line="192" w:lineRule="auto"/>
              <w:rPr>
                <w:rFonts w:ascii="Arial" w:hAnsi="Arial" w:eastAsia="Arial" w:cs="Arial"/>
                <w:sz w:val="21"/>
                <w:szCs w:val="21"/>
              </w:rPr>
            </w:pPr>
            <w:r>
              <w:rPr>
                <w:rFonts w:ascii="Arial" w:hAnsi="Arial" w:eastAsia="Arial" w:cs="Arial"/>
                <w:b/>
                <w:sz w:val="21"/>
                <w:szCs w:val="21"/>
              </w:rPr>
              <w:t>EMEI Elaine Aparecida de Oliveira Lopes</w:t>
            </w:r>
          </w:p>
        </w:tc>
        <w:tc>
          <w:tcPr>
            <w:tcW w:w="3467" w:type="dxa"/>
            <w:tcBorders>
              <w:left w:val="single" w:color="000000" w:sz="4" w:space="0"/>
              <w:bottom w:val="single" w:color="000000" w:sz="4" w:space="0"/>
              <w:right w:val="single" w:color="000000" w:sz="4" w:space="0"/>
            </w:tcBorders>
            <w:vAlign w:val="bottom"/>
          </w:tcPr>
          <w:p w14:paraId="160BC473">
            <w:pPr>
              <w:widowControl w:val="0"/>
              <w:spacing w:line="192" w:lineRule="auto"/>
              <w:jc w:val="both"/>
              <w:rPr>
                <w:rFonts w:ascii="Arial" w:hAnsi="Arial" w:eastAsia="Arial" w:cs="Arial"/>
                <w:sz w:val="21"/>
                <w:szCs w:val="21"/>
              </w:rPr>
            </w:pPr>
            <w:r>
              <w:rPr>
                <w:rFonts w:ascii="Arial" w:hAnsi="Arial" w:eastAsia="Arial" w:cs="Arial"/>
                <w:sz w:val="21"/>
                <w:szCs w:val="21"/>
              </w:rPr>
              <w:t>Rua Stefano Antônio Straits, N°2227 JD. Tropical. Cep78.715-190</w:t>
            </w:r>
          </w:p>
        </w:tc>
      </w:tr>
      <w:tr w14:paraId="61B3B429">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22F973EC">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56E0F462">
            <w:pPr>
              <w:widowControl w:val="0"/>
              <w:spacing w:line="192" w:lineRule="auto"/>
              <w:rPr>
                <w:rFonts w:ascii="Arial" w:hAnsi="Arial" w:eastAsia="Arial" w:cs="Arial"/>
                <w:sz w:val="21"/>
                <w:szCs w:val="21"/>
              </w:rPr>
            </w:pPr>
            <w:r>
              <w:rPr>
                <w:rFonts w:ascii="Arial" w:hAnsi="Arial" w:eastAsia="Arial" w:cs="Arial"/>
                <w:b/>
                <w:sz w:val="21"/>
                <w:szCs w:val="21"/>
              </w:rPr>
              <w:t>CMEITI Engenheiro Nafez Antônio Daud</w:t>
            </w:r>
          </w:p>
        </w:tc>
        <w:tc>
          <w:tcPr>
            <w:tcW w:w="3467" w:type="dxa"/>
            <w:tcBorders>
              <w:left w:val="single" w:color="000000" w:sz="4" w:space="0"/>
              <w:bottom w:val="single" w:color="000000" w:sz="4" w:space="0"/>
              <w:right w:val="single" w:color="000000" w:sz="4" w:space="0"/>
            </w:tcBorders>
            <w:vAlign w:val="bottom"/>
          </w:tcPr>
          <w:p w14:paraId="0F0C30AA">
            <w:pPr>
              <w:widowControl w:val="0"/>
              <w:spacing w:line="192" w:lineRule="auto"/>
              <w:jc w:val="both"/>
              <w:rPr>
                <w:rFonts w:ascii="Arial" w:hAnsi="Arial" w:eastAsia="Arial" w:cs="Arial"/>
                <w:sz w:val="21"/>
                <w:szCs w:val="21"/>
              </w:rPr>
            </w:pPr>
            <w:r>
              <w:rPr>
                <w:rFonts w:ascii="Arial" w:hAnsi="Arial" w:eastAsia="Arial" w:cs="Arial"/>
                <w:sz w:val="21"/>
                <w:szCs w:val="21"/>
              </w:rPr>
              <w:t>Lot - 3 Residêncial Edelmina Querubim</w:t>
            </w:r>
          </w:p>
        </w:tc>
      </w:tr>
      <w:tr w14:paraId="79FC3FBE">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461370E5">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72DEDF86">
            <w:pPr>
              <w:widowControl w:val="0"/>
              <w:spacing w:line="192" w:lineRule="auto"/>
              <w:rPr>
                <w:rFonts w:ascii="Arial" w:hAnsi="Arial" w:eastAsia="Arial" w:cs="Arial"/>
                <w:sz w:val="21"/>
                <w:szCs w:val="21"/>
              </w:rPr>
            </w:pPr>
            <w:r>
              <w:rPr>
                <w:rFonts w:ascii="Arial" w:hAnsi="Arial" w:eastAsia="Arial" w:cs="Arial"/>
                <w:b/>
                <w:sz w:val="21"/>
                <w:szCs w:val="21"/>
              </w:rPr>
              <w:t>CMEI Mãe Margarida</w:t>
            </w:r>
          </w:p>
        </w:tc>
        <w:tc>
          <w:tcPr>
            <w:tcW w:w="3467" w:type="dxa"/>
            <w:tcBorders>
              <w:left w:val="single" w:color="000000" w:sz="4" w:space="0"/>
              <w:bottom w:val="single" w:color="000000" w:sz="4" w:space="0"/>
              <w:right w:val="single" w:color="000000" w:sz="4" w:space="0"/>
            </w:tcBorders>
            <w:vAlign w:val="bottom"/>
          </w:tcPr>
          <w:p w14:paraId="6B320BD1">
            <w:pPr>
              <w:widowControl w:val="0"/>
              <w:spacing w:line="192" w:lineRule="auto"/>
              <w:jc w:val="both"/>
              <w:rPr>
                <w:rFonts w:ascii="Arial" w:hAnsi="Arial" w:eastAsia="Arial" w:cs="Arial"/>
                <w:sz w:val="21"/>
                <w:szCs w:val="21"/>
              </w:rPr>
            </w:pPr>
            <w:r>
              <w:rPr>
                <w:rFonts w:ascii="Arial" w:hAnsi="Arial" w:eastAsia="Arial" w:cs="Arial"/>
                <w:sz w:val="21"/>
                <w:szCs w:val="21"/>
              </w:rPr>
              <w:t>Rua Sabará s/n Vila Rica. Cep 78.506-610</w:t>
            </w:r>
          </w:p>
        </w:tc>
      </w:tr>
      <w:tr w14:paraId="78665E1F">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5D264EBD">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21A78619">
            <w:pPr>
              <w:widowControl w:val="0"/>
              <w:spacing w:line="192" w:lineRule="auto"/>
              <w:rPr>
                <w:rFonts w:ascii="Arial" w:hAnsi="Arial" w:eastAsia="Arial" w:cs="Arial"/>
                <w:sz w:val="21"/>
                <w:szCs w:val="21"/>
              </w:rPr>
            </w:pPr>
            <w:r>
              <w:rPr>
                <w:rFonts w:ascii="Arial" w:hAnsi="Arial" w:eastAsia="Arial" w:cs="Arial"/>
                <w:b/>
                <w:sz w:val="21"/>
                <w:szCs w:val="21"/>
              </w:rPr>
              <w:t>CMEI Magnolia Angélica Araújo</w:t>
            </w:r>
          </w:p>
        </w:tc>
        <w:tc>
          <w:tcPr>
            <w:tcW w:w="3467" w:type="dxa"/>
            <w:tcBorders>
              <w:left w:val="single" w:color="000000" w:sz="4" w:space="0"/>
              <w:bottom w:val="single" w:color="000000" w:sz="4" w:space="0"/>
              <w:right w:val="single" w:color="000000" w:sz="4" w:space="0"/>
            </w:tcBorders>
            <w:vAlign w:val="bottom"/>
          </w:tcPr>
          <w:p w14:paraId="32D033F7">
            <w:pPr>
              <w:widowControl w:val="0"/>
              <w:spacing w:line="192" w:lineRule="auto"/>
              <w:jc w:val="both"/>
              <w:rPr>
                <w:rFonts w:ascii="Arial" w:hAnsi="Arial" w:eastAsia="Arial" w:cs="Arial"/>
                <w:sz w:val="21"/>
                <w:szCs w:val="21"/>
              </w:rPr>
            </w:pPr>
            <w:r>
              <w:rPr>
                <w:rFonts w:ascii="Arial" w:hAnsi="Arial" w:eastAsia="Arial" w:cs="Arial"/>
                <w:sz w:val="21"/>
                <w:szCs w:val="21"/>
              </w:rPr>
              <w:t>Rua Alvarenga Peixoto, S/N - Jardim Residencial Mathias Neves Cep: 78716450</w:t>
            </w:r>
          </w:p>
        </w:tc>
      </w:tr>
      <w:tr w14:paraId="6F9ACE28">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0A35D1D6">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4DBFBAE9">
            <w:pPr>
              <w:widowControl w:val="0"/>
              <w:spacing w:line="192" w:lineRule="auto"/>
              <w:rPr>
                <w:rFonts w:ascii="Arial" w:hAnsi="Arial" w:eastAsia="Arial" w:cs="Arial"/>
                <w:sz w:val="21"/>
                <w:szCs w:val="21"/>
              </w:rPr>
            </w:pPr>
            <w:r>
              <w:rPr>
                <w:rFonts w:ascii="Arial" w:hAnsi="Arial" w:eastAsia="Arial" w:cs="Arial"/>
                <w:b/>
                <w:sz w:val="21"/>
                <w:szCs w:val="21"/>
              </w:rPr>
              <w:t>CMEI Widisney Aparecido Pereira Rodrigues</w:t>
            </w:r>
          </w:p>
        </w:tc>
        <w:tc>
          <w:tcPr>
            <w:tcW w:w="3467" w:type="dxa"/>
            <w:tcBorders>
              <w:left w:val="single" w:color="000000" w:sz="4" w:space="0"/>
              <w:bottom w:val="single" w:color="000000" w:sz="4" w:space="0"/>
              <w:right w:val="single" w:color="000000" w:sz="4" w:space="0"/>
            </w:tcBorders>
            <w:vAlign w:val="bottom"/>
          </w:tcPr>
          <w:p w14:paraId="4F725103">
            <w:pPr>
              <w:widowControl w:val="0"/>
              <w:spacing w:line="192" w:lineRule="auto"/>
              <w:jc w:val="both"/>
              <w:rPr>
                <w:rFonts w:ascii="Arial" w:hAnsi="Arial" w:eastAsia="Arial" w:cs="Arial"/>
                <w:sz w:val="21"/>
                <w:szCs w:val="21"/>
              </w:rPr>
            </w:pPr>
            <w:r>
              <w:rPr>
                <w:rFonts w:ascii="Arial" w:hAnsi="Arial" w:eastAsia="Arial" w:cs="Arial"/>
                <w:sz w:val="21"/>
                <w:szCs w:val="21"/>
              </w:rPr>
              <w:t>Rua Dezoito, s/nº Loteamento José Sobrinho.Cep 78.711-032</w:t>
            </w:r>
          </w:p>
        </w:tc>
      </w:tr>
      <w:tr w14:paraId="00D801A3">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20E3CE38">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5E6AED38">
            <w:pPr>
              <w:widowControl w:val="0"/>
              <w:spacing w:line="192" w:lineRule="auto"/>
              <w:rPr>
                <w:rFonts w:ascii="Arial" w:hAnsi="Arial" w:eastAsia="Arial" w:cs="Arial"/>
                <w:sz w:val="21"/>
                <w:szCs w:val="21"/>
              </w:rPr>
            </w:pPr>
            <w:r>
              <w:rPr>
                <w:rFonts w:ascii="Arial" w:hAnsi="Arial" w:eastAsia="Arial" w:cs="Arial"/>
                <w:b/>
                <w:sz w:val="21"/>
                <w:szCs w:val="21"/>
              </w:rPr>
              <w:t>CMEI Ely Carlos Silva Nunis</w:t>
            </w:r>
          </w:p>
        </w:tc>
        <w:tc>
          <w:tcPr>
            <w:tcW w:w="3467" w:type="dxa"/>
            <w:tcBorders>
              <w:left w:val="single" w:color="000000" w:sz="4" w:space="0"/>
              <w:bottom w:val="single" w:color="000000" w:sz="4" w:space="0"/>
              <w:right w:val="single" w:color="000000" w:sz="4" w:space="0"/>
            </w:tcBorders>
            <w:vAlign w:val="bottom"/>
          </w:tcPr>
          <w:p w14:paraId="471B63FF">
            <w:pPr>
              <w:widowControl w:val="0"/>
              <w:spacing w:line="192" w:lineRule="auto"/>
              <w:jc w:val="both"/>
              <w:rPr>
                <w:rFonts w:ascii="Arial" w:hAnsi="Arial" w:eastAsia="Arial" w:cs="Arial"/>
                <w:sz w:val="21"/>
                <w:szCs w:val="21"/>
              </w:rPr>
            </w:pPr>
            <w:r>
              <w:rPr>
                <w:rFonts w:ascii="Arial" w:hAnsi="Arial" w:eastAsia="Arial" w:cs="Arial"/>
                <w:sz w:val="21"/>
                <w:szCs w:val="21"/>
              </w:rPr>
              <w:t>R. Rio Padre Inácio, Q12, lote Área nº 350 Res. Dom Osório.</w:t>
            </w:r>
          </w:p>
        </w:tc>
      </w:tr>
      <w:tr w14:paraId="54B06C79">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79C36F14">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59893A31">
            <w:pPr>
              <w:widowControl w:val="0"/>
              <w:spacing w:line="192" w:lineRule="auto"/>
              <w:rPr>
                <w:rFonts w:ascii="Arial" w:hAnsi="Arial" w:eastAsia="Arial" w:cs="Arial"/>
                <w:sz w:val="21"/>
                <w:szCs w:val="21"/>
              </w:rPr>
            </w:pPr>
            <w:r>
              <w:rPr>
                <w:rFonts w:ascii="Arial" w:hAnsi="Arial" w:eastAsia="Arial" w:cs="Arial"/>
                <w:b/>
                <w:sz w:val="21"/>
                <w:szCs w:val="21"/>
              </w:rPr>
              <w:t>CMEI Marcia Gleide Ribeiro Clara Souto</w:t>
            </w:r>
          </w:p>
        </w:tc>
        <w:tc>
          <w:tcPr>
            <w:tcW w:w="3467" w:type="dxa"/>
            <w:tcBorders>
              <w:left w:val="single" w:color="000000" w:sz="4" w:space="0"/>
              <w:bottom w:val="single" w:color="000000" w:sz="4" w:space="0"/>
              <w:right w:val="single" w:color="000000" w:sz="4" w:space="0"/>
            </w:tcBorders>
            <w:vAlign w:val="bottom"/>
          </w:tcPr>
          <w:p w14:paraId="008A4CC9">
            <w:pPr>
              <w:widowControl w:val="0"/>
              <w:spacing w:line="192" w:lineRule="auto"/>
              <w:jc w:val="both"/>
              <w:rPr>
                <w:rFonts w:ascii="Arial" w:hAnsi="Arial" w:eastAsia="Arial" w:cs="Arial"/>
                <w:sz w:val="21"/>
                <w:szCs w:val="21"/>
              </w:rPr>
            </w:pPr>
            <w:r>
              <w:rPr>
                <w:rFonts w:ascii="Arial" w:hAnsi="Arial" w:eastAsia="Arial" w:cs="Arial"/>
                <w:sz w:val="21"/>
                <w:szCs w:val="21"/>
              </w:rPr>
              <w:t>Rua Valdeliz Nunes Vianna S/N Bairro: Jardim Liberdade CEP: 78715-732</w:t>
            </w:r>
          </w:p>
        </w:tc>
      </w:tr>
      <w:tr w14:paraId="6D522FB0">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0F3E334E">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6042F201">
            <w:pPr>
              <w:widowControl w:val="0"/>
              <w:spacing w:line="192" w:lineRule="auto"/>
              <w:rPr>
                <w:rFonts w:ascii="Arial" w:hAnsi="Arial" w:eastAsia="Arial" w:cs="Arial"/>
                <w:sz w:val="21"/>
                <w:szCs w:val="21"/>
              </w:rPr>
            </w:pPr>
            <w:r>
              <w:rPr>
                <w:rFonts w:ascii="Arial" w:hAnsi="Arial" w:eastAsia="Arial" w:cs="Arial"/>
                <w:b/>
                <w:sz w:val="21"/>
                <w:szCs w:val="21"/>
              </w:rPr>
              <w:t>CMEI Augustim Alves de Oliveira</w:t>
            </w:r>
          </w:p>
        </w:tc>
        <w:tc>
          <w:tcPr>
            <w:tcW w:w="3467" w:type="dxa"/>
            <w:tcBorders>
              <w:left w:val="single" w:color="000000" w:sz="4" w:space="0"/>
              <w:bottom w:val="single" w:color="000000" w:sz="4" w:space="0"/>
              <w:right w:val="single" w:color="000000" w:sz="4" w:space="0"/>
            </w:tcBorders>
            <w:vAlign w:val="bottom"/>
          </w:tcPr>
          <w:p w14:paraId="034AF2D3">
            <w:pPr>
              <w:widowControl w:val="0"/>
              <w:spacing w:line="192" w:lineRule="auto"/>
              <w:jc w:val="both"/>
              <w:rPr>
                <w:rFonts w:ascii="Arial" w:hAnsi="Arial" w:eastAsia="Arial" w:cs="Arial"/>
                <w:sz w:val="21"/>
                <w:szCs w:val="21"/>
              </w:rPr>
            </w:pPr>
            <w:r>
              <w:rPr>
                <w:rFonts w:ascii="Arial" w:hAnsi="Arial" w:eastAsia="Arial" w:cs="Arial"/>
                <w:sz w:val="21"/>
                <w:szCs w:val="21"/>
              </w:rPr>
              <w:t>Rua Primeiro de maio,s/n Boa Vista Cep 78.752-000</w:t>
            </w:r>
          </w:p>
        </w:tc>
      </w:tr>
      <w:tr w14:paraId="03B46BB7">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04FC6522">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61C08D03">
            <w:pPr>
              <w:widowControl w:val="0"/>
              <w:spacing w:line="192" w:lineRule="auto"/>
              <w:rPr>
                <w:rFonts w:ascii="Arial" w:hAnsi="Arial" w:eastAsia="Arial" w:cs="Arial"/>
                <w:sz w:val="21"/>
                <w:szCs w:val="21"/>
              </w:rPr>
            </w:pPr>
            <w:r>
              <w:rPr>
                <w:rFonts w:ascii="Arial" w:hAnsi="Arial" w:eastAsia="Arial" w:cs="Arial"/>
                <w:b/>
                <w:sz w:val="21"/>
                <w:szCs w:val="21"/>
              </w:rPr>
              <w:t>EMEI Selma Doho</w:t>
            </w:r>
          </w:p>
        </w:tc>
        <w:tc>
          <w:tcPr>
            <w:tcW w:w="3467" w:type="dxa"/>
            <w:tcBorders>
              <w:left w:val="single" w:color="000000" w:sz="4" w:space="0"/>
              <w:bottom w:val="single" w:color="000000" w:sz="4" w:space="0"/>
              <w:right w:val="single" w:color="000000" w:sz="4" w:space="0"/>
            </w:tcBorders>
            <w:vAlign w:val="bottom"/>
          </w:tcPr>
          <w:p w14:paraId="32EE86C1">
            <w:pPr>
              <w:widowControl w:val="0"/>
              <w:spacing w:line="192" w:lineRule="auto"/>
              <w:jc w:val="both"/>
              <w:rPr>
                <w:rFonts w:ascii="Arial" w:hAnsi="Arial" w:eastAsia="Arial" w:cs="Arial"/>
                <w:sz w:val="21"/>
                <w:szCs w:val="21"/>
              </w:rPr>
            </w:pPr>
            <w:r>
              <w:rPr>
                <w:rFonts w:ascii="Arial" w:hAnsi="Arial" w:eastAsia="Arial" w:cs="Arial"/>
                <w:sz w:val="21"/>
                <w:szCs w:val="21"/>
              </w:rPr>
              <w:t>R. Manoel nunes Aragão, dist. nova galileia, zona rural</w:t>
            </w:r>
          </w:p>
        </w:tc>
      </w:tr>
      <w:tr w14:paraId="40B19A50">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3B94F78A">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5CE93B7A">
            <w:pPr>
              <w:widowControl w:val="0"/>
              <w:spacing w:line="192" w:lineRule="auto"/>
              <w:rPr>
                <w:rFonts w:ascii="Arial" w:hAnsi="Arial" w:eastAsia="Arial" w:cs="Arial"/>
                <w:sz w:val="21"/>
                <w:szCs w:val="21"/>
              </w:rPr>
            </w:pPr>
            <w:r>
              <w:rPr>
                <w:rFonts w:ascii="Arial" w:hAnsi="Arial" w:eastAsia="Arial" w:cs="Arial"/>
                <w:b/>
                <w:sz w:val="21"/>
                <w:szCs w:val="21"/>
              </w:rPr>
              <w:t>EMEF Rosalino Antônio da Silva</w:t>
            </w:r>
          </w:p>
        </w:tc>
        <w:tc>
          <w:tcPr>
            <w:tcW w:w="3467" w:type="dxa"/>
            <w:tcBorders>
              <w:left w:val="single" w:color="000000" w:sz="4" w:space="0"/>
              <w:bottom w:val="single" w:color="000000" w:sz="4" w:space="0"/>
              <w:right w:val="single" w:color="000000" w:sz="4" w:space="0"/>
            </w:tcBorders>
            <w:vAlign w:val="bottom"/>
          </w:tcPr>
          <w:p w14:paraId="7A9BA90F">
            <w:pPr>
              <w:widowControl w:val="0"/>
              <w:spacing w:line="192" w:lineRule="auto"/>
              <w:jc w:val="both"/>
              <w:rPr>
                <w:rFonts w:ascii="Arial" w:hAnsi="Arial" w:eastAsia="Arial" w:cs="Arial"/>
                <w:sz w:val="21"/>
                <w:szCs w:val="21"/>
              </w:rPr>
            </w:pPr>
            <w:r>
              <w:rPr>
                <w:rFonts w:ascii="Arial" w:hAnsi="Arial" w:eastAsia="Arial" w:cs="Arial"/>
                <w:sz w:val="21"/>
                <w:szCs w:val="21"/>
              </w:rPr>
              <w:t>R. Canindé, 1.075, Jardim Iguaçu. Cep78.730-308</w:t>
            </w:r>
          </w:p>
        </w:tc>
      </w:tr>
      <w:tr w14:paraId="6B932364">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7879BE42">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7184E9F4">
            <w:pPr>
              <w:widowControl w:val="0"/>
              <w:spacing w:line="192" w:lineRule="auto"/>
              <w:rPr>
                <w:rFonts w:ascii="Arial" w:hAnsi="Arial" w:eastAsia="Arial" w:cs="Arial"/>
                <w:sz w:val="21"/>
                <w:szCs w:val="21"/>
              </w:rPr>
            </w:pPr>
            <w:r>
              <w:rPr>
                <w:rFonts w:ascii="Arial" w:hAnsi="Arial" w:eastAsia="Arial" w:cs="Arial"/>
                <w:b/>
                <w:sz w:val="21"/>
                <w:szCs w:val="21"/>
              </w:rPr>
              <w:t>EMEF Edivaldo Zulliani Belo</w:t>
            </w:r>
          </w:p>
        </w:tc>
        <w:tc>
          <w:tcPr>
            <w:tcW w:w="3467" w:type="dxa"/>
            <w:tcBorders>
              <w:left w:val="single" w:color="000000" w:sz="4" w:space="0"/>
              <w:bottom w:val="single" w:color="000000" w:sz="4" w:space="0"/>
              <w:right w:val="single" w:color="000000" w:sz="4" w:space="0"/>
            </w:tcBorders>
            <w:vAlign w:val="bottom"/>
          </w:tcPr>
          <w:p w14:paraId="131018C6">
            <w:pPr>
              <w:widowControl w:val="0"/>
              <w:spacing w:line="192" w:lineRule="auto"/>
              <w:jc w:val="both"/>
              <w:rPr>
                <w:rFonts w:ascii="Arial" w:hAnsi="Arial" w:eastAsia="Arial" w:cs="Arial"/>
                <w:sz w:val="21"/>
                <w:szCs w:val="21"/>
              </w:rPr>
            </w:pPr>
            <w:r>
              <w:rPr>
                <w:rFonts w:ascii="Arial" w:hAnsi="Arial" w:eastAsia="Arial" w:cs="Arial"/>
                <w:sz w:val="21"/>
                <w:szCs w:val="21"/>
              </w:rPr>
              <w:t>Av. Delfina G. Soares, S/N, Jd Participação II Cep. 78.740-090</w:t>
            </w:r>
          </w:p>
        </w:tc>
      </w:tr>
      <w:tr w14:paraId="03E8B16E">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06C1ADC4">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4F33E42F">
            <w:pPr>
              <w:widowControl w:val="0"/>
              <w:spacing w:line="192" w:lineRule="auto"/>
              <w:rPr>
                <w:rFonts w:ascii="Arial" w:hAnsi="Arial" w:eastAsia="Arial" w:cs="Arial"/>
                <w:sz w:val="21"/>
                <w:szCs w:val="21"/>
              </w:rPr>
            </w:pPr>
            <w:r>
              <w:rPr>
                <w:rFonts w:ascii="Arial" w:hAnsi="Arial" w:eastAsia="Arial" w:cs="Arial"/>
                <w:b/>
                <w:sz w:val="21"/>
                <w:szCs w:val="21"/>
              </w:rPr>
              <w:t>EMEF José Antônio da Silva</w:t>
            </w:r>
          </w:p>
        </w:tc>
        <w:tc>
          <w:tcPr>
            <w:tcW w:w="3467" w:type="dxa"/>
            <w:tcBorders>
              <w:left w:val="single" w:color="000000" w:sz="4" w:space="0"/>
              <w:bottom w:val="single" w:color="000000" w:sz="4" w:space="0"/>
              <w:right w:val="single" w:color="000000" w:sz="4" w:space="0"/>
            </w:tcBorders>
            <w:vAlign w:val="bottom"/>
          </w:tcPr>
          <w:p w14:paraId="14C5D0D1">
            <w:pPr>
              <w:widowControl w:val="0"/>
              <w:spacing w:line="192" w:lineRule="auto"/>
              <w:jc w:val="both"/>
              <w:rPr>
                <w:rFonts w:ascii="Arial" w:hAnsi="Arial" w:eastAsia="Arial" w:cs="Arial"/>
                <w:sz w:val="21"/>
                <w:szCs w:val="21"/>
              </w:rPr>
            </w:pPr>
            <w:r>
              <w:rPr>
                <w:rFonts w:ascii="Arial" w:hAnsi="Arial" w:eastAsia="Arial" w:cs="Arial"/>
                <w:sz w:val="21"/>
                <w:szCs w:val="21"/>
              </w:rPr>
              <w:t>R Papa Joao Xxiii, 1319 Vlcardoso. 78730-103</w:t>
            </w:r>
          </w:p>
        </w:tc>
      </w:tr>
      <w:tr w14:paraId="1CAD5CCB">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10EB71BA">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337698DB">
            <w:pPr>
              <w:widowControl w:val="0"/>
              <w:spacing w:line="192" w:lineRule="auto"/>
              <w:rPr>
                <w:rFonts w:ascii="Arial" w:hAnsi="Arial" w:eastAsia="Arial" w:cs="Arial"/>
                <w:sz w:val="21"/>
                <w:szCs w:val="21"/>
              </w:rPr>
            </w:pPr>
            <w:r>
              <w:rPr>
                <w:rFonts w:ascii="Arial" w:hAnsi="Arial" w:eastAsia="Arial" w:cs="Arial"/>
                <w:b/>
                <w:sz w:val="21"/>
                <w:szCs w:val="21"/>
              </w:rPr>
              <w:t>EMEB Dom Wunibaldo Talluer</w:t>
            </w:r>
          </w:p>
        </w:tc>
        <w:tc>
          <w:tcPr>
            <w:tcW w:w="3467" w:type="dxa"/>
            <w:tcBorders>
              <w:left w:val="single" w:color="000000" w:sz="4" w:space="0"/>
              <w:bottom w:val="single" w:color="000000" w:sz="4" w:space="0"/>
              <w:right w:val="single" w:color="000000" w:sz="4" w:space="0"/>
            </w:tcBorders>
            <w:vAlign w:val="bottom"/>
          </w:tcPr>
          <w:p w14:paraId="67D2CA72">
            <w:pPr>
              <w:widowControl w:val="0"/>
              <w:spacing w:line="192" w:lineRule="auto"/>
              <w:jc w:val="both"/>
              <w:rPr>
                <w:rFonts w:ascii="Arial" w:hAnsi="Arial" w:eastAsia="Arial" w:cs="Arial"/>
                <w:sz w:val="21"/>
                <w:szCs w:val="21"/>
              </w:rPr>
            </w:pPr>
            <w:r>
              <w:rPr>
                <w:rFonts w:ascii="Arial" w:hAnsi="Arial" w:eastAsia="Arial" w:cs="Arial"/>
                <w:sz w:val="21"/>
                <w:szCs w:val="21"/>
              </w:rPr>
              <w:t>Rua João Paulo Lopes, 455 Jardim Brasília. cep 78700-650</w:t>
            </w:r>
          </w:p>
        </w:tc>
      </w:tr>
      <w:tr w14:paraId="22E65A97">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41CDA85F">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09C10913">
            <w:pPr>
              <w:widowControl w:val="0"/>
              <w:spacing w:line="192" w:lineRule="auto"/>
              <w:rPr>
                <w:rFonts w:ascii="Arial" w:hAnsi="Arial" w:eastAsia="Arial" w:cs="Arial"/>
                <w:sz w:val="21"/>
                <w:szCs w:val="21"/>
              </w:rPr>
            </w:pPr>
            <w:r>
              <w:rPr>
                <w:rFonts w:ascii="Arial" w:hAnsi="Arial" w:eastAsia="Arial" w:cs="Arial"/>
                <w:b/>
                <w:sz w:val="21"/>
                <w:szCs w:val="21"/>
              </w:rPr>
              <w:t>EMEF Bonifácio Sachetti</w:t>
            </w:r>
          </w:p>
        </w:tc>
        <w:tc>
          <w:tcPr>
            <w:tcW w:w="3467" w:type="dxa"/>
            <w:tcBorders>
              <w:left w:val="single" w:color="000000" w:sz="4" w:space="0"/>
              <w:bottom w:val="single" w:color="000000" w:sz="4" w:space="0"/>
              <w:right w:val="single" w:color="000000" w:sz="4" w:space="0"/>
            </w:tcBorders>
            <w:vAlign w:val="bottom"/>
          </w:tcPr>
          <w:p w14:paraId="4D85D918">
            <w:pPr>
              <w:widowControl w:val="0"/>
              <w:spacing w:line="192" w:lineRule="auto"/>
              <w:jc w:val="both"/>
              <w:rPr>
                <w:rFonts w:ascii="Arial" w:hAnsi="Arial" w:eastAsia="Arial" w:cs="Arial"/>
                <w:sz w:val="21"/>
                <w:szCs w:val="21"/>
              </w:rPr>
            </w:pPr>
            <w:r>
              <w:rPr>
                <w:rFonts w:ascii="Arial" w:hAnsi="Arial" w:eastAsia="Arial" w:cs="Arial"/>
                <w:sz w:val="21"/>
                <w:szCs w:val="21"/>
              </w:rPr>
              <w:t>Rua São Francisco, 579 Parque São Jorge. Cep 78.710-090</w:t>
            </w:r>
          </w:p>
        </w:tc>
      </w:tr>
      <w:tr w14:paraId="7A17D309">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7A2E29C5">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58055F61">
            <w:pPr>
              <w:widowControl w:val="0"/>
              <w:spacing w:line="192" w:lineRule="auto"/>
              <w:rPr>
                <w:rFonts w:ascii="Arial" w:hAnsi="Arial" w:eastAsia="Arial" w:cs="Arial"/>
                <w:sz w:val="21"/>
                <w:szCs w:val="21"/>
              </w:rPr>
            </w:pPr>
            <w:r>
              <w:rPr>
                <w:rFonts w:ascii="Arial" w:hAnsi="Arial" w:eastAsia="Arial" w:cs="Arial"/>
                <w:b/>
                <w:sz w:val="21"/>
                <w:szCs w:val="21"/>
              </w:rPr>
              <w:t>EMEF Vila Paulista-Mª Ursulina de Miranda</w:t>
            </w:r>
          </w:p>
        </w:tc>
        <w:tc>
          <w:tcPr>
            <w:tcW w:w="3467" w:type="dxa"/>
            <w:tcBorders>
              <w:left w:val="single" w:color="000000" w:sz="4" w:space="0"/>
              <w:bottom w:val="single" w:color="000000" w:sz="4" w:space="0"/>
              <w:right w:val="single" w:color="000000" w:sz="4" w:space="0"/>
            </w:tcBorders>
            <w:vAlign w:val="bottom"/>
          </w:tcPr>
          <w:p w14:paraId="6128ECF8">
            <w:pPr>
              <w:widowControl w:val="0"/>
              <w:spacing w:line="192" w:lineRule="auto"/>
              <w:jc w:val="both"/>
              <w:rPr>
                <w:rFonts w:ascii="Arial" w:hAnsi="Arial" w:eastAsia="Arial" w:cs="Arial"/>
                <w:sz w:val="21"/>
                <w:szCs w:val="21"/>
              </w:rPr>
            </w:pPr>
            <w:r>
              <w:rPr>
                <w:rFonts w:ascii="Arial" w:hAnsi="Arial" w:eastAsia="Arial" w:cs="Arial"/>
                <w:sz w:val="21"/>
                <w:szCs w:val="21"/>
              </w:rPr>
              <w:t>R. Benvindo Miranda, 954, Vila Paulista. Cep78.736-003</w:t>
            </w:r>
          </w:p>
        </w:tc>
      </w:tr>
      <w:tr w14:paraId="41D0FAC0">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7F080484">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71A22CB8">
            <w:pPr>
              <w:widowControl w:val="0"/>
              <w:spacing w:line="192" w:lineRule="auto"/>
              <w:rPr>
                <w:rFonts w:ascii="Arial" w:hAnsi="Arial" w:eastAsia="Arial" w:cs="Arial"/>
                <w:sz w:val="21"/>
                <w:szCs w:val="21"/>
              </w:rPr>
            </w:pPr>
            <w:r>
              <w:rPr>
                <w:rFonts w:ascii="Arial" w:hAnsi="Arial" w:eastAsia="Arial" w:cs="Arial"/>
                <w:b/>
                <w:sz w:val="21"/>
                <w:szCs w:val="21"/>
              </w:rPr>
              <w:t>EMEF Daniel Paulista Campos</w:t>
            </w:r>
          </w:p>
        </w:tc>
        <w:tc>
          <w:tcPr>
            <w:tcW w:w="3467" w:type="dxa"/>
            <w:tcBorders>
              <w:left w:val="single" w:color="000000" w:sz="4" w:space="0"/>
              <w:bottom w:val="single" w:color="000000" w:sz="4" w:space="0"/>
              <w:right w:val="single" w:color="000000" w:sz="4" w:space="0"/>
            </w:tcBorders>
            <w:vAlign w:val="bottom"/>
          </w:tcPr>
          <w:p w14:paraId="759A76EB">
            <w:pPr>
              <w:widowControl w:val="0"/>
              <w:spacing w:line="192" w:lineRule="auto"/>
              <w:jc w:val="both"/>
              <w:rPr>
                <w:rFonts w:ascii="Arial" w:hAnsi="Arial" w:eastAsia="Arial" w:cs="Arial"/>
                <w:sz w:val="21"/>
                <w:szCs w:val="21"/>
              </w:rPr>
            </w:pPr>
            <w:r>
              <w:rPr>
                <w:rFonts w:ascii="Arial" w:hAnsi="Arial" w:eastAsia="Arial" w:cs="Arial"/>
                <w:sz w:val="21"/>
                <w:szCs w:val="21"/>
              </w:rPr>
              <w:t>Rua Luis Otavio R. Lusvarghi, Nº769 Res. Margaridas. Cep78.717-759</w:t>
            </w:r>
          </w:p>
        </w:tc>
      </w:tr>
      <w:tr w14:paraId="7DF432CF">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09306874">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2123CF4F">
            <w:pPr>
              <w:widowControl w:val="0"/>
              <w:spacing w:line="192" w:lineRule="auto"/>
              <w:rPr>
                <w:rFonts w:ascii="Arial" w:hAnsi="Arial" w:eastAsia="Arial" w:cs="Arial"/>
                <w:sz w:val="21"/>
                <w:szCs w:val="21"/>
              </w:rPr>
            </w:pPr>
            <w:r>
              <w:rPr>
                <w:rFonts w:ascii="Arial" w:hAnsi="Arial" w:eastAsia="Arial" w:cs="Arial"/>
                <w:b/>
                <w:sz w:val="21"/>
                <w:szCs w:val="21"/>
              </w:rPr>
              <w:t>EMEB Gleba Dom Bosco</w:t>
            </w:r>
          </w:p>
        </w:tc>
        <w:tc>
          <w:tcPr>
            <w:tcW w:w="3467" w:type="dxa"/>
            <w:tcBorders>
              <w:left w:val="single" w:color="000000" w:sz="4" w:space="0"/>
              <w:bottom w:val="single" w:color="000000" w:sz="4" w:space="0"/>
              <w:right w:val="single" w:color="000000" w:sz="4" w:space="0"/>
            </w:tcBorders>
            <w:vAlign w:val="bottom"/>
          </w:tcPr>
          <w:p w14:paraId="75D4C0C5">
            <w:pPr>
              <w:widowControl w:val="0"/>
              <w:spacing w:line="192" w:lineRule="auto"/>
              <w:jc w:val="both"/>
              <w:rPr>
                <w:rFonts w:ascii="Arial" w:hAnsi="Arial" w:eastAsia="Arial" w:cs="Arial"/>
                <w:sz w:val="21"/>
                <w:szCs w:val="21"/>
              </w:rPr>
            </w:pPr>
            <w:r>
              <w:rPr>
                <w:rFonts w:ascii="Arial" w:hAnsi="Arial" w:eastAsia="Arial" w:cs="Arial"/>
                <w:sz w:val="21"/>
                <w:szCs w:val="21"/>
              </w:rPr>
              <w:t>Rod. MT 270, Km 06, Via Guiratinga. Cep78.710-129</w:t>
            </w:r>
          </w:p>
        </w:tc>
      </w:tr>
      <w:tr w14:paraId="37DDB99F">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1C4E291C">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7D8BDF06">
            <w:pPr>
              <w:widowControl w:val="0"/>
              <w:spacing w:line="192" w:lineRule="auto"/>
              <w:rPr>
                <w:rFonts w:ascii="Arial" w:hAnsi="Arial" w:eastAsia="Arial" w:cs="Arial"/>
                <w:sz w:val="21"/>
                <w:szCs w:val="21"/>
              </w:rPr>
            </w:pPr>
            <w:r>
              <w:rPr>
                <w:rFonts w:ascii="Arial" w:hAnsi="Arial" w:eastAsia="Arial" w:cs="Arial"/>
                <w:b/>
                <w:sz w:val="21"/>
                <w:szCs w:val="21"/>
              </w:rPr>
              <w:t>EMEB Celson Antônio de Carvalho</w:t>
            </w:r>
          </w:p>
        </w:tc>
        <w:tc>
          <w:tcPr>
            <w:tcW w:w="3467" w:type="dxa"/>
            <w:tcBorders>
              <w:left w:val="single" w:color="000000" w:sz="4" w:space="0"/>
              <w:bottom w:val="single" w:color="000000" w:sz="4" w:space="0"/>
              <w:right w:val="single" w:color="000000" w:sz="4" w:space="0"/>
            </w:tcBorders>
            <w:vAlign w:val="bottom"/>
          </w:tcPr>
          <w:p w14:paraId="79F7F0CC">
            <w:pPr>
              <w:widowControl w:val="0"/>
              <w:spacing w:line="192" w:lineRule="auto"/>
              <w:jc w:val="both"/>
              <w:rPr>
                <w:rFonts w:ascii="Arial" w:hAnsi="Arial" w:eastAsia="Arial" w:cs="Arial"/>
                <w:sz w:val="21"/>
                <w:szCs w:val="21"/>
              </w:rPr>
            </w:pPr>
            <w:r>
              <w:rPr>
                <w:rFonts w:ascii="Arial" w:hAnsi="Arial" w:eastAsia="Arial" w:cs="Arial"/>
                <w:sz w:val="21"/>
                <w:szCs w:val="21"/>
              </w:rPr>
              <w:t>Rua Um, 1105 - Residencial Alfredo De Castro Cep: 78731250</w:t>
            </w:r>
          </w:p>
        </w:tc>
      </w:tr>
      <w:tr w14:paraId="69F8DB7B">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5026D7CF">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7D32123D">
            <w:pPr>
              <w:widowControl w:val="0"/>
              <w:spacing w:line="192" w:lineRule="auto"/>
              <w:rPr>
                <w:rFonts w:ascii="Arial" w:hAnsi="Arial" w:eastAsia="Arial" w:cs="Arial"/>
                <w:sz w:val="21"/>
                <w:szCs w:val="21"/>
              </w:rPr>
            </w:pPr>
            <w:r>
              <w:rPr>
                <w:rFonts w:ascii="Arial" w:hAnsi="Arial" w:eastAsia="Arial" w:cs="Arial"/>
                <w:b/>
                <w:sz w:val="21"/>
                <w:szCs w:val="21"/>
              </w:rPr>
              <w:t>EMEB Terezinha Silva de Souza</w:t>
            </w:r>
          </w:p>
        </w:tc>
        <w:tc>
          <w:tcPr>
            <w:tcW w:w="3467" w:type="dxa"/>
            <w:tcBorders>
              <w:left w:val="single" w:color="000000" w:sz="4" w:space="0"/>
              <w:bottom w:val="single" w:color="000000" w:sz="4" w:space="0"/>
              <w:right w:val="single" w:color="000000" w:sz="4" w:space="0"/>
            </w:tcBorders>
            <w:vAlign w:val="bottom"/>
          </w:tcPr>
          <w:p w14:paraId="04F29989">
            <w:pPr>
              <w:widowControl w:val="0"/>
              <w:spacing w:line="192" w:lineRule="auto"/>
              <w:jc w:val="both"/>
              <w:rPr>
                <w:rFonts w:ascii="Arial" w:hAnsi="Arial" w:eastAsia="Arial" w:cs="Arial"/>
                <w:sz w:val="21"/>
                <w:szCs w:val="21"/>
              </w:rPr>
            </w:pPr>
            <w:r>
              <w:rPr>
                <w:rFonts w:ascii="Arial" w:hAnsi="Arial" w:eastAsia="Arial" w:cs="Arial"/>
                <w:sz w:val="21"/>
                <w:szCs w:val="21"/>
              </w:rPr>
              <w:t>Residencial Celina Bezerra - 1625 - Res. Das Orquídeas, Rondonópolis - MT, 78803-000</w:t>
            </w:r>
          </w:p>
        </w:tc>
      </w:tr>
      <w:tr w14:paraId="31DDDCA2">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0B08FF2A">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73319CEF">
            <w:pPr>
              <w:widowControl w:val="0"/>
              <w:spacing w:line="192" w:lineRule="auto"/>
              <w:rPr>
                <w:rFonts w:ascii="Arial" w:hAnsi="Arial" w:eastAsia="Arial" w:cs="Arial"/>
                <w:sz w:val="21"/>
                <w:szCs w:val="21"/>
              </w:rPr>
            </w:pPr>
            <w:r>
              <w:rPr>
                <w:rFonts w:ascii="Arial" w:hAnsi="Arial" w:eastAsia="Arial" w:cs="Arial"/>
                <w:b/>
                <w:sz w:val="21"/>
                <w:szCs w:val="21"/>
              </w:rPr>
              <w:t>EMEB Prof. Renilda Silva Moraes</w:t>
            </w:r>
          </w:p>
        </w:tc>
        <w:tc>
          <w:tcPr>
            <w:tcW w:w="3467" w:type="dxa"/>
            <w:tcBorders>
              <w:left w:val="single" w:color="000000" w:sz="4" w:space="0"/>
              <w:bottom w:val="single" w:color="000000" w:sz="4" w:space="0"/>
              <w:right w:val="single" w:color="000000" w:sz="4" w:space="0"/>
            </w:tcBorders>
            <w:vAlign w:val="bottom"/>
          </w:tcPr>
          <w:p w14:paraId="515E833F">
            <w:pPr>
              <w:widowControl w:val="0"/>
              <w:spacing w:line="192" w:lineRule="auto"/>
              <w:jc w:val="both"/>
              <w:rPr>
                <w:rFonts w:ascii="Arial" w:hAnsi="Arial" w:eastAsia="Arial" w:cs="Arial"/>
                <w:sz w:val="21"/>
                <w:szCs w:val="21"/>
              </w:rPr>
            </w:pPr>
            <w:r>
              <w:rPr>
                <w:rFonts w:ascii="Arial" w:hAnsi="Arial" w:eastAsia="Arial" w:cs="Arial"/>
                <w:sz w:val="21"/>
                <w:szCs w:val="21"/>
              </w:rPr>
              <w:t>Rua Jacarandas - Coophalis, Rondonópolis - MT, 78338-035</w:t>
            </w:r>
          </w:p>
        </w:tc>
      </w:tr>
      <w:tr w14:paraId="5DD23875">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2765F70A">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0DC2F95A">
            <w:pPr>
              <w:widowControl w:val="0"/>
              <w:spacing w:line="192" w:lineRule="auto"/>
              <w:rPr>
                <w:rFonts w:ascii="Arial" w:hAnsi="Arial" w:eastAsia="Arial" w:cs="Arial"/>
                <w:sz w:val="21"/>
                <w:szCs w:val="21"/>
              </w:rPr>
            </w:pPr>
            <w:r>
              <w:rPr>
                <w:rFonts w:ascii="Arial" w:hAnsi="Arial" w:eastAsia="Arial" w:cs="Arial"/>
                <w:b/>
                <w:sz w:val="21"/>
                <w:szCs w:val="21"/>
              </w:rPr>
              <w:t>EMEB Profº Carlos Pereira Barbosa</w:t>
            </w:r>
          </w:p>
        </w:tc>
        <w:tc>
          <w:tcPr>
            <w:tcW w:w="3467" w:type="dxa"/>
            <w:tcBorders>
              <w:left w:val="single" w:color="000000" w:sz="4" w:space="0"/>
              <w:bottom w:val="single" w:color="000000" w:sz="4" w:space="0"/>
              <w:right w:val="single" w:color="000000" w:sz="4" w:space="0"/>
            </w:tcBorders>
            <w:vAlign w:val="bottom"/>
          </w:tcPr>
          <w:p w14:paraId="0BE4A673">
            <w:pPr>
              <w:widowControl w:val="0"/>
              <w:spacing w:line="192" w:lineRule="auto"/>
              <w:jc w:val="both"/>
              <w:rPr>
                <w:rFonts w:ascii="Arial" w:hAnsi="Arial" w:eastAsia="Arial" w:cs="Arial"/>
                <w:sz w:val="21"/>
                <w:szCs w:val="21"/>
              </w:rPr>
            </w:pPr>
            <w:r>
              <w:rPr>
                <w:rFonts w:ascii="Arial" w:hAnsi="Arial" w:eastAsia="Arial" w:cs="Arial"/>
                <w:sz w:val="21"/>
                <w:szCs w:val="21"/>
              </w:rPr>
              <w:t>Av. Inglaterra - Jardim Europa, Rondonópolis - MT, 78338-027</w:t>
            </w:r>
          </w:p>
        </w:tc>
      </w:tr>
      <w:tr w14:paraId="0807A027">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64CCC08F">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1E0428E9">
            <w:pPr>
              <w:widowControl w:val="0"/>
              <w:spacing w:line="192" w:lineRule="auto"/>
              <w:rPr>
                <w:rFonts w:ascii="Arial" w:hAnsi="Arial" w:eastAsia="Arial" w:cs="Arial"/>
                <w:sz w:val="21"/>
                <w:szCs w:val="21"/>
              </w:rPr>
            </w:pPr>
            <w:r>
              <w:rPr>
                <w:rFonts w:ascii="Arial" w:hAnsi="Arial" w:eastAsia="Arial" w:cs="Arial"/>
                <w:b/>
                <w:sz w:val="21"/>
                <w:szCs w:val="21"/>
              </w:rPr>
              <w:t>EMEB Mario de Andrade</w:t>
            </w:r>
          </w:p>
        </w:tc>
        <w:tc>
          <w:tcPr>
            <w:tcW w:w="3467" w:type="dxa"/>
            <w:tcBorders>
              <w:left w:val="single" w:color="000000" w:sz="4" w:space="0"/>
              <w:bottom w:val="single" w:color="000000" w:sz="4" w:space="0"/>
              <w:right w:val="single" w:color="000000" w:sz="4" w:space="0"/>
            </w:tcBorders>
            <w:vAlign w:val="bottom"/>
          </w:tcPr>
          <w:p w14:paraId="20A228E5">
            <w:pPr>
              <w:widowControl w:val="0"/>
              <w:spacing w:line="192" w:lineRule="auto"/>
              <w:jc w:val="both"/>
              <w:rPr>
                <w:rFonts w:ascii="Arial" w:hAnsi="Arial" w:eastAsia="Arial" w:cs="Arial"/>
                <w:sz w:val="21"/>
                <w:szCs w:val="21"/>
              </w:rPr>
            </w:pPr>
            <w:r>
              <w:rPr>
                <w:rFonts w:ascii="Arial" w:hAnsi="Arial" w:eastAsia="Arial" w:cs="Arial"/>
                <w:sz w:val="21"/>
                <w:szCs w:val="21"/>
              </w:rPr>
              <w:t>R. da Pátria, 915 Vila Verde. Cep78.721-702</w:t>
            </w:r>
          </w:p>
        </w:tc>
      </w:tr>
      <w:tr w14:paraId="6651AF3E">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2797AC2C">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00B4C9B6">
            <w:pPr>
              <w:widowControl w:val="0"/>
              <w:spacing w:line="192" w:lineRule="auto"/>
              <w:rPr>
                <w:rFonts w:ascii="Arial" w:hAnsi="Arial" w:eastAsia="Arial" w:cs="Arial"/>
                <w:sz w:val="21"/>
                <w:szCs w:val="21"/>
              </w:rPr>
            </w:pPr>
            <w:r>
              <w:rPr>
                <w:rFonts w:ascii="Arial" w:hAnsi="Arial" w:eastAsia="Arial" w:cs="Arial"/>
                <w:b/>
                <w:sz w:val="21"/>
                <w:szCs w:val="21"/>
              </w:rPr>
              <w:t>EMEB Irmã Elza Giovanella</w:t>
            </w:r>
          </w:p>
        </w:tc>
        <w:tc>
          <w:tcPr>
            <w:tcW w:w="3467" w:type="dxa"/>
            <w:tcBorders>
              <w:left w:val="single" w:color="000000" w:sz="4" w:space="0"/>
              <w:bottom w:val="single" w:color="000000" w:sz="4" w:space="0"/>
              <w:right w:val="single" w:color="000000" w:sz="4" w:space="0"/>
            </w:tcBorders>
            <w:vAlign w:val="bottom"/>
          </w:tcPr>
          <w:p w14:paraId="32AB07A9">
            <w:pPr>
              <w:widowControl w:val="0"/>
              <w:spacing w:line="192" w:lineRule="auto"/>
              <w:jc w:val="both"/>
              <w:rPr>
                <w:rFonts w:ascii="Arial" w:hAnsi="Arial" w:eastAsia="Arial" w:cs="Arial"/>
                <w:sz w:val="21"/>
                <w:szCs w:val="21"/>
              </w:rPr>
            </w:pPr>
            <w:r>
              <w:rPr>
                <w:rFonts w:ascii="Arial" w:hAnsi="Arial" w:eastAsia="Arial" w:cs="Arial"/>
                <w:sz w:val="21"/>
                <w:szCs w:val="21"/>
              </w:rPr>
              <w:t>R. Dulcinéia Cascão Barbosa, S/N, Res. Vl. Mineira.  Cep78.721-533</w:t>
            </w:r>
          </w:p>
        </w:tc>
      </w:tr>
      <w:tr w14:paraId="3765C9A8">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66BCC27D">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727E1936">
            <w:pPr>
              <w:widowControl w:val="0"/>
              <w:spacing w:line="192" w:lineRule="auto"/>
              <w:rPr>
                <w:rFonts w:ascii="Arial" w:hAnsi="Arial" w:eastAsia="Arial" w:cs="Arial"/>
                <w:sz w:val="21"/>
                <w:szCs w:val="21"/>
              </w:rPr>
            </w:pPr>
            <w:r>
              <w:rPr>
                <w:rFonts w:ascii="Arial" w:hAnsi="Arial" w:eastAsia="Arial" w:cs="Arial"/>
                <w:b/>
                <w:sz w:val="21"/>
                <w:szCs w:val="21"/>
              </w:rPr>
              <w:t>EMEB Princesa Isabel</w:t>
            </w:r>
          </w:p>
        </w:tc>
        <w:tc>
          <w:tcPr>
            <w:tcW w:w="3467" w:type="dxa"/>
            <w:tcBorders>
              <w:left w:val="single" w:color="000000" w:sz="4" w:space="0"/>
              <w:bottom w:val="single" w:color="000000" w:sz="4" w:space="0"/>
              <w:right w:val="single" w:color="000000" w:sz="4" w:space="0"/>
            </w:tcBorders>
            <w:vAlign w:val="bottom"/>
          </w:tcPr>
          <w:p w14:paraId="6A9A2AB8">
            <w:pPr>
              <w:widowControl w:val="0"/>
              <w:spacing w:line="192" w:lineRule="auto"/>
              <w:jc w:val="both"/>
              <w:rPr>
                <w:rFonts w:ascii="Arial" w:hAnsi="Arial" w:eastAsia="Arial" w:cs="Arial"/>
                <w:sz w:val="21"/>
                <w:szCs w:val="21"/>
              </w:rPr>
            </w:pPr>
            <w:r>
              <w:rPr>
                <w:rFonts w:ascii="Arial" w:hAnsi="Arial" w:eastAsia="Arial" w:cs="Arial"/>
                <w:sz w:val="21"/>
                <w:szCs w:val="21"/>
              </w:rPr>
              <w:t>R. Wesley dos Santos S/N, Jd. Das Flores Cep78.721-045</w:t>
            </w:r>
          </w:p>
        </w:tc>
      </w:tr>
      <w:tr w14:paraId="2B2F3169">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56F612B0">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3937CFEA">
            <w:pPr>
              <w:widowControl w:val="0"/>
              <w:spacing w:line="192" w:lineRule="auto"/>
              <w:rPr>
                <w:rFonts w:ascii="Arial" w:hAnsi="Arial" w:eastAsia="Arial" w:cs="Arial"/>
                <w:sz w:val="21"/>
                <w:szCs w:val="21"/>
              </w:rPr>
            </w:pPr>
            <w:r>
              <w:rPr>
                <w:rFonts w:ascii="Arial" w:hAnsi="Arial" w:eastAsia="Arial" w:cs="Arial"/>
                <w:b/>
                <w:sz w:val="21"/>
                <w:szCs w:val="21"/>
              </w:rPr>
              <w:t>EMEB Profª Sebastiana Rodrigues de Souza</w:t>
            </w:r>
          </w:p>
        </w:tc>
        <w:tc>
          <w:tcPr>
            <w:tcW w:w="3467" w:type="dxa"/>
            <w:tcBorders>
              <w:left w:val="single" w:color="000000" w:sz="4" w:space="0"/>
              <w:bottom w:val="single" w:color="000000" w:sz="4" w:space="0"/>
              <w:right w:val="single" w:color="000000" w:sz="4" w:space="0"/>
            </w:tcBorders>
            <w:vAlign w:val="bottom"/>
          </w:tcPr>
          <w:p w14:paraId="2D302604">
            <w:pPr>
              <w:widowControl w:val="0"/>
              <w:spacing w:line="192" w:lineRule="auto"/>
              <w:jc w:val="both"/>
              <w:rPr>
                <w:rFonts w:ascii="Arial" w:hAnsi="Arial" w:eastAsia="Arial" w:cs="Arial"/>
                <w:sz w:val="21"/>
                <w:szCs w:val="21"/>
              </w:rPr>
            </w:pPr>
            <w:r>
              <w:rPr>
                <w:rFonts w:ascii="Arial" w:hAnsi="Arial" w:eastAsia="Arial" w:cs="Arial"/>
                <w:sz w:val="21"/>
                <w:szCs w:val="21"/>
              </w:rPr>
              <w:t>R. Mariana Leite de Souza, 799 - Cidade Natal, Rondonópolis - MT, 78720-798</w:t>
            </w:r>
          </w:p>
        </w:tc>
      </w:tr>
      <w:tr w14:paraId="3EDB6FB4">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4C874756">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7CC87EF0">
            <w:pPr>
              <w:widowControl w:val="0"/>
              <w:spacing w:line="192" w:lineRule="auto"/>
              <w:rPr>
                <w:rFonts w:ascii="Arial" w:hAnsi="Arial" w:eastAsia="Arial" w:cs="Arial"/>
                <w:sz w:val="21"/>
                <w:szCs w:val="21"/>
              </w:rPr>
            </w:pPr>
            <w:r>
              <w:rPr>
                <w:rFonts w:ascii="Arial" w:hAnsi="Arial" w:eastAsia="Arial" w:cs="Arial"/>
                <w:b/>
                <w:sz w:val="21"/>
                <w:szCs w:val="21"/>
              </w:rPr>
              <w:t>EMEF Arão Gomes Bezerra</w:t>
            </w:r>
          </w:p>
        </w:tc>
        <w:tc>
          <w:tcPr>
            <w:tcW w:w="3467" w:type="dxa"/>
            <w:tcBorders>
              <w:left w:val="single" w:color="000000" w:sz="4" w:space="0"/>
              <w:bottom w:val="single" w:color="000000" w:sz="4" w:space="0"/>
              <w:right w:val="single" w:color="000000" w:sz="4" w:space="0"/>
            </w:tcBorders>
            <w:vAlign w:val="bottom"/>
          </w:tcPr>
          <w:p w14:paraId="32BAAF14">
            <w:pPr>
              <w:widowControl w:val="0"/>
              <w:spacing w:line="192" w:lineRule="auto"/>
              <w:jc w:val="both"/>
              <w:rPr>
                <w:rFonts w:ascii="Arial" w:hAnsi="Arial" w:eastAsia="Arial" w:cs="Arial"/>
                <w:sz w:val="21"/>
                <w:szCs w:val="21"/>
              </w:rPr>
            </w:pPr>
            <w:r>
              <w:rPr>
                <w:rFonts w:ascii="Arial" w:hAnsi="Arial" w:eastAsia="Arial" w:cs="Arial"/>
                <w:sz w:val="21"/>
                <w:szCs w:val="21"/>
              </w:rPr>
              <w:t>R. Rondonópolis, S/N, Jardim Itapuã. Cep 78.725-500</w:t>
            </w:r>
          </w:p>
        </w:tc>
      </w:tr>
      <w:tr w14:paraId="10FECF75">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03591347">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0B4537D4">
            <w:pPr>
              <w:widowControl w:val="0"/>
              <w:spacing w:line="192" w:lineRule="auto"/>
              <w:rPr>
                <w:rFonts w:ascii="Arial" w:hAnsi="Arial" w:eastAsia="Arial" w:cs="Arial"/>
                <w:sz w:val="21"/>
                <w:szCs w:val="21"/>
              </w:rPr>
            </w:pPr>
            <w:r>
              <w:rPr>
                <w:rFonts w:ascii="Arial" w:hAnsi="Arial" w:eastAsia="Arial" w:cs="Arial"/>
                <w:b/>
                <w:sz w:val="21"/>
                <w:szCs w:val="21"/>
              </w:rPr>
              <w:t>EMEB Melchiades Figueiredo Miranda</w:t>
            </w:r>
          </w:p>
        </w:tc>
        <w:tc>
          <w:tcPr>
            <w:tcW w:w="3467" w:type="dxa"/>
            <w:tcBorders>
              <w:left w:val="single" w:color="000000" w:sz="4" w:space="0"/>
              <w:bottom w:val="single" w:color="000000" w:sz="4" w:space="0"/>
              <w:right w:val="single" w:color="000000" w:sz="4" w:space="0"/>
            </w:tcBorders>
            <w:vAlign w:val="bottom"/>
          </w:tcPr>
          <w:p w14:paraId="797B79DB">
            <w:pPr>
              <w:widowControl w:val="0"/>
              <w:spacing w:line="192" w:lineRule="auto"/>
              <w:jc w:val="both"/>
              <w:rPr>
                <w:rFonts w:ascii="Arial" w:hAnsi="Arial" w:eastAsia="Arial" w:cs="Arial"/>
                <w:sz w:val="21"/>
                <w:szCs w:val="21"/>
              </w:rPr>
            </w:pPr>
            <w:r>
              <w:rPr>
                <w:rFonts w:ascii="Arial" w:hAnsi="Arial" w:eastAsia="Arial" w:cs="Arial"/>
                <w:sz w:val="21"/>
                <w:szCs w:val="21"/>
              </w:rPr>
              <w:t>R. Carvalho, S/N Pedra 90. Cep 78.750-290</w:t>
            </w:r>
          </w:p>
        </w:tc>
      </w:tr>
      <w:tr w14:paraId="085AEFE8">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1A696996">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59046E2A">
            <w:pPr>
              <w:widowControl w:val="0"/>
              <w:spacing w:line="192" w:lineRule="auto"/>
              <w:rPr>
                <w:rFonts w:ascii="Arial" w:hAnsi="Arial" w:eastAsia="Arial" w:cs="Arial"/>
                <w:sz w:val="21"/>
                <w:szCs w:val="21"/>
              </w:rPr>
            </w:pPr>
            <w:r>
              <w:rPr>
                <w:rFonts w:ascii="Arial" w:hAnsi="Arial" w:eastAsia="Arial" w:cs="Arial"/>
                <w:b/>
                <w:sz w:val="21"/>
                <w:szCs w:val="21"/>
              </w:rPr>
              <w:t>EMEF 1º de Maio</w:t>
            </w:r>
          </w:p>
        </w:tc>
        <w:tc>
          <w:tcPr>
            <w:tcW w:w="3467" w:type="dxa"/>
            <w:tcBorders>
              <w:left w:val="single" w:color="000000" w:sz="4" w:space="0"/>
              <w:bottom w:val="single" w:color="000000" w:sz="4" w:space="0"/>
              <w:right w:val="single" w:color="000000" w:sz="4" w:space="0"/>
            </w:tcBorders>
            <w:vAlign w:val="bottom"/>
          </w:tcPr>
          <w:p w14:paraId="1A0336D3">
            <w:pPr>
              <w:widowControl w:val="0"/>
              <w:spacing w:line="192" w:lineRule="auto"/>
              <w:jc w:val="both"/>
              <w:rPr>
                <w:rFonts w:ascii="Arial" w:hAnsi="Arial" w:eastAsia="Arial" w:cs="Arial"/>
                <w:sz w:val="21"/>
                <w:szCs w:val="21"/>
              </w:rPr>
            </w:pPr>
            <w:r>
              <w:rPr>
                <w:rFonts w:ascii="Arial" w:hAnsi="Arial" w:eastAsia="Arial" w:cs="Arial"/>
                <w:sz w:val="21"/>
                <w:szCs w:val="21"/>
              </w:rPr>
              <w:t>R. das Garças, S/N, Parque Universitário. Cep 78.750-210</w:t>
            </w:r>
          </w:p>
        </w:tc>
      </w:tr>
      <w:tr w14:paraId="21ED1A89">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23B2540D">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0B4F361E">
            <w:pPr>
              <w:widowControl w:val="0"/>
              <w:spacing w:line="192" w:lineRule="auto"/>
              <w:rPr>
                <w:rFonts w:ascii="Arial" w:hAnsi="Arial" w:eastAsia="Arial" w:cs="Arial"/>
                <w:sz w:val="21"/>
                <w:szCs w:val="21"/>
              </w:rPr>
            </w:pPr>
            <w:r>
              <w:rPr>
                <w:rFonts w:ascii="Arial" w:hAnsi="Arial" w:eastAsia="Arial" w:cs="Arial"/>
                <w:b/>
                <w:sz w:val="21"/>
                <w:szCs w:val="21"/>
              </w:rPr>
              <w:t>EMEF Firmício Alves Barreto</w:t>
            </w:r>
          </w:p>
        </w:tc>
        <w:tc>
          <w:tcPr>
            <w:tcW w:w="3467" w:type="dxa"/>
            <w:tcBorders>
              <w:left w:val="single" w:color="000000" w:sz="4" w:space="0"/>
              <w:bottom w:val="single" w:color="000000" w:sz="4" w:space="0"/>
              <w:right w:val="single" w:color="000000" w:sz="4" w:space="0"/>
            </w:tcBorders>
            <w:vAlign w:val="bottom"/>
          </w:tcPr>
          <w:p w14:paraId="78DBC3A2">
            <w:pPr>
              <w:widowControl w:val="0"/>
              <w:spacing w:line="192" w:lineRule="auto"/>
              <w:jc w:val="both"/>
              <w:rPr>
                <w:rFonts w:ascii="Arial" w:hAnsi="Arial" w:eastAsia="Arial" w:cs="Arial"/>
                <w:sz w:val="21"/>
                <w:szCs w:val="21"/>
              </w:rPr>
            </w:pPr>
            <w:r>
              <w:rPr>
                <w:rFonts w:ascii="Arial" w:hAnsi="Arial" w:eastAsia="Arial" w:cs="Arial"/>
                <w:sz w:val="21"/>
                <w:szCs w:val="21"/>
              </w:rPr>
              <w:t>R. A 3, S/Nº, Vl. Olinda I. Cep78.740-100</w:t>
            </w:r>
          </w:p>
        </w:tc>
      </w:tr>
      <w:tr w14:paraId="1B39EFDD">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201FB6D7">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7BB60B00">
            <w:pPr>
              <w:widowControl w:val="0"/>
              <w:spacing w:line="192" w:lineRule="auto"/>
              <w:rPr>
                <w:rFonts w:ascii="Arial" w:hAnsi="Arial" w:eastAsia="Arial" w:cs="Arial"/>
                <w:sz w:val="21"/>
                <w:szCs w:val="21"/>
              </w:rPr>
            </w:pPr>
            <w:r>
              <w:rPr>
                <w:rFonts w:ascii="Arial" w:hAnsi="Arial" w:eastAsia="Arial" w:cs="Arial"/>
                <w:b/>
                <w:sz w:val="21"/>
                <w:szCs w:val="21"/>
              </w:rPr>
              <w:t>EMEF Tancredo de Almeida Neves</w:t>
            </w:r>
          </w:p>
        </w:tc>
        <w:tc>
          <w:tcPr>
            <w:tcW w:w="3467" w:type="dxa"/>
            <w:tcBorders>
              <w:left w:val="single" w:color="000000" w:sz="4" w:space="0"/>
              <w:bottom w:val="single" w:color="000000" w:sz="4" w:space="0"/>
              <w:right w:val="single" w:color="000000" w:sz="4" w:space="0"/>
            </w:tcBorders>
            <w:vAlign w:val="bottom"/>
          </w:tcPr>
          <w:p w14:paraId="11D10859">
            <w:pPr>
              <w:widowControl w:val="0"/>
              <w:spacing w:line="192" w:lineRule="auto"/>
              <w:jc w:val="both"/>
              <w:rPr>
                <w:rFonts w:ascii="Arial" w:hAnsi="Arial" w:eastAsia="Arial" w:cs="Arial"/>
                <w:sz w:val="21"/>
                <w:szCs w:val="21"/>
              </w:rPr>
            </w:pPr>
            <w:r>
              <w:rPr>
                <w:rFonts w:ascii="Arial" w:hAnsi="Arial" w:eastAsia="Arial" w:cs="Arial"/>
                <w:sz w:val="21"/>
                <w:szCs w:val="21"/>
              </w:rPr>
              <w:t>R. Irerê, nº4244, Bairro Tancredo Neves. Cep78.750-778</w:t>
            </w:r>
          </w:p>
        </w:tc>
      </w:tr>
      <w:tr w14:paraId="07F7221B">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18B3A73C">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3F237A3F">
            <w:pPr>
              <w:widowControl w:val="0"/>
              <w:spacing w:line="192" w:lineRule="auto"/>
              <w:rPr>
                <w:rFonts w:ascii="Arial" w:hAnsi="Arial" w:eastAsia="Arial" w:cs="Arial"/>
                <w:sz w:val="21"/>
                <w:szCs w:val="21"/>
              </w:rPr>
            </w:pPr>
            <w:r>
              <w:rPr>
                <w:rFonts w:ascii="Arial" w:hAnsi="Arial" w:eastAsia="Arial" w:cs="Arial"/>
                <w:b/>
                <w:sz w:val="21"/>
                <w:szCs w:val="21"/>
              </w:rPr>
              <w:t>EMEB Aparecida de Souza Vetorasso</w:t>
            </w:r>
          </w:p>
        </w:tc>
        <w:tc>
          <w:tcPr>
            <w:tcW w:w="3467" w:type="dxa"/>
            <w:tcBorders>
              <w:left w:val="single" w:color="000000" w:sz="4" w:space="0"/>
              <w:bottom w:val="single" w:color="000000" w:sz="4" w:space="0"/>
              <w:right w:val="single" w:color="000000" w:sz="4" w:space="0"/>
            </w:tcBorders>
            <w:vAlign w:val="bottom"/>
          </w:tcPr>
          <w:p w14:paraId="4F15875F">
            <w:pPr>
              <w:widowControl w:val="0"/>
              <w:spacing w:line="192" w:lineRule="auto"/>
              <w:jc w:val="both"/>
              <w:rPr>
                <w:rFonts w:ascii="Arial" w:hAnsi="Arial" w:eastAsia="Arial" w:cs="Arial"/>
                <w:sz w:val="21"/>
                <w:szCs w:val="21"/>
              </w:rPr>
            </w:pPr>
            <w:r>
              <w:rPr>
                <w:rFonts w:ascii="Arial" w:hAnsi="Arial" w:eastAsia="Arial" w:cs="Arial"/>
                <w:sz w:val="21"/>
                <w:szCs w:val="21"/>
              </w:rPr>
              <w:t>Rua Dez de dezembro, 499 Verde Teto. Cep 78.745-861</w:t>
            </w:r>
          </w:p>
        </w:tc>
      </w:tr>
      <w:tr w14:paraId="1A0A2904">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2EE40A13">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7D635171">
            <w:pPr>
              <w:widowControl w:val="0"/>
              <w:spacing w:line="192" w:lineRule="auto"/>
              <w:rPr>
                <w:rFonts w:ascii="Arial" w:hAnsi="Arial" w:eastAsia="Arial" w:cs="Arial"/>
                <w:sz w:val="21"/>
                <w:szCs w:val="21"/>
              </w:rPr>
            </w:pPr>
            <w:r>
              <w:rPr>
                <w:rFonts w:ascii="Arial" w:hAnsi="Arial" w:eastAsia="Arial" w:cs="Arial"/>
                <w:b/>
                <w:sz w:val="21"/>
                <w:szCs w:val="21"/>
              </w:rPr>
              <w:t>EMEB João Evangelista Porto Fernandes</w:t>
            </w:r>
          </w:p>
        </w:tc>
        <w:tc>
          <w:tcPr>
            <w:tcW w:w="3467" w:type="dxa"/>
            <w:tcBorders>
              <w:left w:val="single" w:color="000000" w:sz="4" w:space="0"/>
              <w:bottom w:val="single" w:color="000000" w:sz="4" w:space="0"/>
              <w:right w:val="single" w:color="000000" w:sz="4" w:space="0"/>
            </w:tcBorders>
            <w:vAlign w:val="bottom"/>
          </w:tcPr>
          <w:p w14:paraId="66385462">
            <w:pPr>
              <w:widowControl w:val="0"/>
              <w:spacing w:line="192" w:lineRule="auto"/>
              <w:jc w:val="both"/>
              <w:rPr>
                <w:rFonts w:ascii="Arial" w:hAnsi="Arial" w:eastAsia="Arial" w:cs="Arial"/>
                <w:sz w:val="21"/>
                <w:szCs w:val="21"/>
              </w:rPr>
            </w:pPr>
            <w:r>
              <w:rPr>
                <w:rFonts w:ascii="Arial" w:hAnsi="Arial" w:eastAsia="Arial" w:cs="Arial"/>
                <w:sz w:val="21"/>
                <w:szCs w:val="21"/>
              </w:rPr>
              <w:t>R. Adalberto Antonio da Silvanº 2504, Jardim Morumbi. Cep 78.745-585</w:t>
            </w:r>
          </w:p>
        </w:tc>
      </w:tr>
      <w:tr w14:paraId="73C756BD">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12D44A22">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752CBF5C">
            <w:pPr>
              <w:widowControl w:val="0"/>
              <w:spacing w:line="192" w:lineRule="auto"/>
              <w:rPr>
                <w:rFonts w:ascii="Arial" w:hAnsi="Arial" w:eastAsia="Arial" w:cs="Arial"/>
                <w:sz w:val="21"/>
                <w:szCs w:val="21"/>
              </w:rPr>
            </w:pPr>
            <w:r>
              <w:rPr>
                <w:rFonts w:ascii="Arial" w:hAnsi="Arial" w:eastAsia="Arial" w:cs="Arial"/>
                <w:b/>
                <w:sz w:val="21"/>
                <w:szCs w:val="21"/>
              </w:rPr>
              <w:t>EMEB Giselio da Nóbrega</w:t>
            </w:r>
          </w:p>
        </w:tc>
        <w:tc>
          <w:tcPr>
            <w:tcW w:w="3467" w:type="dxa"/>
            <w:tcBorders>
              <w:left w:val="single" w:color="000000" w:sz="4" w:space="0"/>
              <w:bottom w:val="single" w:color="000000" w:sz="4" w:space="0"/>
              <w:right w:val="single" w:color="000000" w:sz="4" w:space="0"/>
            </w:tcBorders>
            <w:vAlign w:val="bottom"/>
          </w:tcPr>
          <w:p w14:paraId="50B6116D">
            <w:pPr>
              <w:widowControl w:val="0"/>
              <w:spacing w:line="192" w:lineRule="auto"/>
              <w:jc w:val="both"/>
              <w:rPr>
                <w:rFonts w:ascii="Arial" w:hAnsi="Arial" w:eastAsia="Arial" w:cs="Arial"/>
                <w:sz w:val="21"/>
                <w:szCs w:val="21"/>
              </w:rPr>
            </w:pPr>
            <w:r>
              <w:rPr>
                <w:rFonts w:ascii="Arial" w:hAnsi="Arial" w:eastAsia="Arial" w:cs="Arial"/>
                <w:sz w:val="21"/>
                <w:szCs w:val="21"/>
              </w:rPr>
              <w:t>R. Pedro Soares de Lara, 888, Vila. Mamed. Cep 78.745-240</w:t>
            </w:r>
          </w:p>
        </w:tc>
      </w:tr>
      <w:tr w14:paraId="0714B9E0">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41579030">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57436145">
            <w:pPr>
              <w:widowControl w:val="0"/>
              <w:spacing w:line="192" w:lineRule="auto"/>
              <w:rPr>
                <w:rFonts w:ascii="Arial" w:hAnsi="Arial" w:eastAsia="Arial" w:cs="Arial"/>
                <w:sz w:val="21"/>
                <w:szCs w:val="21"/>
              </w:rPr>
            </w:pPr>
            <w:r>
              <w:rPr>
                <w:rFonts w:ascii="Arial" w:hAnsi="Arial" w:eastAsia="Arial" w:cs="Arial"/>
                <w:b/>
                <w:sz w:val="21"/>
                <w:szCs w:val="21"/>
              </w:rPr>
              <w:t>EMEB Nossa Senhora Aparecida</w:t>
            </w:r>
          </w:p>
        </w:tc>
        <w:tc>
          <w:tcPr>
            <w:tcW w:w="3467" w:type="dxa"/>
            <w:tcBorders>
              <w:left w:val="single" w:color="000000" w:sz="4" w:space="0"/>
              <w:bottom w:val="single" w:color="000000" w:sz="4" w:space="0"/>
              <w:right w:val="single" w:color="000000" w:sz="4" w:space="0"/>
            </w:tcBorders>
            <w:vAlign w:val="bottom"/>
          </w:tcPr>
          <w:p w14:paraId="4EF77A1E">
            <w:pPr>
              <w:widowControl w:val="0"/>
              <w:spacing w:line="192" w:lineRule="auto"/>
              <w:jc w:val="both"/>
              <w:rPr>
                <w:rFonts w:ascii="Arial" w:hAnsi="Arial" w:eastAsia="Arial" w:cs="Arial"/>
                <w:sz w:val="21"/>
                <w:szCs w:val="21"/>
              </w:rPr>
            </w:pPr>
            <w:r>
              <w:rPr>
                <w:rFonts w:ascii="Arial" w:hAnsi="Arial" w:eastAsia="Arial" w:cs="Arial"/>
                <w:sz w:val="21"/>
                <w:szCs w:val="21"/>
              </w:rPr>
              <w:t>R. Teófilo Francisco da Cruz, 215, Vl. Canaã. Cep78.710-129</w:t>
            </w:r>
          </w:p>
        </w:tc>
      </w:tr>
      <w:tr w14:paraId="61EFAE89">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412B8C35">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3EAEB22F">
            <w:pPr>
              <w:widowControl w:val="0"/>
              <w:spacing w:line="192" w:lineRule="auto"/>
              <w:rPr>
                <w:rFonts w:ascii="Arial" w:hAnsi="Arial" w:eastAsia="Arial" w:cs="Arial"/>
                <w:sz w:val="21"/>
                <w:szCs w:val="21"/>
              </w:rPr>
            </w:pPr>
            <w:r>
              <w:rPr>
                <w:rFonts w:ascii="Arial" w:hAnsi="Arial" w:eastAsia="Arial" w:cs="Arial"/>
                <w:b/>
                <w:sz w:val="21"/>
                <w:szCs w:val="21"/>
              </w:rPr>
              <w:t>EMEB Odorico Leocádio da Rosa</w:t>
            </w:r>
          </w:p>
        </w:tc>
        <w:tc>
          <w:tcPr>
            <w:tcW w:w="3467" w:type="dxa"/>
            <w:tcBorders>
              <w:left w:val="single" w:color="000000" w:sz="4" w:space="0"/>
              <w:bottom w:val="single" w:color="000000" w:sz="4" w:space="0"/>
              <w:right w:val="single" w:color="000000" w:sz="4" w:space="0"/>
            </w:tcBorders>
            <w:vAlign w:val="bottom"/>
          </w:tcPr>
          <w:p w14:paraId="4EF68240">
            <w:pPr>
              <w:widowControl w:val="0"/>
              <w:spacing w:line="192" w:lineRule="auto"/>
              <w:jc w:val="both"/>
              <w:rPr>
                <w:rFonts w:ascii="Arial" w:hAnsi="Arial" w:eastAsia="Arial" w:cs="Arial"/>
                <w:sz w:val="21"/>
                <w:szCs w:val="21"/>
              </w:rPr>
            </w:pPr>
            <w:r>
              <w:rPr>
                <w:rFonts w:ascii="Arial" w:hAnsi="Arial" w:eastAsia="Arial" w:cs="Arial"/>
                <w:sz w:val="21"/>
                <w:szCs w:val="21"/>
              </w:rPr>
              <w:t>R. Rio Grande do Sul, 2640 - Jardim Belo Horizonte, Rondonópolis - MT, 78338-018</w:t>
            </w:r>
          </w:p>
        </w:tc>
      </w:tr>
      <w:tr w14:paraId="4A1BF073">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43079D14">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1621E3E8">
            <w:pPr>
              <w:widowControl w:val="0"/>
              <w:spacing w:line="192" w:lineRule="auto"/>
              <w:rPr>
                <w:rFonts w:ascii="Arial" w:hAnsi="Arial" w:eastAsia="Arial" w:cs="Arial"/>
                <w:sz w:val="21"/>
                <w:szCs w:val="21"/>
              </w:rPr>
            </w:pPr>
            <w:r>
              <w:rPr>
                <w:rFonts w:ascii="Arial" w:hAnsi="Arial" w:eastAsia="Arial" w:cs="Arial"/>
                <w:b/>
                <w:sz w:val="21"/>
                <w:szCs w:val="21"/>
              </w:rPr>
              <w:t>EMEB Albino Saldanha Dantas</w:t>
            </w:r>
          </w:p>
        </w:tc>
        <w:tc>
          <w:tcPr>
            <w:tcW w:w="3467" w:type="dxa"/>
            <w:tcBorders>
              <w:left w:val="single" w:color="000000" w:sz="4" w:space="0"/>
              <w:bottom w:val="single" w:color="000000" w:sz="4" w:space="0"/>
              <w:right w:val="single" w:color="000000" w:sz="4" w:space="0"/>
            </w:tcBorders>
            <w:vAlign w:val="bottom"/>
          </w:tcPr>
          <w:p w14:paraId="2D30F461">
            <w:pPr>
              <w:widowControl w:val="0"/>
              <w:spacing w:line="192" w:lineRule="auto"/>
              <w:jc w:val="both"/>
              <w:rPr>
                <w:rFonts w:ascii="Arial" w:hAnsi="Arial" w:eastAsia="Arial" w:cs="Arial"/>
                <w:sz w:val="21"/>
                <w:szCs w:val="21"/>
              </w:rPr>
            </w:pPr>
            <w:r>
              <w:rPr>
                <w:rFonts w:ascii="Arial" w:hAnsi="Arial" w:eastAsia="Arial" w:cs="Arial"/>
                <w:sz w:val="21"/>
                <w:szCs w:val="21"/>
              </w:rPr>
              <w:t>Rua Floriano Peixoto, 748 Centro. Cep 78.700-040(alugado) Rua Osvaldo Cruz, s/n vila Goulart</w:t>
            </w:r>
          </w:p>
        </w:tc>
      </w:tr>
      <w:tr w14:paraId="62D11096">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2CE442FF">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4BEAF499">
            <w:pPr>
              <w:widowControl w:val="0"/>
              <w:spacing w:line="192" w:lineRule="auto"/>
              <w:rPr>
                <w:rFonts w:ascii="Arial" w:hAnsi="Arial" w:eastAsia="Arial" w:cs="Arial"/>
                <w:sz w:val="21"/>
                <w:szCs w:val="21"/>
              </w:rPr>
            </w:pPr>
            <w:r>
              <w:rPr>
                <w:rFonts w:ascii="Arial" w:hAnsi="Arial" w:eastAsia="Arial" w:cs="Arial"/>
                <w:b/>
                <w:sz w:val="21"/>
                <w:szCs w:val="21"/>
              </w:rPr>
              <w:t xml:space="preserve"> EMEF Profª Gildázia de Souza Pirozzi</w:t>
            </w:r>
          </w:p>
        </w:tc>
        <w:tc>
          <w:tcPr>
            <w:tcW w:w="3467" w:type="dxa"/>
            <w:tcBorders>
              <w:left w:val="single" w:color="000000" w:sz="4" w:space="0"/>
              <w:bottom w:val="single" w:color="000000" w:sz="4" w:space="0"/>
              <w:right w:val="single" w:color="000000" w:sz="4" w:space="0"/>
            </w:tcBorders>
            <w:vAlign w:val="bottom"/>
          </w:tcPr>
          <w:p w14:paraId="0FB661C2">
            <w:pPr>
              <w:widowControl w:val="0"/>
              <w:spacing w:line="192" w:lineRule="auto"/>
              <w:jc w:val="both"/>
              <w:rPr>
                <w:rFonts w:ascii="Arial" w:hAnsi="Arial" w:eastAsia="Arial" w:cs="Arial"/>
                <w:sz w:val="21"/>
                <w:szCs w:val="21"/>
              </w:rPr>
            </w:pPr>
            <w:r>
              <w:rPr>
                <w:rFonts w:ascii="Arial" w:hAnsi="Arial" w:eastAsia="Arial" w:cs="Arial"/>
                <w:sz w:val="21"/>
                <w:szCs w:val="21"/>
              </w:rPr>
              <w:t>R. Francisco Manduca, Nº678, Jd Ipanema. Cep78.745-100</w:t>
            </w:r>
          </w:p>
        </w:tc>
      </w:tr>
      <w:tr w14:paraId="5401010F">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097644C7">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19394A8E">
            <w:pPr>
              <w:widowControl w:val="0"/>
              <w:spacing w:line="192" w:lineRule="auto"/>
              <w:rPr>
                <w:rFonts w:ascii="Arial" w:hAnsi="Arial" w:eastAsia="Arial" w:cs="Arial"/>
                <w:sz w:val="21"/>
                <w:szCs w:val="21"/>
              </w:rPr>
            </w:pPr>
            <w:r>
              <w:rPr>
                <w:rFonts w:ascii="Arial" w:hAnsi="Arial" w:eastAsia="Arial" w:cs="Arial"/>
                <w:b/>
                <w:sz w:val="21"/>
                <w:szCs w:val="21"/>
              </w:rPr>
              <w:t>EMEF Alfredo de Castro Araújo</w:t>
            </w:r>
          </w:p>
        </w:tc>
        <w:tc>
          <w:tcPr>
            <w:tcW w:w="3467" w:type="dxa"/>
            <w:tcBorders>
              <w:left w:val="single" w:color="000000" w:sz="4" w:space="0"/>
              <w:bottom w:val="single" w:color="000000" w:sz="4" w:space="0"/>
              <w:right w:val="single" w:color="000000" w:sz="4" w:space="0"/>
            </w:tcBorders>
            <w:vAlign w:val="bottom"/>
          </w:tcPr>
          <w:p w14:paraId="45EDEF45">
            <w:pPr>
              <w:widowControl w:val="0"/>
              <w:spacing w:line="192" w:lineRule="auto"/>
              <w:jc w:val="both"/>
              <w:rPr>
                <w:rFonts w:ascii="Arial" w:hAnsi="Arial" w:eastAsia="Arial" w:cs="Arial"/>
                <w:sz w:val="21"/>
                <w:szCs w:val="21"/>
              </w:rPr>
            </w:pPr>
            <w:r>
              <w:rPr>
                <w:rFonts w:ascii="Arial" w:hAnsi="Arial" w:eastAsia="Arial" w:cs="Arial"/>
                <w:sz w:val="21"/>
                <w:szCs w:val="21"/>
              </w:rPr>
              <w:t>Rua Judith Pereira da silva, L 02, Q 24 Bairro Maria Tereza. Cep 78.745-650</w:t>
            </w:r>
          </w:p>
        </w:tc>
      </w:tr>
      <w:tr w14:paraId="52DADF15">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459271DE">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1E272E30">
            <w:pPr>
              <w:widowControl w:val="0"/>
              <w:spacing w:line="192" w:lineRule="auto"/>
              <w:rPr>
                <w:rFonts w:ascii="Arial" w:hAnsi="Arial" w:eastAsia="Arial" w:cs="Arial"/>
                <w:sz w:val="21"/>
                <w:szCs w:val="21"/>
              </w:rPr>
            </w:pPr>
            <w:r>
              <w:rPr>
                <w:rFonts w:ascii="Arial" w:hAnsi="Arial" w:eastAsia="Arial" w:cs="Arial"/>
                <w:b/>
                <w:sz w:val="21"/>
                <w:szCs w:val="21"/>
              </w:rPr>
              <w:t>EMEB PROF. Dulcineia C. Barbosa</w:t>
            </w:r>
          </w:p>
        </w:tc>
        <w:tc>
          <w:tcPr>
            <w:tcW w:w="3467" w:type="dxa"/>
            <w:tcBorders>
              <w:left w:val="single" w:color="000000" w:sz="4" w:space="0"/>
              <w:bottom w:val="single" w:color="000000" w:sz="4" w:space="0"/>
              <w:right w:val="single" w:color="000000" w:sz="4" w:space="0"/>
            </w:tcBorders>
            <w:vAlign w:val="bottom"/>
          </w:tcPr>
          <w:p w14:paraId="6023A76D">
            <w:pPr>
              <w:widowControl w:val="0"/>
              <w:spacing w:line="192" w:lineRule="auto"/>
              <w:jc w:val="both"/>
              <w:rPr>
                <w:rFonts w:ascii="Arial" w:hAnsi="Arial" w:eastAsia="Arial" w:cs="Arial"/>
                <w:sz w:val="21"/>
                <w:szCs w:val="21"/>
              </w:rPr>
            </w:pPr>
            <w:r>
              <w:rPr>
                <w:rFonts w:ascii="Arial" w:hAnsi="Arial" w:eastAsia="Arial" w:cs="Arial"/>
                <w:sz w:val="21"/>
                <w:szCs w:val="21"/>
              </w:rPr>
              <w:t>R.07, Quadra 24, lote 02 Jd. Serra Dourada. Cep78.730-254</w:t>
            </w:r>
          </w:p>
        </w:tc>
      </w:tr>
      <w:tr w14:paraId="73D7DD03">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31AD0458">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558C6408">
            <w:pPr>
              <w:widowControl w:val="0"/>
              <w:spacing w:line="192" w:lineRule="auto"/>
              <w:rPr>
                <w:rFonts w:ascii="Arial" w:hAnsi="Arial" w:eastAsia="Arial" w:cs="Arial"/>
                <w:sz w:val="21"/>
                <w:szCs w:val="21"/>
              </w:rPr>
            </w:pPr>
            <w:r>
              <w:rPr>
                <w:rFonts w:ascii="Arial" w:hAnsi="Arial" w:eastAsia="Arial" w:cs="Arial"/>
                <w:b/>
                <w:sz w:val="21"/>
                <w:szCs w:val="21"/>
              </w:rPr>
              <w:t>EMEB Prof. Evânia Rodrigues da Silva</w:t>
            </w:r>
          </w:p>
        </w:tc>
        <w:tc>
          <w:tcPr>
            <w:tcW w:w="3467" w:type="dxa"/>
            <w:tcBorders>
              <w:left w:val="single" w:color="000000" w:sz="4" w:space="0"/>
              <w:bottom w:val="single" w:color="000000" w:sz="4" w:space="0"/>
              <w:right w:val="single" w:color="000000" w:sz="4" w:space="0"/>
            </w:tcBorders>
            <w:vAlign w:val="bottom"/>
          </w:tcPr>
          <w:p w14:paraId="05E66C5D">
            <w:pPr>
              <w:widowControl w:val="0"/>
              <w:spacing w:line="192" w:lineRule="auto"/>
              <w:jc w:val="both"/>
              <w:rPr>
                <w:rFonts w:ascii="Arial" w:hAnsi="Arial" w:eastAsia="Arial" w:cs="Arial"/>
                <w:sz w:val="21"/>
                <w:szCs w:val="21"/>
              </w:rPr>
            </w:pPr>
            <w:r>
              <w:rPr>
                <w:rFonts w:ascii="Arial" w:hAnsi="Arial" w:eastAsia="Arial" w:cs="Arial"/>
                <w:sz w:val="21"/>
                <w:szCs w:val="21"/>
              </w:rPr>
              <w:t>R. Belém, 1.401, Jardim Gramado. Cep78.715-180</w:t>
            </w:r>
          </w:p>
        </w:tc>
      </w:tr>
      <w:tr w14:paraId="196C4C54">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3B46A2E4">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1FE3E6C3">
            <w:pPr>
              <w:widowControl w:val="0"/>
              <w:spacing w:line="192" w:lineRule="auto"/>
              <w:jc w:val="both"/>
              <w:rPr>
                <w:rFonts w:ascii="Arial" w:hAnsi="Arial" w:eastAsia="Arial" w:cs="Arial"/>
                <w:sz w:val="21"/>
                <w:szCs w:val="21"/>
              </w:rPr>
            </w:pPr>
            <w:r>
              <w:rPr>
                <w:rFonts w:ascii="Arial" w:hAnsi="Arial" w:eastAsia="Arial" w:cs="Arial"/>
                <w:b/>
                <w:sz w:val="21"/>
                <w:szCs w:val="21"/>
              </w:rPr>
              <w:t>EMEF CPAC - Centro Popular de Ação Comunitária S. J.</w:t>
            </w:r>
          </w:p>
        </w:tc>
        <w:tc>
          <w:tcPr>
            <w:tcW w:w="3467" w:type="dxa"/>
            <w:tcBorders>
              <w:left w:val="single" w:color="000000" w:sz="4" w:space="0"/>
              <w:bottom w:val="single" w:color="000000" w:sz="4" w:space="0"/>
              <w:right w:val="single" w:color="000000" w:sz="4" w:space="0"/>
            </w:tcBorders>
            <w:vAlign w:val="bottom"/>
          </w:tcPr>
          <w:p w14:paraId="051889D4">
            <w:pPr>
              <w:widowControl w:val="0"/>
              <w:spacing w:line="192" w:lineRule="auto"/>
              <w:jc w:val="both"/>
              <w:rPr>
                <w:rFonts w:ascii="Arial" w:hAnsi="Arial" w:eastAsia="Arial" w:cs="Arial"/>
                <w:sz w:val="21"/>
                <w:szCs w:val="21"/>
              </w:rPr>
            </w:pPr>
            <w:r>
              <w:rPr>
                <w:rFonts w:ascii="Arial" w:hAnsi="Arial" w:eastAsia="Arial" w:cs="Arial"/>
                <w:sz w:val="21"/>
                <w:szCs w:val="21"/>
              </w:rPr>
              <w:t>Rua José Agostinho Neto, 875, Conj., São José I. Cep 78.715-413</w:t>
            </w:r>
          </w:p>
        </w:tc>
      </w:tr>
      <w:tr w14:paraId="4D96C7A0">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6AB902D6">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56AEC127">
            <w:pPr>
              <w:widowControl w:val="0"/>
              <w:spacing w:line="192" w:lineRule="auto"/>
              <w:rPr>
                <w:rFonts w:ascii="Arial" w:hAnsi="Arial" w:eastAsia="Arial" w:cs="Arial"/>
                <w:sz w:val="21"/>
                <w:szCs w:val="21"/>
              </w:rPr>
            </w:pPr>
            <w:r>
              <w:rPr>
                <w:rFonts w:ascii="Arial" w:hAnsi="Arial" w:eastAsia="Arial" w:cs="Arial"/>
                <w:b/>
                <w:sz w:val="21"/>
                <w:szCs w:val="21"/>
              </w:rPr>
              <w:t>EMEF Alcides Pereira dos Santos</w:t>
            </w:r>
          </w:p>
        </w:tc>
        <w:tc>
          <w:tcPr>
            <w:tcW w:w="3467" w:type="dxa"/>
            <w:tcBorders>
              <w:left w:val="single" w:color="000000" w:sz="4" w:space="0"/>
              <w:bottom w:val="single" w:color="000000" w:sz="4" w:space="0"/>
              <w:right w:val="single" w:color="000000" w:sz="4" w:space="0"/>
            </w:tcBorders>
            <w:vAlign w:val="bottom"/>
          </w:tcPr>
          <w:p w14:paraId="0934E736">
            <w:pPr>
              <w:widowControl w:val="0"/>
              <w:spacing w:line="192" w:lineRule="auto"/>
              <w:jc w:val="both"/>
              <w:rPr>
                <w:rFonts w:ascii="Arial" w:hAnsi="Arial" w:eastAsia="Arial" w:cs="Arial"/>
                <w:sz w:val="21"/>
                <w:szCs w:val="21"/>
              </w:rPr>
            </w:pPr>
            <w:r>
              <w:rPr>
                <w:rFonts w:ascii="Arial" w:hAnsi="Arial" w:eastAsia="Arial" w:cs="Arial"/>
                <w:sz w:val="21"/>
                <w:szCs w:val="21"/>
              </w:rPr>
              <w:t>Av. São João, S/N, João de Barro. Cep78.715-500</w:t>
            </w:r>
          </w:p>
        </w:tc>
      </w:tr>
      <w:tr w14:paraId="39A77CA3">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2C752A21">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25DE0822">
            <w:pPr>
              <w:widowControl w:val="0"/>
              <w:spacing w:line="192" w:lineRule="auto"/>
              <w:rPr>
                <w:rFonts w:ascii="Arial" w:hAnsi="Arial" w:eastAsia="Arial" w:cs="Arial"/>
                <w:sz w:val="21"/>
                <w:szCs w:val="21"/>
              </w:rPr>
            </w:pPr>
            <w:r>
              <w:rPr>
                <w:rFonts w:ascii="Arial" w:hAnsi="Arial" w:eastAsia="Arial" w:cs="Arial"/>
                <w:b/>
                <w:sz w:val="21"/>
                <w:szCs w:val="21"/>
              </w:rPr>
              <w:t>EMEBTI Virgilina de Melo Ferreira</w:t>
            </w:r>
          </w:p>
        </w:tc>
        <w:tc>
          <w:tcPr>
            <w:tcW w:w="3467" w:type="dxa"/>
            <w:tcBorders>
              <w:left w:val="single" w:color="000000" w:sz="4" w:space="0"/>
              <w:bottom w:val="single" w:color="000000" w:sz="4" w:space="0"/>
              <w:right w:val="single" w:color="000000" w:sz="4" w:space="0"/>
            </w:tcBorders>
            <w:vAlign w:val="bottom"/>
          </w:tcPr>
          <w:p w14:paraId="51EAD984">
            <w:pPr>
              <w:widowControl w:val="0"/>
              <w:spacing w:line="192" w:lineRule="auto"/>
              <w:jc w:val="both"/>
              <w:rPr>
                <w:rFonts w:ascii="Arial" w:hAnsi="Arial" w:eastAsia="Arial" w:cs="Arial"/>
                <w:sz w:val="21"/>
                <w:szCs w:val="21"/>
              </w:rPr>
            </w:pPr>
            <w:r>
              <w:rPr>
                <w:rFonts w:ascii="Arial" w:hAnsi="Arial" w:eastAsia="Arial" w:cs="Arial"/>
                <w:sz w:val="21"/>
                <w:szCs w:val="21"/>
              </w:rPr>
              <w:t>Rua A, Bairro Residencial Edelmina Querubim</w:t>
            </w:r>
          </w:p>
        </w:tc>
      </w:tr>
      <w:tr w14:paraId="5EB9965C">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69655154">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6EEDF4BB">
            <w:pPr>
              <w:widowControl w:val="0"/>
              <w:spacing w:line="192" w:lineRule="auto"/>
              <w:rPr>
                <w:rFonts w:ascii="Arial" w:hAnsi="Arial" w:eastAsia="Arial" w:cs="Arial"/>
                <w:sz w:val="21"/>
                <w:szCs w:val="21"/>
              </w:rPr>
            </w:pPr>
            <w:r>
              <w:rPr>
                <w:rFonts w:ascii="Arial" w:hAnsi="Arial" w:eastAsia="Arial" w:cs="Arial"/>
                <w:b/>
                <w:sz w:val="21"/>
                <w:szCs w:val="21"/>
              </w:rPr>
              <w:t>EMEB  Bernardo Venâncio de Carvalho</w:t>
            </w:r>
          </w:p>
        </w:tc>
        <w:tc>
          <w:tcPr>
            <w:tcW w:w="3467" w:type="dxa"/>
            <w:tcBorders>
              <w:left w:val="single" w:color="000000" w:sz="4" w:space="0"/>
              <w:bottom w:val="single" w:color="000000" w:sz="4" w:space="0"/>
              <w:right w:val="single" w:color="000000" w:sz="4" w:space="0"/>
            </w:tcBorders>
            <w:vAlign w:val="bottom"/>
          </w:tcPr>
          <w:p w14:paraId="39D29562">
            <w:pPr>
              <w:widowControl w:val="0"/>
              <w:spacing w:line="192" w:lineRule="auto"/>
              <w:jc w:val="both"/>
              <w:rPr>
                <w:rFonts w:ascii="Arial" w:hAnsi="Arial" w:eastAsia="Arial" w:cs="Arial"/>
                <w:sz w:val="21"/>
                <w:szCs w:val="21"/>
              </w:rPr>
            </w:pPr>
            <w:r>
              <w:rPr>
                <w:rFonts w:ascii="Arial" w:hAnsi="Arial" w:eastAsia="Arial" w:cs="Arial"/>
                <w:sz w:val="21"/>
                <w:szCs w:val="21"/>
              </w:rPr>
              <w:t>Av. Alberto Saddi, 921, Jd. Liberdade. Cep 78.700-970</w:t>
            </w:r>
          </w:p>
        </w:tc>
      </w:tr>
      <w:tr w14:paraId="57BA750F">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10CA2563">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3608F1E6">
            <w:pPr>
              <w:widowControl w:val="0"/>
              <w:spacing w:line="192" w:lineRule="auto"/>
              <w:rPr>
                <w:rFonts w:ascii="Arial" w:hAnsi="Arial" w:eastAsia="Arial" w:cs="Arial"/>
                <w:sz w:val="21"/>
                <w:szCs w:val="21"/>
              </w:rPr>
            </w:pPr>
            <w:r>
              <w:rPr>
                <w:rFonts w:ascii="Arial" w:hAnsi="Arial" w:eastAsia="Arial" w:cs="Arial"/>
                <w:b/>
                <w:sz w:val="21"/>
                <w:szCs w:val="21"/>
              </w:rPr>
              <w:t>EMEB PROF. Maria Aparecida de Oliveira</w:t>
            </w:r>
          </w:p>
        </w:tc>
        <w:tc>
          <w:tcPr>
            <w:tcW w:w="3467" w:type="dxa"/>
            <w:tcBorders>
              <w:left w:val="single" w:color="000000" w:sz="4" w:space="0"/>
              <w:bottom w:val="single" w:color="000000" w:sz="4" w:space="0"/>
              <w:right w:val="single" w:color="000000" w:sz="4" w:space="0"/>
            </w:tcBorders>
            <w:vAlign w:val="bottom"/>
          </w:tcPr>
          <w:p w14:paraId="1034E178">
            <w:pPr>
              <w:widowControl w:val="0"/>
              <w:spacing w:line="192" w:lineRule="auto"/>
              <w:jc w:val="both"/>
              <w:rPr>
                <w:rFonts w:ascii="Arial" w:hAnsi="Arial" w:eastAsia="Arial" w:cs="Arial"/>
                <w:sz w:val="21"/>
                <w:szCs w:val="21"/>
              </w:rPr>
            </w:pPr>
            <w:r>
              <w:rPr>
                <w:rFonts w:ascii="Arial" w:hAnsi="Arial" w:eastAsia="Arial" w:cs="Arial"/>
                <w:sz w:val="21"/>
                <w:szCs w:val="21"/>
              </w:rPr>
              <w:t>Av: Juscelino Ferreira Farias, 1485 Res. D. Neuma. Cep</w:t>
            </w:r>
          </w:p>
        </w:tc>
      </w:tr>
      <w:tr w14:paraId="17A6BBAD">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2729B0B2">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056C53E4">
            <w:pPr>
              <w:widowControl w:val="0"/>
              <w:spacing w:line="192" w:lineRule="auto"/>
              <w:rPr>
                <w:rFonts w:ascii="Arial" w:hAnsi="Arial" w:eastAsia="Arial" w:cs="Arial"/>
                <w:sz w:val="21"/>
                <w:szCs w:val="21"/>
              </w:rPr>
            </w:pPr>
            <w:r>
              <w:rPr>
                <w:rFonts w:ascii="Arial" w:hAnsi="Arial" w:eastAsia="Arial" w:cs="Arial"/>
                <w:b/>
                <w:sz w:val="21"/>
                <w:szCs w:val="21"/>
              </w:rPr>
              <w:t>EMEB Padre João Paulo Nolli</w:t>
            </w:r>
          </w:p>
        </w:tc>
        <w:tc>
          <w:tcPr>
            <w:tcW w:w="3467" w:type="dxa"/>
            <w:tcBorders>
              <w:left w:val="single" w:color="000000" w:sz="4" w:space="0"/>
              <w:bottom w:val="single" w:color="000000" w:sz="4" w:space="0"/>
              <w:right w:val="single" w:color="000000" w:sz="4" w:space="0"/>
            </w:tcBorders>
            <w:vAlign w:val="bottom"/>
          </w:tcPr>
          <w:p w14:paraId="27DB0049">
            <w:pPr>
              <w:widowControl w:val="0"/>
              <w:spacing w:line="192" w:lineRule="auto"/>
              <w:jc w:val="both"/>
              <w:rPr>
                <w:rFonts w:ascii="Arial" w:hAnsi="Arial" w:eastAsia="Arial" w:cs="Arial"/>
                <w:sz w:val="21"/>
                <w:szCs w:val="21"/>
              </w:rPr>
            </w:pPr>
            <w:r>
              <w:rPr>
                <w:rFonts w:ascii="Arial" w:hAnsi="Arial" w:eastAsia="Arial" w:cs="Arial"/>
                <w:sz w:val="21"/>
                <w:szCs w:val="21"/>
              </w:rPr>
              <w:t>Rua Rio Roosevelt, 1102 – Res. Dom Osorio Stoﬀel. Cep78.715-856</w:t>
            </w:r>
          </w:p>
        </w:tc>
      </w:tr>
      <w:tr w14:paraId="25E40C68">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727A9670">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63EA4889">
            <w:pPr>
              <w:widowControl w:val="0"/>
              <w:spacing w:line="192" w:lineRule="auto"/>
              <w:rPr>
                <w:rFonts w:ascii="Arial" w:hAnsi="Arial" w:eastAsia="Arial" w:cs="Arial"/>
                <w:sz w:val="21"/>
                <w:szCs w:val="21"/>
              </w:rPr>
            </w:pPr>
            <w:r>
              <w:rPr>
                <w:rFonts w:ascii="Arial" w:hAnsi="Arial" w:eastAsia="Arial" w:cs="Arial"/>
                <w:b/>
                <w:sz w:val="21"/>
                <w:szCs w:val="21"/>
              </w:rPr>
              <w:t>EMEB Antônio Guimarães Balbino</w:t>
            </w:r>
          </w:p>
          <w:p w14:paraId="2DEDA7BB">
            <w:pPr>
              <w:widowControl w:val="0"/>
              <w:spacing w:line="192" w:lineRule="auto"/>
              <w:rPr>
                <w:rFonts w:ascii="Arial" w:hAnsi="Arial" w:eastAsia="Arial" w:cs="Arial"/>
                <w:b/>
                <w:sz w:val="21"/>
                <w:szCs w:val="21"/>
              </w:rPr>
            </w:pPr>
          </w:p>
        </w:tc>
        <w:tc>
          <w:tcPr>
            <w:tcW w:w="3467" w:type="dxa"/>
            <w:tcBorders>
              <w:left w:val="single" w:color="000000" w:sz="4" w:space="0"/>
              <w:bottom w:val="single" w:color="000000" w:sz="4" w:space="0"/>
              <w:right w:val="single" w:color="000000" w:sz="4" w:space="0"/>
            </w:tcBorders>
            <w:vAlign w:val="bottom"/>
          </w:tcPr>
          <w:p w14:paraId="1148835C">
            <w:pPr>
              <w:widowControl w:val="0"/>
              <w:spacing w:line="192" w:lineRule="auto"/>
              <w:jc w:val="both"/>
              <w:rPr>
                <w:rFonts w:ascii="Arial" w:hAnsi="Arial" w:eastAsia="Arial" w:cs="Arial"/>
                <w:sz w:val="21"/>
                <w:szCs w:val="21"/>
              </w:rPr>
            </w:pPr>
            <w:r>
              <w:rPr>
                <w:rFonts w:ascii="Arial" w:hAnsi="Arial" w:eastAsia="Arial" w:cs="Arial"/>
                <w:sz w:val="21"/>
                <w:szCs w:val="21"/>
              </w:rPr>
              <w:t>R. Barão do Rio Branco - Jardim Guanabara, Rondonópolis - MT, 78338-017</w:t>
            </w:r>
          </w:p>
        </w:tc>
      </w:tr>
      <w:tr w14:paraId="3C75F692">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38BCBD29">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3BB19D65">
            <w:pPr>
              <w:widowControl w:val="0"/>
              <w:spacing w:line="192" w:lineRule="auto"/>
              <w:rPr>
                <w:rFonts w:ascii="Arial" w:hAnsi="Arial" w:eastAsia="Arial" w:cs="Arial"/>
                <w:sz w:val="21"/>
                <w:szCs w:val="21"/>
              </w:rPr>
            </w:pPr>
            <w:r>
              <w:rPr>
                <w:rFonts w:ascii="Arial" w:hAnsi="Arial" w:eastAsia="Arial" w:cs="Arial"/>
                <w:b/>
                <w:sz w:val="21"/>
                <w:szCs w:val="21"/>
              </w:rPr>
              <w:t>EMEF Frei Milton Marques da Silva</w:t>
            </w:r>
          </w:p>
        </w:tc>
        <w:tc>
          <w:tcPr>
            <w:tcW w:w="3467" w:type="dxa"/>
            <w:tcBorders>
              <w:left w:val="single" w:color="000000" w:sz="4" w:space="0"/>
              <w:bottom w:val="single" w:color="000000" w:sz="4" w:space="0"/>
              <w:right w:val="single" w:color="000000" w:sz="4" w:space="0"/>
            </w:tcBorders>
            <w:vAlign w:val="bottom"/>
          </w:tcPr>
          <w:p w14:paraId="27EFFAD1">
            <w:pPr>
              <w:widowControl w:val="0"/>
              <w:spacing w:line="192" w:lineRule="auto"/>
              <w:jc w:val="both"/>
              <w:rPr>
                <w:rFonts w:ascii="Arial" w:hAnsi="Arial" w:eastAsia="Arial" w:cs="Arial"/>
                <w:sz w:val="21"/>
                <w:szCs w:val="21"/>
              </w:rPr>
            </w:pPr>
            <w:r>
              <w:rPr>
                <w:rFonts w:ascii="Arial" w:hAnsi="Arial" w:eastAsia="Arial" w:cs="Arial"/>
                <w:sz w:val="21"/>
                <w:szCs w:val="21"/>
              </w:rPr>
              <w:t>R. Sabará, Nº 588, Vl. Rica. Cep78.750-610</w:t>
            </w:r>
          </w:p>
        </w:tc>
      </w:tr>
      <w:tr w14:paraId="73F19449">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1481264B">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39A6CA43">
            <w:pPr>
              <w:widowControl w:val="0"/>
              <w:spacing w:line="192" w:lineRule="auto"/>
              <w:rPr>
                <w:rFonts w:ascii="Arial" w:hAnsi="Arial" w:eastAsia="Arial" w:cs="Arial"/>
                <w:sz w:val="21"/>
                <w:szCs w:val="21"/>
              </w:rPr>
            </w:pPr>
            <w:r>
              <w:rPr>
                <w:rFonts w:ascii="Arial" w:hAnsi="Arial" w:eastAsia="Arial" w:cs="Arial"/>
                <w:b/>
                <w:sz w:val="21"/>
                <w:szCs w:val="21"/>
              </w:rPr>
              <w:t>EMCEB 14 de Agosto</w:t>
            </w:r>
          </w:p>
        </w:tc>
        <w:tc>
          <w:tcPr>
            <w:tcW w:w="3467" w:type="dxa"/>
            <w:tcBorders>
              <w:left w:val="single" w:color="000000" w:sz="4" w:space="0"/>
              <w:bottom w:val="single" w:color="000000" w:sz="4" w:space="0"/>
              <w:right w:val="single" w:color="000000" w:sz="4" w:space="0"/>
            </w:tcBorders>
            <w:vAlign w:val="bottom"/>
          </w:tcPr>
          <w:p w14:paraId="4EAA3CF6">
            <w:pPr>
              <w:widowControl w:val="0"/>
              <w:spacing w:line="192" w:lineRule="auto"/>
              <w:jc w:val="both"/>
              <w:rPr>
                <w:rFonts w:ascii="Arial" w:hAnsi="Arial" w:eastAsia="Arial" w:cs="Arial"/>
                <w:sz w:val="21"/>
                <w:szCs w:val="21"/>
              </w:rPr>
            </w:pPr>
            <w:r>
              <w:rPr>
                <w:rFonts w:ascii="Arial" w:hAnsi="Arial" w:eastAsia="Arial" w:cs="Arial"/>
                <w:sz w:val="21"/>
                <w:szCs w:val="21"/>
              </w:rPr>
              <w:t>Area Rural, Area Rural de Rondonopolis - CEP: 78750-899</w:t>
            </w:r>
          </w:p>
        </w:tc>
      </w:tr>
      <w:tr w14:paraId="313763E2">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15D2BC71">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509401B5">
            <w:pPr>
              <w:widowControl w:val="0"/>
              <w:spacing w:line="192" w:lineRule="auto"/>
              <w:rPr>
                <w:rFonts w:ascii="Arial" w:hAnsi="Arial" w:eastAsia="Arial" w:cs="Arial"/>
                <w:sz w:val="21"/>
                <w:szCs w:val="21"/>
              </w:rPr>
            </w:pPr>
            <w:r>
              <w:rPr>
                <w:rFonts w:ascii="Arial" w:hAnsi="Arial" w:eastAsia="Arial" w:cs="Arial"/>
                <w:b/>
                <w:sz w:val="21"/>
                <w:szCs w:val="21"/>
              </w:rPr>
              <w:t>EMCEB São Domingos Sávio</w:t>
            </w:r>
          </w:p>
        </w:tc>
        <w:tc>
          <w:tcPr>
            <w:tcW w:w="3467" w:type="dxa"/>
            <w:tcBorders>
              <w:left w:val="single" w:color="000000" w:sz="4" w:space="0"/>
              <w:bottom w:val="single" w:color="000000" w:sz="4" w:space="0"/>
              <w:right w:val="single" w:color="000000" w:sz="4" w:space="0"/>
            </w:tcBorders>
            <w:vAlign w:val="bottom"/>
          </w:tcPr>
          <w:p w14:paraId="5912619B">
            <w:pPr>
              <w:widowControl w:val="0"/>
              <w:spacing w:line="192" w:lineRule="auto"/>
              <w:jc w:val="both"/>
              <w:rPr>
                <w:rFonts w:ascii="Arial" w:hAnsi="Arial" w:eastAsia="Arial" w:cs="Arial"/>
                <w:sz w:val="21"/>
                <w:szCs w:val="21"/>
              </w:rPr>
            </w:pPr>
            <w:r>
              <w:rPr>
                <w:rFonts w:ascii="Arial" w:hAnsi="Arial" w:eastAsia="Arial" w:cs="Arial"/>
                <w:sz w:val="21"/>
                <w:szCs w:val="21"/>
              </w:rPr>
              <w:t>Av. Principal. Vl Naboreiro. Cep78.750.899</w:t>
            </w:r>
          </w:p>
        </w:tc>
      </w:tr>
      <w:tr w14:paraId="50F62AF8">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34FF9025">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4B49BA60">
            <w:pPr>
              <w:widowControl w:val="0"/>
              <w:spacing w:line="192" w:lineRule="auto"/>
              <w:rPr>
                <w:rFonts w:ascii="Arial" w:hAnsi="Arial" w:eastAsia="Arial" w:cs="Arial"/>
                <w:sz w:val="21"/>
                <w:szCs w:val="21"/>
              </w:rPr>
            </w:pPr>
            <w:r>
              <w:rPr>
                <w:rFonts w:ascii="Arial" w:hAnsi="Arial" w:eastAsia="Arial" w:cs="Arial"/>
                <w:b/>
                <w:sz w:val="21"/>
                <w:szCs w:val="21"/>
              </w:rPr>
              <w:t>EMCEB  Marajá</w:t>
            </w:r>
          </w:p>
        </w:tc>
        <w:tc>
          <w:tcPr>
            <w:tcW w:w="3467" w:type="dxa"/>
            <w:tcBorders>
              <w:left w:val="single" w:color="000000" w:sz="4" w:space="0"/>
              <w:bottom w:val="single" w:color="000000" w:sz="4" w:space="0"/>
              <w:right w:val="single" w:color="000000" w:sz="4" w:space="0"/>
            </w:tcBorders>
            <w:vAlign w:val="bottom"/>
          </w:tcPr>
          <w:p w14:paraId="667FD408">
            <w:pPr>
              <w:widowControl w:val="0"/>
              <w:spacing w:line="192" w:lineRule="auto"/>
              <w:jc w:val="both"/>
              <w:rPr>
                <w:rFonts w:ascii="Arial" w:hAnsi="Arial" w:eastAsia="Arial" w:cs="Arial"/>
                <w:sz w:val="21"/>
                <w:szCs w:val="21"/>
              </w:rPr>
            </w:pPr>
            <w:r>
              <w:rPr>
                <w:rFonts w:ascii="Arial" w:hAnsi="Arial" w:eastAsia="Arial" w:cs="Arial"/>
                <w:sz w:val="21"/>
                <w:szCs w:val="21"/>
              </w:rPr>
              <w:t>Rod. BR l63, Km l4 ,Via Marajá</w:t>
            </w:r>
          </w:p>
        </w:tc>
      </w:tr>
      <w:tr w14:paraId="293B46C8">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0EDB53CC">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0F2A7B93">
            <w:pPr>
              <w:widowControl w:val="0"/>
              <w:spacing w:line="192" w:lineRule="auto"/>
              <w:rPr>
                <w:rFonts w:ascii="Arial" w:hAnsi="Arial" w:eastAsia="Arial" w:cs="Arial"/>
                <w:sz w:val="21"/>
                <w:szCs w:val="21"/>
              </w:rPr>
            </w:pPr>
            <w:r>
              <w:rPr>
                <w:rFonts w:ascii="Arial" w:hAnsi="Arial" w:eastAsia="Arial" w:cs="Arial"/>
                <w:b/>
                <w:sz w:val="21"/>
                <w:szCs w:val="21"/>
              </w:rPr>
              <w:t>EMCEB Padre Dionísio Kuduavizcz</w:t>
            </w:r>
          </w:p>
        </w:tc>
        <w:tc>
          <w:tcPr>
            <w:tcW w:w="3467" w:type="dxa"/>
            <w:tcBorders>
              <w:left w:val="single" w:color="000000" w:sz="4" w:space="0"/>
              <w:bottom w:val="single" w:color="000000" w:sz="4" w:space="0"/>
              <w:right w:val="single" w:color="000000" w:sz="4" w:space="0"/>
            </w:tcBorders>
            <w:vAlign w:val="bottom"/>
          </w:tcPr>
          <w:p w14:paraId="6BD36E4C">
            <w:pPr>
              <w:widowControl w:val="0"/>
              <w:spacing w:line="192" w:lineRule="auto"/>
              <w:jc w:val="both"/>
              <w:rPr>
                <w:rFonts w:ascii="Arial" w:hAnsi="Arial" w:eastAsia="Arial" w:cs="Arial"/>
                <w:sz w:val="21"/>
                <w:szCs w:val="21"/>
              </w:rPr>
            </w:pPr>
            <w:r>
              <w:rPr>
                <w:rFonts w:ascii="Arial" w:hAnsi="Arial" w:eastAsia="Arial" w:cs="Arial"/>
                <w:sz w:val="21"/>
                <w:szCs w:val="21"/>
              </w:rPr>
              <w:t>Rod. MT 130, km 43 Linha 04 Gleba Cascata.Cep78.759-889</w:t>
            </w:r>
          </w:p>
        </w:tc>
      </w:tr>
      <w:tr w14:paraId="3CA1F1FD">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62173328">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2F1270D4">
            <w:pPr>
              <w:widowControl w:val="0"/>
              <w:spacing w:line="192" w:lineRule="auto"/>
              <w:rPr>
                <w:rFonts w:ascii="Arial" w:hAnsi="Arial" w:eastAsia="Arial" w:cs="Arial"/>
                <w:sz w:val="21"/>
                <w:szCs w:val="21"/>
              </w:rPr>
            </w:pPr>
            <w:r>
              <w:rPr>
                <w:rFonts w:ascii="Arial" w:hAnsi="Arial" w:eastAsia="Arial" w:cs="Arial"/>
                <w:b/>
                <w:sz w:val="21"/>
                <w:szCs w:val="21"/>
              </w:rPr>
              <w:t>EMCEB Rui Barbosa</w:t>
            </w:r>
          </w:p>
        </w:tc>
        <w:tc>
          <w:tcPr>
            <w:tcW w:w="3467" w:type="dxa"/>
            <w:tcBorders>
              <w:left w:val="single" w:color="000000" w:sz="4" w:space="0"/>
              <w:bottom w:val="single" w:color="000000" w:sz="4" w:space="0"/>
              <w:right w:val="single" w:color="000000" w:sz="4" w:space="0"/>
            </w:tcBorders>
            <w:vAlign w:val="bottom"/>
          </w:tcPr>
          <w:p w14:paraId="717F530C">
            <w:pPr>
              <w:widowControl w:val="0"/>
              <w:spacing w:line="192" w:lineRule="auto"/>
              <w:jc w:val="both"/>
              <w:rPr>
                <w:rFonts w:ascii="Arial" w:hAnsi="Arial" w:eastAsia="Arial" w:cs="Arial"/>
                <w:sz w:val="21"/>
                <w:szCs w:val="21"/>
              </w:rPr>
            </w:pPr>
            <w:r>
              <w:rPr>
                <w:rFonts w:ascii="Arial" w:hAnsi="Arial" w:eastAsia="Arial" w:cs="Arial"/>
                <w:sz w:val="21"/>
                <w:szCs w:val="21"/>
              </w:rPr>
              <w:t>Rod. Br 163 Vila Canguçu</w:t>
            </w:r>
          </w:p>
        </w:tc>
      </w:tr>
      <w:tr w14:paraId="7EF20CFD">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2BCD4FDA">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7E7D28F8">
            <w:pPr>
              <w:widowControl w:val="0"/>
              <w:spacing w:line="192" w:lineRule="auto"/>
              <w:rPr>
                <w:rFonts w:ascii="Arial" w:hAnsi="Arial" w:eastAsia="Arial" w:cs="Arial"/>
                <w:sz w:val="21"/>
                <w:szCs w:val="21"/>
              </w:rPr>
            </w:pPr>
            <w:r>
              <w:rPr>
                <w:rFonts w:ascii="Arial" w:hAnsi="Arial" w:eastAsia="Arial" w:cs="Arial"/>
                <w:b/>
                <w:sz w:val="21"/>
                <w:szCs w:val="21"/>
              </w:rPr>
              <w:t>EMCEB Fazenda Carimâ</w:t>
            </w:r>
          </w:p>
        </w:tc>
        <w:tc>
          <w:tcPr>
            <w:tcW w:w="3467" w:type="dxa"/>
            <w:tcBorders>
              <w:left w:val="single" w:color="000000" w:sz="4" w:space="0"/>
              <w:bottom w:val="single" w:color="000000" w:sz="4" w:space="0"/>
              <w:right w:val="single" w:color="000000" w:sz="4" w:space="0"/>
            </w:tcBorders>
            <w:vAlign w:val="bottom"/>
          </w:tcPr>
          <w:p w14:paraId="2299BCF0">
            <w:pPr>
              <w:widowControl w:val="0"/>
              <w:spacing w:line="192" w:lineRule="auto"/>
              <w:jc w:val="both"/>
              <w:rPr>
                <w:rFonts w:ascii="Arial" w:hAnsi="Arial" w:eastAsia="Arial" w:cs="Arial"/>
                <w:sz w:val="21"/>
                <w:szCs w:val="21"/>
              </w:rPr>
            </w:pPr>
            <w:r>
              <w:rPr>
                <w:rFonts w:ascii="Arial" w:hAnsi="Arial" w:eastAsia="Arial" w:cs="Arial"/>
                <w:sz w:val="21"/>
                <w:szCs w:val="21"/>
              </w:rPr>
              <w:t>Rod. BR 163, km 17 Região do Chapadão, Assentamento Carimã. Cep78.700-003</w:t>
            </w:r>
          </w:p>
        </w:tc>
      </w:tr>
      <w:tr w14:paraId="6F97C972">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26E942E4">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5DB7FDC4">
            <w:pPr>
              <w:widowControl w:val="0"/>
              <w:spacing w:line="192" w:lineRule="auto"/>
              <w:rPr>
                <w:rFonts w:ascii="Arial" w:hAnsi="Arial" w:eastAsia="Arial" w:cs="Arial"/>
                <w:sz w:val="21"/>
                <w:szCs w:val="21"/>
              </w:rPr>
            </w:pPr>
            <w:r>
              <w:rPr>
                <w:rFonts w:ascii="Arial" w:hAnsi="Arial" w:eastAsia="Arial" w:cs="Arial"/>
                <w:b/>
                <w:sz w:val="21"/>
                <w:szCs w:val="21"/>
              </w:rPr>
              <w:t>EMCEB Profª Dersi Rodrigues Almeida</w:t>
            </w:r>
          </w:p>
        </w:tc>
        <w:tc>
          <w:tcPr>
            <w:tcW w:w="3467" w:type="dxa"/>
            <w:tcBorders>
              <w:left w:val="single" w:color="000000" w:sz="4" w:space="0"/>
              <w:bottom w:val="single" w:color="000000" w:sz="4" w:space="0"/>
              <w:right w:val="single" w:color="000000" w:sz="4" w:space="0"/>
            </w:tcBorders>
            <w:vAlign w:val="bottom"/>
          </w:tcPr>
          <w:p w14:paraId="768F3958">
            <w:pPr>
              <w:widowControl w:val="0"/>
              <w:spacing w:line="192" w:lineRule="auto"/>
              <w:jc w:val="both"/>
              <w:rPr>
                <w:rFonts w:ascii="Arial" w:hAnsi="Arial" w:eastAsia="Arial" w:cs="Arial"/>
                <w:sz w:val="21"/>
                <w:szCs w:val="21"/>
              </w:rPr>
            </w:pPr>
            <w:r>
              <w:rPr>
                <w:rFonts w:ascii="Arial" w:hAnsi="Arial" w:eastAsia="Arial" w:cs="Arial"/>
                <w:sz w:val="21"/>
                <w:szCs w:val="21"/>
              </w:rPr>
              <w:t>Linha 02, Lotes 86 e 87,Gleba Rio Vermelho, Entrada Praia Clube Cep78.700-002</w:t>
            </w:r>
          </w:p>
        </w:tc>
      </w:tr>
      <w:tr w14:paraId="11268F30">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2D180A95">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0E5ACCD3">
            <w:pPr>
              <w:widowControl w:val="0"/>
              <w:spacing w:line="192" w:lineRule="auto"/>
              <w:rPr>
                <w:rFonts w:ascii="Arial" w:hAnsi="Arial" w:eastAsia="Arial" w:cs="Arial"/>
                <w:sz w:val="21"/>
                <w:szCs w:val="21"/>
              </w:rPr>
            </w:pPr>
            <w:r>
              <w:rPr>
                <w:rFonts w:ascii="Arial" w:hAnsi="Arial" w:eastAsia="Arial" w:cs="Arial"/>
                <w:b/>
                <w:sz w:val="21"/>
                <w:szCs w:val="21"/>
              </w:rPr>
              <w:t>EIMEB  Leosidio Fermau</w:t>
            </w:r>
          </w:p>
        </w:tc>
        <w:tc>
          <w:tcPr>
            <w:tcW w:w="3467" w:type="dxa"/>
            <w:tcBorders>
              <w:left w:val="single" w:color="000000" w:sz="4" w:space="0"/>
              <w:bottom w:val="single" w:color="000000" w:sz="4" w:space="0"/>
              <w:right w:val="single" w:color="000000" w:sz="4" w:space="0"/>
            </w:tcBorders>
            <w:vAlign w:val="bottom"/>
          </w:tcPr>
          <w:p w14:paraId="4C707432">
            <w:pPr>
              <w:widowControl w:val="0"/>
              <w:spacing w:line="192" w:lineRule="auto"/>
              <w:jc w:val="both"/>
              <w:rPr>
                <w:rFonts w:ascii="Arial" w:hAnsi="Arial" w:eastAsia="Arial" w:cs="Arial"/>
                <w:sz w:val="21"/>
                <w:szCs w:val="21"/>
              </w:rPr>
            </w:pPr>
            <w:r>
              <w:rPr>
                <w:rFonts w:ascii="Arial" w:hAnsi="Arial" w:eastAsia="Arial" w:cs="Arial"/>
                <w:sz w:val="21"/>
                <w:szCs w:val="21"/>
              </w:rPr>
              <w:t>Aldeia Tadarimana, Vila Nova Galileia</w:t>
            </w:r>
          </w:p>
        </w:tc>
      </w:tr>
      <w:tr w14:paraId="561B50FA">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0F4FE2EE">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06C18AAC">
            <w:pPr>
              <w:widowControl w:val="0"/>
              <w:spacing w:line="192" w:lineRule="auto"/>
              <w:rPr>
                <w:rFonts w:ascii="Arial" w:hAnsi="Arial" w:eastAsia="Arial" w:cs="Arial"/>
                <w:sz w:val="21"/>
                <w:szCs w:val="21"/>
              </w:rPr>
            </w:pPr>
            <w:r>
              <w:rPr>
                <w:rFonts w:ascii="Arial" w:hAnsi="Arial" w:eastAsia="Arial" w:cs="Arial"/>
                <w:b/>
                <w:sz w:val="21"/>
                <w:szCs w:val="21"/>
              </w:rPr>
              <w:t>EMEB Vereador Rozendo Ferreira de Souza</w:t>
            </w:r>
          </w:p>
        </w:tc>
        <w:tc>
          <w:tcPr>
            <w:tcW w:w="3467" w:type="dxa"/>
            <w:tcBorders>
              <w:left w:val="single" w:color="000000" w:sz="4" w:space="0"/>
              <w:bottom w:val="single" w:color="000000" w:sz="4" w:space="0"/>
              <w:right w:val="single" w:color="000000" w:sz="4" w:space="0"/>
            </w:tcBorders>
            <w:vAlign w:val="bottom"/>
          </w:tcPr>
          <w:p w14:paraId="49F1A387">
            <w:pPr>
              <w:widowControl w:val="0"/>
              <w:spacing w:line="192" w:lineRule="auto"/>
              <w:jc w:val="both"/>
              <w:rPr>
                <w:rFonts w:ascii="Arial" w:hAnsi="Arial" w:eastAsia="Arial" w:cs="Arial"/>
                <w:sz w:val="21"/>
                <w:szCs w:val="21"/>
              </w:rPr>
            </w:pPr>
            <w:r>
              <w:rPr>
                <w:rFonts w:ascii="Arial" w:hAnsi="Arial" w:eastAsia="Arial" w:cs="Arial"/>
                <w:sz w:val="21"/>
                <w:szCs w:val="21"/>
              </w:rPr>
              <w:t>Rua E. QD 05, Área Institucional II, Alfredo de Castro II</w:t>
            </w:r>
          </w:p>
        </w:tc>
      </w:tr>
      <w:tr w14:paraId="4821452B">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70FE65FA">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6A9B1BE2">
            <w:pPr>
              <w:widowControl w:val="0"/>
              <w:spacing w:line="192" w:lineRule="auto"/>
              <w:rPr>
                <w:rFonts w:ascii="Arial" w:hAnsi="Arial" w:eastAsia="Arial" w:cs="Arial"/>
                <w:sz w:val="21"/>
                <w:szCs w:val="21"/>
              </w:rPr>
            </w:pPr>
            <w:r>
              <w:rPr>
                <w:rFonts w:ascii="Arial" w:hAnsi="Arial" w:eastAsia="Arial" w:cs="Arial"/>
                <w:b/>
                <w:sz w:val="21"/>
                <w:szCs w:val="21"/>
              </w:rPr>
              <w:t>EMEB Altamirando de Araújo Miranda</w:t>
            </w:r>
          </w:p>
        </w:tc>
        <w:tc>
          <w:tcPr>
            <w:tcW w:w="3467" w:type="dxa"/>
            <w:tcBorders>
              <w:left w:val="single" w:color="000000" w:sz="4" w:space="0"/>
              <w:bottom w:val="single" w:color="000000" w:sz="4" w:space="0"/>
              <w:right w:val="single" w:color="000000" w:sz="4" w:space="0"/>
            </w:tcBorders>
            <w:vAlign w:val="bottom"/>
          </w:tcPr>
          <w:p w14:paraId="5B8994E0">
            <w:pPr>
              <w:widowControl w:val="0"/>
              <w:spacing w:line="192" w:lineRule="auto"/>
              <w:jc w:val="both"/>
              <w:rPr>
                <w:rFonts w:ascii="Arial" w:hAnsi="Arial" w:eastAsia="Arial" w:cs="Arial"/>
                <w:sz w:val="21"/>
                <w:szCs w:val="21"/>
              </w:rPr>
            </w:pPr>
            <w:r>
              <w:rPr>
                <w:rFonts w:ascii="Arial" w:hAnsi="Arial" w:eastAsia="Arial" w:cs="Arial"/>
                <w:sz w:val="21"/>
                <w:szCs w:val="21"/>
              </w:rPr>
              <w:t>AV. C Área 05, Residencial Margarida.</w:t>
            </w:r>
          </w:p>
        </w:tc>
      </w:tr>
      <w:tr w14:paraId="1DE17ACB">
        <w:tblPrEx>
          <w:tblCellMar>
            <w:top w:w="0" w:type="dxa"/>
            <w:left w:w="108" w:type="dxa"/>
            <w:bottom w:w="0" w:type="dxa"/>
            <w:right w:w="108" w:type="dxa"/>
          </w:tblCellMar>
        </w:tblPrEx>
        <w:trPr>
          <w:trHeight w:val="390" w:hRule="atLeast"/>
        </w:trPr>
        <w:tc>
          <w:tcPr>
            <w:tcW w:w="722" w:type="dxa"/>
            <w:tcBorders>
              <w:left w:val="single" w:color="000000" w:sz="4" w:space="0"/>
              <w:bottom w:val="single" w:color="000000" w:sz="4" w:space="0"/>
            </w:tcBorders>
            <w:vAlign w:val="bottom"/>
          </w:tcPr>
          <w:p w14:paraId="3F675CC3">
            <w:pPr>
              <w:widowControl w:val="0"/>
              <w:numPr>
                <w:ilvl w:val="0"/>
                <w:numId w:val="23"/>
              </w:numPr>
              <w:spacing w:line="192" w:lineRule="auto"/>
              <w:ind w:left="737" w:hanging="510"/>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7B5E6C05">
            <w:pPr>
              <w:widowControl w:val="0"/>
              <w:spacing w:line="192" w:lineRule="auto"/>
              <w:rPr>
                <w:rFonts w:ascii="Arial" w:hAnsi="Arial" w:eastAsia="Arial" w:cs="Arial"/>
                <w:sz w:val="21"/>
                <w:szCs w:val="21"/>
              </w:rPr>
            </w:pPr>
            <w:r>
              <w:rPr>
                <w:rFonts w:ascii="Arial" w:hAnsi="Arial" w:eastAsia="Arial" w:cs="Arial"/>
                <w:b/>
                <w:sz w:val="21"/>
                <w:szCs w:val="21"/>
              </w:rPr>
              <w:t>EMEB Prefeito Fausto de Sousa Faria</w:t>
            </w:r>
          </w:p>
        </w:tc>
        <w:tc>
          <w:tcPr>
            <w:tcW w:w="3467" w:type="dxa"/>
            <w:tcBorders>
              <w:left w:val="single" w:color="000000" w:sz="4" w:space="0"/>
              <w:bottom w:val="single" w:color="000000" w:sz="4" w:space="0"/>
              <w:right w:val="single" w:color="000000" w:sz="4" w:space="0"/>
            </w:tcBorders>
            <w:vAlign w:val="bottom"/>
          </w:tcPr>
          <w:p w14:paraId="7062EB15">
            <w:pPr>
              <w:widowControl w:val="0"/>
              <w:spacing w:line="192" w:lineRule="auto"/>
              <w:jc w:val="both"/>
              <w:rPr>
                <w:rFonts w:ascii="Arial" w:hAnsi="Arial" w:eastAsia="Arial" w:cs="Arial"/>
                <w:sz w:val="21"/>
                <w:szCs w:val="21"/>
              </w:rPr>
            </w:pPr>
            <w:r>
              <w:rPr>
                <w:rFonts w:ascii="Arial" w:hAnsi="Arial" w:eastAsia="Arial" w:cs="Arial"/>
                <w:sz w:val="21"/>
                <w:szCs w:val="21"/>
              </w:rPr>
              <w:t>Avenida Asa Branca, no bairro Loteamento Pedra 90 – CEP - 78746-575</w:t>
            </w:r>
          </w:p>
        </w:tc>
      </w:tr>
      <w:tr w14:paraId="4A1F0859">
        <w:tblPrEx>
          <w:tblCellMar>
            <w:top w:w="0" w:type="dxa"/>
            <w:left w:w="108" w:type="dxa"/>
            <w:bottom w:w="0" w:type="dxa"/>
            <w:right w:w="108" w:type="dxa"/>
          </w:tblCellMar>
        </w:tblPrEx>
        <w:trPr>
          <w:trHeight w:val="315" w:hRule="atLeast"/>
        </w:trPr>
        <w:tc>
          <w:tcPr>
            <w:tcW w:w="722" w:type="dxa"/>
            <w:tcBorders>
              <w:left w:val="single" w:color="000000" w:sz="4" w:space="0"/>
              <w:bottom w:val="single" w:color="000000" w:sz="4" w:space="0"/>
            </w:tcBorders>
            <w:vAlign w:val="center"/>
          </w:tcPr>
          <w:p w14:paraId="6E308274">
            <w:pPr>
              <w:widowControl w:val="0"/>
              <w:numPr>
                <w:ilvl w:val="0"/>
                <w:numId w:val="23"/>
              </w:numPr>
              <w:spacing w:line="192" w:lineRule="auto"/>
              <w:ind w:left="737" w:hanging="624"/>
              <w:jc w:val="center"/>
              <w:rPr>
                <w:rFonts w:ascii="Arial" w:hAnsi="Arial" w:eastAsia="Arial" w:cs="Arial"/>
                <w:sz w:val="21"/>
                <w:szCs w:val="21"/>
              </w:rPr>
            </w:pPr>
          </w:p>
        </w:tc>
        <w:tc>
          <w:tcPr>
            <w:tcW w:w="4428" w:type="dxa"/>
            <w:tcBorders>
              <w:left w:val="single" w:color="000000" w:sz="4" w:space="0"/>
              <w:bottom w:val="single" w:color="000000" w:sz="4" w:space="0"/>
            </w:tcBorders>
            <w:vAlign w:val="center"/>
          </w:tcPr>
          <w:p w14:paraId="56098BA2">
            <w:pPr>
              <w:widowControl w:val="0"/>
              <w:spacing w:line="192" w:lineRule="auto"/>
              <w:rPr>
                <w:rFonts w:ascii="Arial" w:hAnsi="Arial" w:eastAsia="Arial" w:cs="Arial"/>
                <w:sz w:val="21"/>
                <w:szCs w:val="21"/>
              </w:rPr>
            </w:pPr>
            <w:r>
              <w:rPr>
                <w:rFonts w:ascii="Arial" w:hAnsi="Arial" w:eastAsia="Arial" w:cs="Arial"/>
                <w:b/>
                <w:sz w:val="21"/>
                <w:szCs w:val="21"/>
              </w:rPr>
              <w:t>EMEB Prefeito Hélio Cavalcanti Garcia</w:t>
            </w:r>
          </w:p>
        </w:tc>
        <w:tc>
          <w:tcPr>
            <w:tcW w:w="3467" w:type="dxa"/>
            <w:tcBorders>
              <w:left w:val="single" w:color="000000" w:sz="4" w:space="0"/>
              <w:bottom w:val="single" w:color="000000" w:sz="4" w:space="0"/>
              <w:right w:val="single" w:color="000000" w:sz="4" w:space="0"/>
            </w:tcBorders>
            <w:vAlign w:val="bottom"/>
          </w:tcPr>
          <w:p w14:paraId="473EAA7B">
            <w:pPr>
              <w:widowControl w:val="0"/>
              <w:spacing w:line="192" w:lineRule="auto"/>
              <w:jc w:val="both"/>
              <w:rPr>
                <w:rFonts w:ascii="Arial" w:hAnsi="Arial" w:eastAsia="Arial" w:cs="Arial"/>
                <w:sz w:val="21"/>
                <w:szCs w:val="21"/>
              </w:rPr>
            </w:pPr>
            <w:r>
              <w:rPr>
                <w:rFonts w:ascii="Arial" w:hAnsi="Arial" w:eastAsia="Arial" w:cs="Arial"/>
                <w:sz w:val="21"/>
                <w:szCs w:val="21"/>
              </w:rPr>
              <w:t>Rua Pio XI, Bairro Jardim Belo Panorama</w:t>
            </w:r>
          </w:p>
        </w:tc>
      </w:tr>
      <w:tr w14:paraId="046F6A79">
        <w:tblPrEx>
          <w:tblCellMar>
            <w:top w:w="0" w:type="dxa"/>
            <w:left w:w="108" w:type="dxa"/>
            <w:bottom w:w="0" w:type="dxa"/>
            <w:right w:w="108" w:type="dxa"/>
          </w:tblCellMar>
        </w:tblPrEx>
        <w:trPr>
          <w:trHeight w:val="315" w:hRule="atLeast"/>
        </w:trPr>
        <w:tc>
          <w:tcPr>
            <w:tcW w:w="722" w:type="dxa"/>
            <w:tcBorders>
              <w:left w:val="single" w:color="000000" w:sz="4" w:space="0"/>
              <w:bottom w:val="single" w:color="000000" w:sz="4" w:space="0"/>
            </w:tcBorders>
            <w:vAlign w:val="center"/>
          </w:tcPr>
          <w:p w14:paraId="23902C1B">
            <w:pPr>
              <w:widowControl w:val="0"/>
              <w:numPr>
                <w:ilvl w:val="0"/>
                <w:numId w:val="23"/>
              </w:numPr>
              <w:spacing w:line="192" w:lineRule="auto"/>
              <w:ind w:left="737" w:hanging="624"/>
              <w:jc w:val="center"/>
              <w:rPr>
                <w:rFonts w:ascii="Arial" w:hAnsi="Arial" w:eastAsia="Arial" w:cs="Arial"/>
                <w:sz w:val="21"/>
                <w:szCs w:val="21"/>
              </w:rPr>
            </w:pPr>
          </w:p>
        </w:tc>
        <w:tc>
          <w:tcPr>
            <w:tcW w:w="4428" w:type="dxa"/>
            <w:tcBorders>
              <w:left w:val="single" w:color="000000" w:sz="4" w:space="0"/>
              <w:bottom w:val="single" w:color="000000" w:sz="4" w:space="0"/>
            </w:tcBorders>
            <w:vAlign w:val="center"/>
          </w:tcPr>
          <w:p w14:paraId="6CF8BF41">
            <w:pPr>
              <w:widowControl w:val="0"/>
              <w:spacing w:line="192" w:lineRule="auto"/>
              <w:rPr>
                <w:rFonts w:ascii="Arial" w:hAnsi="Arial" w:eastAsia="Arial" w:cs="Arial"/>
                <w:sz w:val="21"/>
                <w:szCs w:val="21"/>
              </w:rPr>
            </w:pPr>
            <w:r>
              <w:rPr>
                <w:rFonts w:ascii="Arial" w:hAnsi="Arial" w:eastAsia="Arial" w:cs="Arial"/>
                <w:b/>
                <w:sz w:val="21"/>
                <w:szCs w:val="21"/>
              </w:rPr>
              <w:t>CMEI Soyanni Almeida de Souza</w:t>
            </w:r>
          </w:p>
        </w:tc>
        <w:tc>
          <w:tcPr>
            <w:tcW w:w="3467" w:type="dxa"/>
            <w:tcBorders>
              <w:left w:val="single" w:color="000000" w:sz="4" w:space="0"/>
              <w:bottom w:val="single" w:color="000000" w:sz="4" w:space="0"/>
              <w:right w:val="single" w:color="000000" w:sz="4" w:space="0"/>
            </w:tcBorders>
            <w:vAlign w:val="center"/>
          </w:tcPr>
          <w:p w14:paraId="1DCE0A57">
            <w:pPr>
              <w:widowControl w:val="0"/>
              <w:spacing w:line="192" w:lineRule="auto"/>
              <w:jc w:val="both"/>
              <w:rPr>
                <w:rFonts w:ascii="Arial" w:hAnsi="Arial" w:eastAsia="Arial" w:cs="Arial"/>
                <w:sz w:val="21"/>
                <w:szCs w:val="21"/>
              </w:rPr>
            </w:pPr>
            <w:r>
              <w:rPr>
                <w:rFonts w:ascii="Arial" w:hAnsi="Arial" w:eastAsia="Arial" w:cs="Arial"/>
                <w:sz w:val="21"/>
                <w:szCs w:val="21"/>
              </w:rPr>
              <w:t>Rua A, Quadra AG-1, Lote 4º Jardim Ebenezer</w:t>
            </w:r>
          </w:p>
        </w:tc>
      </w:tr>
      <w:tr w14:paraId="632241EE">
        <w:tblPrEx>
          <w:tblCellMar>
            <w:top w:w="0" w:type="dxa"/>
            <w:left w:w="108" w:type="dxa"/>
            <w:bottom w:w="0" w:type="dxa"/>
            <w:right w:w="108" w:type="dxa"/>
          </w:tblCellMar>
        </w:tblPrEx>
        <w:trPr>
          <w:trHeight w:val="315" w:hRule="atLeast"/>
        </w:trPr>
        <w:tc>
          <w:tcPr>
            <w:tcW w:w="722" w:type="dxa"/>
            <w:tcBorders>
              <w:left w:val="single" w:color="000000" w:sz="4" w:space="0"/>
              <w:bottom w:val="single" w:color="000000" w:sz="4" w:space="0"/>
            </w:tcBorders>
            <w:vAlign w:val="bottom"/>
          </w:tcPr>
          <w:p w14:paraId="415466A5">
            <w:pPr>
              <w:widowControl w:val="0"/>
              <w:numPr>
                <w:ilvl w:val="0"/>
                <w:numId w:val="23"/>
              </w:numPr>
              <w:spacing w:line="192" w:lineRule="auto"/>
              <w:ind w:left="737" w:hanging="624"/>
              <w:jc w:val="center"/>
              <w:rPr>
                <w:rFonts w:ascii="Arial" w:hAnsi="Arial" w:eastAsia="Arial" w:cs="Arial"/>
                <w:sz w:val="21"/>
                <w:szCs w:val="21"/>
              </w:rPr>
            </w:pPr>
          </w:p>
        </w:tc>
        <w:tc>
          <w:tcPr>
            <w:tcW w:w="4428" w:type="dxa"/>
            <w:tcBorders>
              <w:left w:val="single" w:color="000000" w:sz="4" w:space="0"/>
              <w:bottom w:val="single" w:color="000000" w:sz="4" w:space="0"/>
            </w:tcBorders>
            <w:vAlign w:val="bottom"/>
          </w:tcPr>
          <w:p w14:paraId="5DF294BE">
            <w:pPr>
              <w:widowControl w:val="0"/>
              <w:spacing w:line="192" w:lineRule="auto"/>
              <w:rPr>
                <w:rFonts w:ascii="Arial" w:hAnsi="Arial" w:eastAsia="Arial" w:cs="Arial"/>
                <w:sz w:val="21"/>
                <w:szCs w:val="21"/>
              </w:rPr>
            </w:pPr>
            <w:r>
              <w:rPr>
                <w:rFonts w:ascii="Arial" w:hAnsi="Arial" w:eastAsia="Arial" w:cs="Arial"/>
                <w:b/>
                <w:sz w:val="21"/>
                <w:szCs w:val="21"/>
              </w:rPr>
              <w:t>CMEITI Professora Wilse Arena da Costa</w:t>
            </w:r>
          </w:p>
        </w:tc>
        <w:tc>
          <w:tcPr>
            <w:tcW w:w="3467" w:type="dxa"/>
            <w:tcBorders>
              <w:left w:val="single" w:color="000000" w:sz="4" w:space="0"/>
              <w:bottom w:val="single" w:color="000000" w:sz="4" w:space="0"/>
              <w:right w:val="single" w:color="000000" w:sz="4" w:space="0"/>
            </w:tcBorders>
            <w:vAlign w:val="bottom"/>
          </w:tcPr>
          <w:p w14:paraId="3E411DD5">
            <w:pPr>
              <w:widowControl w:val="0"/>
              <w:spacing w:line="192" w:lineRule="auto"/>
              <w:jc w:val="both"/>
              <w:rPr>
                <w:rFonts w:ascii="Arial" w:hAnsi="Arial" w:eastAsia="Arial" w:cs="Arial"/>
                <w:sz w:val="21"/>
                <w:szCs w:val="21"/>
              </w:rPr>
            </w:pPr>
            <w:r>
              <w:rPr>
                <w:rFonts w:ascii="Arial" w:hAnsi="Arial" w:eastAsia="Arial" w:cs="Arial"/>
                <w:sz w:val="21"/>
                <w:szCs w:val="21"/>
              </w:rPr>
              <w:t>Rua F, Quadra 1, Area Institucional 1, Bairro Alfredo de Castro II</w:t>
            </w:r>
          </w:p>
        </w:tc>
      </w:tr>
    </w:tbl>
    <w:p w14:paraId="3448213A">
      <w:pPr>
        <w:jc w:val="both"/>
        <w:rPr>
          <w:rFonts w:ascii="Arial" w:hAnsi="Arial" w:eastAsia="Arial" w:cs="Arial"/>
          <w:sz w:val="21"/>
          <w:szCs w:val="21"/>
        </w:rPr>
      </w:pPr>
    </w:p>
    <w:p w14:paraId="4E2F78C6">
      <w:pPr>
        <w:jc w:val="both"/>
        <w:rPr>
          <w:rFonts w:ascii="Arial" w:hAnsi="Arial" w:eastAsia="Arial" w:cs="Arial"/>
          <w:sz w:val="21"/>
          <w:szCs w:val="21"/>
        </w:rPr>
      </w:pPr>
    </w:p>
    <w:p w14:paraId="0E392172">
      <w:pPr>
        <w:jc w:val="both"/>
        <w:rPr>
          <w:rFonts w:ascii="Arial" w:hAnsi="Arial" w:eastAsia="Arial" w:cs="Arial"/>
          <w:sz w:val="21"/>
          <w:szCs w:val="21"/>
        </w:rPr>
      </w:pPr>
    </w:p>
    <w:p w14:paraId="40C4B9E7">
      <w:pPr>
        <w:jc w:val="both"/>
        <w:rPr>
          <w:rFonts w:ascii="Arial" w:hAnsi="Arial" w:eastAsia="Arial" w:cs="Arial"/>
          <w:sz w:val="21"/>
          <w:szCs w:val="21"/>
        </w:rPr>
      </w:pPr>
    </w:p>
    <w:p w14:paraId="561CA231">
      <w:pPr>
        <w:rPr>
          <w:rFonts w:ascii="Arial" w:hAnsi="Arial" w:eastAsia="Arial" w:cs="Arial"/>
          <w:sz w:val="21"/>
          <w:szCs w:val="21"/>
        </w:rPr>
      </w:pPr>
      <w:r>
        <w:br w:type="page"/>
      </w:r>
    </w:p>
    <w:p w14:paraId="23871263">
      <w:pPr>
        <w:pBdr>
          <w:top w:val="single" w:color="000000" w:sz="4" w:space="1"/>
          <w:left w:val="single" w:color="000000" w:sz="4" w:space="4"/>
          <w:bottom w:val="single" w:color="000000" w:sz="4" w:space="1"/>
          <w:right w:val="single" w:color="000000" w:sz="4" w:space="4"/>
        </w:pBdr>
        <w:tabs>
          <w:tab w:val="left" w:pos="8576"/>
          <w:tab w:val="left" w:pos="10419"/>
        </w:tabs>
        <w:jc w:val="center"/>
        <w:rPr>
          <w:rFonts w:ascii="Arial" w:hAnsi="Arial" w:eastAsia="Arial" w:cs="Arial"/>
          <w:b/>
          <w:sz w:val="21"/>
          <w:szCs w:val="21"/>
        </w:rPr>
      </w:pPr>
      <w:r>
        <w:rPr>
          <w:rFonts w:ascii="Arial" w:hAnsi="Arial" w:eastAsia="Arial" w:cs="Arial"/>
          <w:b/>
          <w:sz w:val="21"/>
          <w:szCs w:val="21"/>
        </w:rPr>
        <w:t>PAPEL TIMBRADO DA EMPRESA LICITANTE</w:t>
      </w:r>
    </w:p>
    <w:p w14:paraId="0FD9189D">
      <w:pPr>
        <w:jc w:val="both"/>
        <w:rPr>
          <w:rFonts w:ascii="Arial" w:hAnsi="Arial" w:eastAsia="Arial" w:cs="Arial"/>
          <w:b/>
          <w:sz w:val="21"/>
          <w:szCs w:val="21"/>
          <w:u w:val="single"/>
        </w:rPr>
      </w:pPr>
    </w:p>
    <w:p w14:paraId="1691FECD">
      <w:pPr>
        <w:pStyle w:val="2"/>
        <w:spacing w:before="0" w:after="0"/>
        <w:rPr>
          <w:sz w:val="21"/>
          <w:szCs w:val="21"/>
          <w:lang w:val="pt-BR"/>
        </w:rPr>
      </w:pPr>
      <w:bookmarkStart w:id="66" w:name="_heading=h.5adncxsznfyr"/>
      <w:bookmarkEnd w:id="66"/>
      <w:r>
        <w:rPr>
          <w:sz w:val="21"/>
          <w:szCs w:val="21"/>
          <w:lang w:val="pt-BR"/>
        </w:rPr>
        <w:t>ANEXO VII: FICHA DE ATUALIZAÇÃO CADASTRAL.</w:t>
      </w:r>
    </w:p>
    <w:p w14:paraId="79E8C80D">
      <w:pPr>
        <w:jc w:val="both"/>
        <w:rPr>
          <w:rFonts w:ascii="Arial" w:hAnsi="Arial" w:eastAsia="Arial" w:cs="Arial"/>
          <w:b/>
          <w:sz w:val="21"/>
          <w:szCs w:val="21"/>
          <w:u w:val="single"/>
        </w:rPr>
      </w:pPr>
    </w:p>
    <w:p w14:paraId="724F82CC">
      <w:pPr>
        <w:jc w:val="both"/>
        <w:rPr>
          <w:rFonts w:ascii="Arial" w:hAnsi="Arial" w:eastAsia="Arial" w:cs="Arial"/>
          <w:b/>
          <w:sz w:val="21"/>
          <w:szCs w:val="21"/>
        </w:rPr>
      </w:pPr>
      <w:r>
        <w:rPr>
          <w:rFonts w:ascii="Arial" w:hAnsi="Arial" w:eastAsia="Arial" w:cs="Arial"/>
          <w:b/>
          <w:sz w:val="21"/>
          <w:szCs w:val="21"/>
          <w:u w:val="single"/>
        </w:rPr>
        <w:t>TODAS AS EMPRESAS INTERESSADAS EM PARTICIPAR DO PRESENTE CERTAME LICITATÓRIO EM MOMENTO OPORTUNO DEVERÃO IMPRETERIVELMENTE PREENCHER A FICHA CADASTRAL DEVIDAMENTE ACOMPANHADA DOS DOCUMENTOS ABAIXO E ENCAMINHAR ATRAVÉS DO EMAIL:</w:t>
      </w:r>
      <w:r>
        <w:rPr>
          <w:rFonts w:ascii="Arial" w:hAnsi="Arial" w:eastAsia="Arial" w:cs="Arial"/>
          <w:b/>
          <w:sz w:val="21"/>
          <w:szCs w:val="21"/>
        </w:rPr>
        <w:t xml:space="preserve"> </w:t>
      </w:r>
      <w:r>
        <w:fldChar w:fldCharType="begin"/>
      </w:r>
      <w:r>
        <w:instrText xml:space="preserve"> HYPERLINK "mailto:rfpmr2014@hotmail.com" \h </w:instrText>
      </w:r>
      <w:r>
        <w:fldChar w:fldCharType="separate"/>
      </w:r>
      <w:r>
        <w:rPr>
          <w:rFonts w:ascii="Arial" w:hAnsi="Arial" w:eastAsia="Arial" w:cs="Arial"/>
          <w:b/>
          <w:color w:val="000000"/>
          <w:sz w:val="21"/>
          <w:szCs w:val="21"/>
          <w:u w:val="single"/>
        </w:rPr>
        <w:t>rfpmr2014@hotmail.com</w:t>
      </w:r>
      <w:r>
        <w:rPr>
          <w:rFonts w:ascii="Arial" w:hAnsi="Arial" w:eastAsia="Arial" w:cs="Arial"/>
          <w:b/>
          <w:color w:val="000000"/>
          <w:sz w:val="21"/>
          <w:szCs w:val="21"/>
          <w:u w:val="single"/>
        </w:rPr>
        <w:fldChar w:fldCharType="end"/>
      </w:r>
      <w:r>
        <w:rPr>
          <w:rFonts w:ascii="Arial" w:hAnsi="Arial" w:eastAsia="Arial" w:cs="Arial"/>
          <w:b/>
          <w:sz w:val="21"/>
          <w:szCs w:val="21"/>
        </w:rPr>
        <w:t xml:space="preserve"> ou entregar pessoalmente na Prefeitura de Rondonópolis – Secretaria de Administração - Setor de Licitações. A referida solicitação visa atualizar os cadastros já existentes, e incluir novos cadastros de empresas ainda não cadastradas em nosso sistema. </w:t>
      </w:r>
    </w:p>
    <w:tbl>
      <w:tblPr>
        <w:tblStyle w:val="12"/>
        <w:tblW w:w="9923" w:type="dxa"/>
        <w:tblInd w:w="108" w:type="dxa"/>
        <w:tblLayout w:type="fixed"/>
        <w:tblCellMar>
          <w:top w:w="0" w:type="dxa"/>
          <w:left w:w="108" w:type="dxa"/>
          <w:bottom w:w="0" w:type="dxa"/>
          <w:right w:w="108" w:type="dxa"/>
        </w:tblCellMar>
      </w:tblPr>
      <w:tblGrid>
        <w:gridCol w:w="2976"/>
        <w:gridCol w:w="852"/>
        <w:gridCol w:w="870"/>
        <w:gridCol w:w="322"/>
        <w:gridCol w:w="509"/>
        <w:gridCol w:w="744"/>
        <w:gridCol w:w="1210"/>
        <w:gridCol w:w="314"/>
        <w:gridCol w:w="42"/>
        <w:gridCol w:w="2084"/>
      </w:tblGrid>
      <w:tr w14:paraId="5EFAD91B">
        <w:tblPrEx>
          <w:tblCellMar>
            <w:top w:w="0" w:type="dxa"/>
            <w:left w:w="108" w:type="dxa"/>
            <w:bottom w:w="0" w:type="dxa"/>
            <w:right w:w="108" w:type="dxa"/>
          </w:tblCellMar>
        </w:tblPrEx>
        <w:tc>
          <w:tcPr>
            <w:tcW w:w="9923" w:type="dxa"/>
            <w:gridSpan w:val="10"/>
            <w:tcBorders>
              <w:top w:val="single" w:color="000000" w:sz="4" w:space="0"/>
              <w:left w:val="single" w:color="000000" w:sz="4" w:space="0"/>
              <w:bottom w:val="single" w:color="000000" w:sz="4" w:space="0"/>
              <w:right w:val="single" w:color="000000" w:sz="4" w:space="0"/>
            </w:tcBorders>
          </w:tcPr>
          <w:p w14:paraId="6F59B17C">
            <w:pPr>
              <w:widowControl w:val="0"/>
              <w:rPr>
                <w:rFonts w:ascii="Arial" w:hAnsi="Arial" w:eastAsia="Arial" w:cs="Arial"/>
                <w:sz w:val="21"/>
                <w:szCs w:val="21"/>
              </w:rPr>
            </w:pPr>
            <w:r>
              <w:rPr>
                <w:rFonts w:ascii="Arial" w:hAnsi="Arial" w:eastAsia="Arial" w:cs="Arial"/>
                <w:sz w:val="21"/>
                <w:szCs w:val="21"/>
              </w:rPr>
              <w:t>RAZÃO SOCIAL DA EMPRESA:</w:t>
            </w:r>
          </w:p>
        </w:tc>
      </w:tr>
      <w:tr w14:paraId="087DD802">
        <w:tblPrEx>
          <w:tblCellMar>
            <w:top w:w="0" w:type="dxa"/>
            <w:left w:w="108" w:type="dxa"/>
            <w:bottom w:w="0" w:type="dxa"/>
            <w:right w:w="108" w:type="dxa"/>
          </w:tblCellMar>
        </w:tblPrEx>
        <w:tc>
          <w:tcPr>
            <w:tcW w:w="6273" w:type="dxa"/>
            <w:gridSpan w:val="6"/>
            <w:tcBorders>
              <w:top w:val="single" w:color="000000" w:sz="4" w:space="0"/>
              <w:left w:val="single" w:color="000000" w:sz="4" w:space="0"/>
              <w:bottom w:val="single" w:color="000000" w:sz="4" w:space="0"/>
              <w:right w:val="single" w:color="000000" w:sz="4" w:space="0"/>
            </w:tcBorders>
          </w:tcPr>
          <w:p w14:paraId="5867D2C6">
            <w:pPr>
              <w:widowControl w:val="0"/>
              <w:rPr>
                <w:rFonts w:ascii="Arial" w:hAnsi="Arial" w:eastAsia="Arial" w:cs="Arial"/>
                <w:sz w:val="21"/>
                <w:szCs w:val="21"/>
              </w:rPr>
            </w:pPr>
            <w:r>
              <w:rPr>
                <w:rFonts w:ascii="Arial" w:hAnsi="Arial" w:eastAsia="Arial" w:cs="Arial"/>
                <w:sz w:val="21"/>
                <w:szCs w:val="21"/>
              </w:rPr>
              <w:t>NOME FANTASIA:</w:t>
            </w:r>
          </w:p>
        </w:tc>
        <w:tc>
          <w:tcPr>
            <w:tcW w:w="3650" w:type="dxa"/>
            <w:gridSpan w:val="4"/>
            <w:tcBorders>
              <w:top w:val="single" w:color="000000" w:sz="4" w:space="0"/>
              <w:left w:val="single" w:color="000000" w:sz="4" w:space="0"/>
              <w:bottom w:val="single" w:color="000000" w:sz="4" w:space="0"/>
              <w:right w:val="single" w:color="000000" w:sz="4" w:space="0"/>
            </w:tcBorders>
          </w:tcPr>
          <w:p w14:paraId="220DDA56">
            <w:pPr>
              <w:widowControl w:val="0"/>
              <w:rPr>
                <w:rFonts w:ascii="Arial" w:hAnsi="Arial" w:eastAsia="Arial" w:cs="Arial"/>
                <w:sz w:val="21"/>
                <w:szCs w:val="21"/>
              </w:rPr>
            </w:pPr>
            <w:r>
              <w:rPr>
                <w:rFonts w:ascii="Arial" w:hAnsi="Arial" w:eastAsia="Arial" w:cs="Arial"/>
                <w:sz w:val="21"/>
                <w:szCs w:val="21"/>
              </w:rPr>
              <w:t>CNPJ Nº</w:t>
            </w:r>
          </w:p>
        </w:tc>
      </w:tr>
      <w:tr w14:paraId="75E9D08E">
        <w:tblPrEx>
          <w:tblCellMar>
            <w:top w:w="0" w:type="dxa"/>
            <w:left w:w="108" w:type="dxa"/>
            <w:bottom w:w="0" w:type="dxa"/>
            <w:right w:w="108" w:type="dxa"/>
          </w:tblCellMar>
        </w:tblPrEx>
        <w:tc>
          <w:tcPr>
            <w:tcW w:w="4698" w:type="dxa"/>
            <w:gridSpan w:val="3"/>
            <w:tcBorders>
              <w:top w:val="single" w:color="000000" w:sz="4" w:space="0"/>
              <w:left w:val="single" w:color="000000" w:sz="4" w:space="0"/>
              <w:bottom w:val="single" w:color="000000" w:sz="4" w:space="0"/>
              <w:right w:val="single" w:color="000000" w:sz="4" w:space="0"/>
            </w:tcBorders>
          </w:tcPr>
          <w:p w14:paraId="5ED47222">
            <w:pPr>
              <w:widowControl w:val="0"/>
              <w:rPr>
                <w:rFonts w:ascii="Arial" w:hAnsi="Arial" w:eastAsia="Arial" w:cs="Arial"/>
                <w:sz w:val="21"/>
                <w:szCs w:val="21"/>
              </w:rPr>
            </w:pPr>
            <w:r>
              <w:rPr>
                <w:rFonts w:ascii="Arial" w:hAnsi="Arial" w:eastAsia="Arial" w:cs="Arial"/>
                <w:sz w:val="21"/>
                <w:szCs w:val="21"/>
              </w:rPr>
              <w:t>INSCRIÇÃO ESTADUAL:</w:t>
            </w:r>
          </w:p>
        </w:tc>
        <w:tc>
          <w:tcPr>
            <w:tcW w:w="5225" w:type="dxa"/>
            <w:gridSpan w:val="7"/>
            <w:tcBorders>
              <w:top w:val="single" w:color="000000" w:sz="4" w:space="0"/>
              <w:left w:val="single" w:color="000000" w:sz="4" w:space="0"/>
              <w:bottom w:val="single" w:color="000000" w:sz="4" w:space="0"/>
              <w:right w:val="single" w:color="000000" w:sz="4" w:space="0"/>
            </w:tcBorders>
          </w:tcPr>
          <w:p w14:paraId="172B5F0A">
            <w:pPr>
              <w:widowControl w:val="0"/>
              <w:rPr>
                <w:rFonts w:ascii="Arial" w:hAnsi="Arial" w:eastAsia="Arial" w:cs="Arial"/>
                <w:sz w:val="21"/>
                <w:szCs w:val="21"/>
              </w:rPr>
            </w:pPr>
            <w:r>
              <w:rPr>
                <w:rFonts w:ascii="Arial" w:hAnsi="Arial" w:eastAsia="Arial" w:cs="Arial"/>
                <w:sz w:val="21"/>
                <w:szCs w:val="21"/>
              </w:rPr>
              <w:t>INSCRIÇÃO MUNICIPAL:</w:t>
            </w:r>
          </w:p>
        </w:tc>
      </w:tr>
      <w:tr w14:paraId="6FC33856">
        <w:tblPrEx>
          <w:tblCellMar>
            <w:top w:w="0" w:type="dxa"/>
            <w:left w:w="108" w:type="dxa"/>
            <w:bottom w:w="0" w:type="dxa"/>
            <w:right w:w="108" w:type="dxa"/>
          </w:tblCellMar>
        </w:tblPrEx>
        <w:tc>
          <w:tcPr>
            <w:tcW w:w="9923" w:type="dxa"/>
            <w:gridSpan w:val="10"/>
            <w:tcBorders>
              <w:top w:val="single" w:color="000000" w:sz="4" w:space="0"/>
              <w:left w:val="single" w:color="000000" w:sz="4" w:space="0"/>
              <w:bottom w:val="single" w:color="000000" w:sz="4" w:space="0"/>
              <w:right w:val="single" w:color="000000" w:sz="4" w:space="0"/>
            </w:tcBorders>
          </w:tcPr>
          <w:p w14:paraId="25F2D432">
            <w:pPr>
              <w:widowControl w:val="0"/>
              <w:rPr>
                <w:rFonts w:ascii="Arial" w:hAnsi="Arial" w:eastAsia="Arial" w:cs="Arial"/>
                <w:sz w:val="21"/>
                <w:szCs w:val="21"/>
              </w:rPr>
            </w:pPr>
            <w:r>
              <w:rPr>
                <w:rFonts w:ascii="Arial" w:hAnsi="Arial" w:eastAsia="Arial" w:cs="Arial"/>
                <w:sz w:val="21"/>
                <w:szCs w:val="21"/>
              </w:rPr>
              <w:t>ENQUADRAMENTO DA EMPRESA: ME(  )  EPP(  ) NENHUMA. OPTANTE DO SIMPLES: SIM(  ) NÃO(  )</w:t>
            </w:r>
          </w:p>
        </w:tc>
      </w:tr>
      <w:tr w14:paraId="6FF6A2DA">
        <w:tblPrEx>
          <w:tblCellMar>
            <w:top w:w="0" w:type="dxa"/>
            <w:left w:w="108" w:type="dxa"/>
            <w:bottom w:w="0" w:type="dxa"/>
            <w:right w:w="108" w:type="dxa"/>
          </w:tblCellMar>
        </w:tblPrEx>
        <w:tc>
          <w:tcPr>
            <w:tcW w:w="9923" w:type="dxa"/>
            <w:gridSpan w:val="10"/>
            <w:tcBorders>
              <w:top w:val="single" w:color="000000" w:sz="4" w:space="0"/>
              <w:left w:val="single" w:color="000000" w:sz="4" w:space="0"/>
              <w:bottom w:val="single" w:color="000000" w:sz="4" w:space="0"/>
              <w:right w:val="single" w:color="000000" w:sz="4" w:space="0"/>
            </w:tcBorders>
          </w:tcPr>
          <w:p w14:paraId="2F552198">
            <w:pPr>
              <w:widowControl w:val="0"/>
              <w:rPr>
                <w:rFonts w:ascii="Arial" w:hAnsi="Arial" w:eastAsia="Arial" w:cs="Arial"/>
                <w:sz w:val="21"/>
                <w:szCs w:val="21"/>
              </w:rPr>
            </w:pPr>
            <w:r>
              <w:rPr>
                <w:rFonts w:ascii="Arial" w:hAnsi="Arial" w:eastAsia="Arial" w:cs="Arial"/>
                <w:sz w:val="21"/>
                <w:szCs w:val="21"/>
              </w:rPr>
              <w:t>ENDEREÇO:</w:t>
            </w:r>
          </w:p>
        </w:tc>
      </w:tr>
      <w:tr w14:paraId="78660D56">
        <w:tblPrEx>
          <w:tblCellMar>
            <w:top w:w="0" w:type="dxa"/>
            <w:left w:w="108" w:type="dxa"/>
            <w:bottom w:w="0" w:type="dxa"/>
            <w:right w:w="108" w:type="dxa"/>
          </w:tblCellMar>
        </w:tblPrEx>
        <w:tc>
          <w:tcPr>
            <w:tcW w:w="5020" w:type="dxa"/>
            <w:gridSpan w:val="4"/>
            <w:tcBorders>
              <w:top w:val="single" w:color="000000" w:sz="4" w:space="0"/>
              <w:left w:val="single" w:color="000000" w:sz="4" w:space="0"/>
              <w:bottom w:val="single" w:color="000000" w:sz="4" w:space="0"/>
              <w:right w:val="single" w:color="000000" w:sz="4" w:space="0"/>
            </w:tcBorders>
          </w:tcPr>
          <w:p w14:paraId="63D26ED8">
            <w:pPr>
              <w:widowControl w:val="0"/>
              <w:rPr>
                <w:rFonts w:ascii="Arial" w:hAnsi="Arial" w:eastAsia="Arial" w:cs="Arial"/>
                <w:sz w:val="21"/>
                <w:szCs w:val="21"/>
              </w:rPr>
            </w:pPr>
            <w:r>
              <w:rPr>
                <w:rFonts w:ascii="Arial" w:hAnsi="Arial" w:eastAsia="Arial" w:cs="Arial"/>
                <w:sz w:val="21"/>
                <w:szCs w:val="21"/>
              </w:rPr>
              <w:t>BAIRRO:</w:t>
            </w:r>
          </w:p>
        </w:tc>
        <w:tc>
          <w:tcPr>
            <w:tcW w:w="2463" w:type="dxa"/>
            <w:gridSpan w:val="3"/>
            <w:tcBorders>
              <w:top w:val="single" w:color="000000" w:sz="4" w:space="0"/>
              <w:left w:val="single" w:color="000000" w:sz="4" w:space="0"/>
              <w:bottom w:val="single" w:color="000000" w:sz="4" w:space="0"/>
              <w:right w:val="single" w:color="000000" w:sz="4" w:space="0"/>
            </w:tcBorders>
          </w:tcPr>
          <w:p w14:paraId="1AF332CE">
            <w:pPr>
              <w:widowControl w:val="0"/>
              <w:rPr>
                <w:rFonts w:ascii="Arial" w:hAnsi="Arial" w:eastAsia="Arial" w:cs="Arial"/>
                <w:sz w:val="21"/>
                <w:szCs w:val="21"/>
              </w:rPr>
            </w:pPr>
            <w:r>
              <w:rPr>
                <w:rFonts w:ascii="Arial" w:hAnsi="Arial" w:eastAsia="Arial" w:cs="Arial"/>
                <w:sz w:val="21"/>
                <w:szCs w:val="21"/>
              </w:rPr>
              <w:t>FONE:</w:t>
            </w:r>
          </w:p>
        </w:tc>
        <w:tc>
          <w:tcPr>
            <w:tcW w:w="2440" w:type="dxa"/>
            <w:gridSpan w:val="3"/>
            <w:tcBorders>
              <w:top w:val="single" w:color="000000" w:sz="4" w:space="0"/>
              <w:left w:val="single" w:color="000000" w:sz="4" w:space="0"/>
              <w:bottom w:val="single" w:color="000000" w:sz="4" w:space="0"/>
              <w:right w:val="single" w:color="000000" w:sz="4" w:space="0"/>
            </w:tcBorders>
          </w:tcPr>
          <w:p w14:paraId="7EF0D69C">
            <w:pPr>
              <w:widowControl w:val="0"/>
              <w:rPr>
                <w:rFonts w:ascii="Arial" w:hAnsi="Arial" w:eastAsia="Arial" w:cs="Arial"/>
                <w:sz w:val="21"/>
                <w:szCs w:val="21"/>
              </w:rPr>
            </w:pPr>
            <w:r>
              <w:rPr>
                <w:rFonts w:ascii="Arial" w:hAnsi="Arial" w:eastAsia="Arial" w:cs="Arial"/>
                <w:sz w:val="21"/>
                <w:szCs w:val="21"/>
              </w:rPr>
              <w:t>FAX:</w:t>
            </w:r>
          </w:p>
        </w:tc>
      </w:tr>
      <w:tr w14:paraId="30B06131">
        <w:tblPrEx>
          <w:tblCellMar>
            <w:top w:w="0" w:type="dxa"/>
            <w:left w:w="108" w:type="dxa"/>
            <w:bottom w:w="0" w:type="dxa"/>
            <w:right w:w="108" w:type="dxa"/>
          </w:tblCellMar>
        </w:tblPrEx>
        <w:tc>
          <w:tcPr>
            <w:tcW w:w="5020" w:type="dxa"/>
            <w:gridSpan w:val="4"/>
            <w:tcBorders>
              <w:top w:val="single" w:color="000000" w:sz="4" w:space="0"/>
              <w:left w:val="single" w:color="000000" w:sz="4" w:space="0"/>
              <w:bottom w:val="single" w:color="000000" w:sz="4" w:space="0"/>
              <w:right w:val="single" w:color="000000" w:sz="4" w:space="0"/>
            </w:tcBorders>
          </w:tcPr>
          <w:p w14:paraId="7E1AA761">
            <w:pPr>
              <w:widowControl w:val="0"/>
              <w:rPr>
                <w:rFonts w:ascii="Arial" w:hAnsi="Arial" w:eastAsia="Arial" w:cs="Arial"/>
                <w:sz w:val="21"/>
                <w:szCs w:val="21"/>
              </w:rPr>
            </w:pPr>
            <w:r>
              <w:rPr>
                <w:rFonts w:ascii="Arial" w:hAnsi="Arial" w:eastAsia="Arial" w:cs="Arial"/>
                <w:sz w:val="21"/>
                <w:szCs w:val="21"/>
              </w:rPr>
              <w:t>MUNICÍPIO:</w:t>
            </w:r>
          </w:p>
        </w:tc>
        <w:tc>
          <w:tcPr>
            <w:tcW w:w="2463" w:type="dxa"/>
            <w:gridSpan w:val="3"/>
            <w:tcBorders>
              <w:top w:val="single" w:color="000000" w:sz="4" w:space="0"/>
              <w:left w:val="single" w:color="000000" w:sz="4" w:space="0"/>
              <w:bottom w:val="single" w:color="000000" w:sz="4" w:space="0"/>
              <w:right w:val="single" w:color="000000" w:sz="4" w:space="0"/>
            </w:tcBorders>
          </w:tcPr>
          <w:p w14:paraId="5F944047">
            <w:pPr>
              <w:widowControl w:val="0"/>
              <w:rPr>
                <w:rFonts w:ascii="Arial" w:hAnsi="Arial" w:eastAsia="Arial" w:cs="Arial"/>
                <w:sz w:val="21"/>
                <w:szCs w:val="21"/>
              </w:rPr>
            </w:pPr>
            <w:r>
              <w:rPr>
                <w:rFonts w:ascii="Arial" w:hAnsi="Arial" w:eastAsia="Arial" w:cs="Arial"/>
                <w:sz w:val="21"/>
                <w:szCs w:val="21"/>
              </w:rPr>
              <w:t>U.F.</w:t>
            </w:r>
          </w:p>
        </w:tc>
        <w:tc>
          <w:tcPr>
            <w:tcW w:w="2440" w:type="dxa"/>
            <w:gridSpan w:val="3"/>
            <w:tcBorders>
              <w:top w:val="single" w:color="000000" w:sz="4" w:space="0"/>
              <w:left w:val="single" w:color="000000" w:sz="4" w:space="0"/>
              <w:bottom w:val="single" w:color="000000" w:sz="4" w:space="0"/>
              <w:right w:val="single" w:color="000000" w:sz="4" w:space="0"/>
            </w:tcBorders>
          </w:tcPr>
          <w:p w14:paraId="5572D05D">
            <w:pPr>
              <w:widowControl w:val="0"/>
              <w:rPr>
                <w:rFonts w:ascii="Arial" w:hAnsi="Arial" w:eastAsia="Arial" w:cs="Arial"/>
                <w:sz w:val="21"/>
                <w:szCs w:val="21"/>
              </w:rPr>
            </w:pPr>
            <w:r>
              <w:rPr>
                <w:rFonts w:ascii="Arial" w:hAnsi="Arial" w:eastAsia="Arial" w:cs="Arial"/>
                <w:sz w:val="21"/>
                <w:szCs w:val="21"/>
              </w:rPr>
              <w:t>CEP:</w:t>
            </w:r>
          </w:p>
        </w:tc>
      </w:tr>
      <w:tr w14:paraId="3B9FA05B">
        <w:tblPrEx>
          <w:tblCellMar>
            <w:top w:w="0" w:type="dxa"/>
            <w:left w:w="108" w:type="dxa"/>
            <w:bottom w:w="0" w:type="dxa"/>
            <w:right w:w="108" w:type="dxa"/>
          </w:tblCellMar>
        </w:tblPrEx>
        <w:tc>
          <w:tcPr>
            <w:tcW w:w="5020" w:type="dxa"/>
            <w:gridSpan w:val="4"/>
            <w:tcBorders>
              <w:top w:val="single" w:color="000000" w:sz="4" w:space="0"/>
              <w:left w:val="single" w:color="000000" w:sz="4" w:space="0"/>
              <w:bottom w:val="single" w:color="000000" w:sz="4" w:space="0"/>
              <w:right w:val="single" w:color="000000" w:sz="4" w:space="0"/>
            </w:tcBorders>
          </w:tcPr>
          <w:p w14:paraId="798D73BB">
            <w:pPr>
              <w:widowControl w:val="0"/>
              <w:rPr>
                <w:rFonts w:ascii="Arial" w:hAnsi="Arial" w:eastAsia="Arial" w:cs="Arial"/>
                <w:sz w:val="21"/>
                <w:szCs w:val="21"/>
              </w:rPr>
            </w:pPr>
            <w:r>
              <w:rPr>
                <w:rFonts w:ascii="Arial" w:hAnsi="Arial" w:eastAsia="Arial" w:cs="Arial"/>
                <w:sz w:val="21"/>
                <w:szCs w:val="21"/>
              </w:rPr>
              <w:t>NOME DO RESPONSÁVEL PARA CONTATO:</w:t>
            </w:r>
          </w:p>
        </w:tc>
        <w:tc>
          <w:tcPr>
            <w:tcW w:w="4903" w:type="dxa"/>
            <w:gridSpan w:val="6"/>
            <w:tcBorders>
              <w:top w:val="single" w:color="000000" w:sz="4" w:space="0"/>
              <w:left w:val="single" w:color="000000" w:sz="4" w:space="0"/>
              <w:bottom w:val="single" w:color="000000" w:sz="4" w:space="0"/>
              <w:right w:val="single" w:color="000000" w:sz="4" w:space="0"/>
            </w:tcBorders>
          </w:tcPr>
          <w:p w14:paraId="429DD275">
            <w:pPr>
              <w:widowControl w:val="0"/>
              <w:rPr>
                <w:rFonts w:ascii="Arial" w:hAnsi="Arial" w:eastAsia="Arial" w:cs="Arial"/>
                <w:sz w:val="21"/>
                <w:szCs w:val="21"/>
              </w:rPr>
            </w:pPr>
            <w:r>
              <w:rPr>
                <w:rFonts w:ascii="Arial" w:hAnsi="Arial" w:eastAsia="Arial" w:cs="Arial"/>
                <w:sz w:val="21"/>
                <w:szCs w:val="21"/>
              </w:rPr>
              <w:t>CARGO OU FUNÇÃO NA EMPRESA:</w:t>
            </w:r>
          </w:p>
        </w:tc>
      </w:tr>
      <w:tr w14:paraId="5BC638F3">
        <w:tblPrEx>
          <w:tblCellMar>
            <w:top w:w="0" w:type="dxa"/>
            <w:left w:w="108" w:type="dxa"/>
            <w:bottom w:w="0" w:type="dxa"/>
            <w:right w:w="108" w:type="dxa"/>
          </w:tblCellMar>
        </w:tblPrEx>
        <w:tc>
          <w:tcPr>
            <w:tcW w:w="5020" w:type="dxa"/>
            <w:gridSpan w:val="4"/>
            <w:tcBorders>
              <w:top w:val="single" w:color="000000" w:sz="4" w:space="0"/>
              <w:left w:val="single" w:color="000000" w:sz="4" w:space="0"/>
              <w:bottom w:val="single" w:color="000000" w:sz="4" w:space="0"/>
              <w:right w:val="single" w:color="000000" w:sz="4" w:space="0"/>
            </w:tcBorders>
          </w:tcPr>
          <w:p w14:paraId="75D79254">
            <w:pPr>
              <w:widowControl w:val="0"/>
              <w:rPr>
                <w:rFonts w:ascii="Arial" w:hAnsi="Arial" w:eastAsia="Arial" w:cs="Arial"/>
                <w:sz w:val="21"/>
                <w:szCs w:val="21"/>
              </w:rPr>
            </w:pPr>
          </w:p>
        </w:tc>
        <w:tc>
          <w:tcPr>
            <w:tcW w:w="4903" w:type="dxa"/>
            <w:gridSpan w:val="6"/>
            <w:tcBorders>
              <w:top w:val="single" w:color="000000" w:sz="4" w:space="0"/>
              <w:left w:val="single" w:color="000000" w:sz="4" w:space="0"/>
              <w:bottom w:val="single" w:color="000000" w:sz="4" w:space="0"/>
              <w:right w:val="single" w:color="000000" w:sz="4" w:space="0"/>
            </w:tcBorders>
          </w:tcPr>
          <w:p w14:paraId="6A15A776">
            <w:pPr>
              <w:widowControl w:val="0"/>
              <w:rPr>
                <w:rFonts w:ascii="Arial" w:hAnsi="Arial" w:eastAsia="Arial" w:cs="Arial"/>
                <w:sz w:val="21"/>
                <w:szCs w:val="21"/>
              </w:rPr>
            </w:pPr>
          </w:p>
        </w:tc>
      </w:tr>
      <w:tr w14:paraId="650D3C72">
        <w:tblPrEx>
          <w:tblCellMar>
            <w:top w:w="0" w:type="dxa"/>
            <w:left w:w="108" w:type="dxa"/>
            <w:bottom w:w="0" w:type="dxa"/>
            <w:right w:w="108" w:type="dxa"/>
          </w:tblCellMar>
        </w:tblPrEx>
        <w:tc>
          <w:tcPr>
            <w:tcW w:w="2976" w:type="dxa"/>
            <w:tcBorders>
              <w:top w:val="single" w:color="000000" w:sz="4" w:space="0"/>
              <w:left w:val="single" w:color="000000" w:sz="4" w:space="0"/>
              <w:bottom w:val="single" w:color="000000" w:sz="4" w:space="0"/>
              <w:right w:val="single" w:color="000000" w:sz="4" w:space="0"/>
            </w:tcBorders>
          </w:tcPr>
          <w:p w14:paraId="5E83AF5F">
            <w:pPr>
              <w:widowControl w:val="0"/>
              <w:rPr>
                <w:rFonts w:ascii="Arial" w:hAnsi="Arial" w:eastAsia="Arial" w:cs="Arial"/>
                <w:sz w:val="21"/>
                <w:szCs w:val="21"/>
              </w:rPr>
            </w:pPr>
            <w:r>
              <w:rPr>
                <w:rFonts w:ascii="Arial" w:hAnsi="Arial" w:eastAsia="Arial" w:cs="Arial"/>
                <w:sz w:val="21"/>
                <w:szCs w:val="21"/>
              </w:rPr>
              <w:t>TELEFONE:</w:t>
            </w:r>
          </w:p>
        </w:tc>
        <w:tc>
          <w:tcPr>
            <w:tcW w:w="2553" w:type="dxa"/>
            <w:gridSpan w:val="4"/>
            <w:tcBorders>
              <w:top w:val="single" w:color="000000" w:sz="4" w:space="0"/>
              <w:left w:val="single" w:color="000000" w:sz="4" w:space="0"/>
              <w:bottom w:val="single" w:color="000000" w:sz="4" w:space="0"/>
              <w:right w:val="single" w:color="000000" w:sz="4" w:space="0"/>
            </w:tcBorders>
          </w:tcPr>
          <w:p w14:paraId="7CEBBB55">
            <w:pPr>
              <w:widowControl w:val="0"/>
              <w:rPr>
                <w:rFonts w:ascii="Arial" w:hAnsi="Arial" w:eastAsia="Arial" w:cs="Arial"/>
                <w:sz w:val="21"/>
                <w:szCs w:val="21"/>
              </w:rPr>
            </w:pPr>
            <w:r>
              <w:rPr>
                <w:rFonts w:ascii="Arial" w:hAnsi="Arial" w:eastAsia="Arial" w:cs="Arial"/>
                <w:sz w:val="21"/>
                <w:szCs w:val="21"/>
              </w:rPr>
              <w:t>CELULAR:</w:t>
            </w:r>
          </w:p>
        </w:tc>
        <w:tc>
          <w:tcPr>
            <w:tcW w:w="4394" w:type="dxa"/>
            <w:gridSpan w:val="5"/>
            <w:tcBorders>
              <w:top w:val="single" w:color="000000" w:sz="4" w:space="0"/>
              <w:left w:val="single" w:color="000000" w:sz="4" w:space="0"/>
              <w:bottom w:val="single" w:color="000000" w:sz="4" w:space="0"/>
              <w:right w:val="single" w:color="000000" w:sz="4" w:space="0"/>
            </w:tcBorders>
          </w:tcPr>
          <w:p w14:paraId="7A7E9453">
            <w:pPr>
              <w:widowControl w:val="0"/>
              <w:rPr>
                <w:rFonts w:ascii="Arial" w:hAnsi="Arial" w:eastAsia="Arial" w:cs="Arial"/>
                <w:sz w:val="21"/>
                <w:szCs w:val="21"/>
              </w:rPr>
            </w:pPr>
            <w:r>
              <w:rPr>
                <w:rFonts w:ascii="Arial" w:hAnsi="Arial" w:eastAsia="Arial" w:cs="Arial"/>
                <w:sz w:val="21"/>
                <w:szCs w:val="21"/>
              </w:rPr>
              <w:t>E-MAIL:</w:t>
            </w:r>
          </w:p>
        </w:tc>
      </w:tr>
      <w:tr w14:paraId="0033D60D">
        <w:tblPrEx>
          <w:tblCellMar>
            <w:top w:w="0" w:type="dxa"/>
            <w:left w:w="108" w:type="dxa"/>
            <w:bottom w:w="0" w:type="dxa"/>
            <w:right w:w="108" w:type="dxa"/>
          </w:tblCellMar>
        </w:tblPrEx>
        <w:tc>
          <w:tcPr>
            <w:tcW w:w="2976" w:type="dxa"/>
            <w:tcBorders>
              <w:top w:val="single" w:color="000000" w:sz="4" w:space="0"/>
              <w:left w:val="single" w:color="000000" w:sz="4" w:space="0"/>
              <w:bottom w:val="single" w:color="000000" w:sz="4" w:space="0"/>
              <w:right w:val="single" w:color="000000" w:sz="4" w:space="0"/>
            </w:tcBorders>
          </w:tcPr>
          <w:p w14:paraId="47D4CAD7">
            <w:pPr>
              <w:widowControl w:val="0"/>
              <w:rPr>
                <w:rFonts w:ascii="Arial" w:hAnsi="Arial" w:eastAsia="Arial" w:cs="Arial"/>
                <w:sz w:val="21"/>
                <w:szCs w:val="21"/>
              </w:rPr>
            </w:pPr>
          </w:p>
        </w:tc>
        <w:tc>
          <w:tcPr>
            <w:tcW w:w="2553" w:type="dxa"/>
            <w:gridSpan w:val="4"/>
            <w:tcBorders>
              <w:top w:val="single" w:color="000000" w:sz="4" w:space="0"/>
              <w:left w:val="single" w:color="000000" w:sz="4" w:space="0"/>
              <w:bottom w:val="single" w:color="000000" w:sz="4" w:space="0"/>
              <w:right w:val="single" w:color="000000" w:sz="4" w:space="0"/>
            </w:tcBorders>
          </w:tcPr>
          <w:p w14:paraId="49766363">
            <w:pPr>
              <w:widowControl w:val="0"/>
              <w:rPr>
                <w:rFonts w:ascii="Arial" w:hAnsi="Arial" w:eastAsia="Arial" w:cs="Arial"/>
                <w:sz w:val="21"/>
                <w:szCs w:val="21"/>
              </w:rPr>
            </w:pPr>
          </w:p>
        </w:tc>
        <w:tc>
          <w:tcPr>
            <w:tcW w:w="4394" w:type="dxa"/>
            <w:gridSpan w:val="5"/>
            <w:tcBorders>
              <w:top w:val="single" w:color="000000" w:sz="4" w:space="0"/>
              <w:left w:val="single" w:color="000000" w:sz="4" w:space="0"/>
              <w:bottom w:val="single" w:color="000000" w:sz="4" w:space="0"/>
              <w:right w:val="single" w:color="000000" w:sz="4" w:space="0"/>
            </w:tcBorders>
          </w:tcPr>
          <w:p w14:paraId="5DCF992A">
            <w:pPr>
              <w:widowControl w:val="0"/>
              <w:rPr>
                <w:rFonts w:ascii="Arial" w:hAnsi="Arial" w:eastAsia="Arial" w:cs="Arial"/>
                <w:sz w:val="21"/>
                <w:szCs w:val="21"/>
              </w:rPr>
            </w:pPr>
          </w:p>
        </w:tc>
      </w:tr>
      <w:tr w14:paraId="6C90FFE9">
        <w:tblPrEx>
          <w:tblCellMar>
            <w:top w:w="0" w:type="dxa"/>
            <w:left w:w="108" w:type="dxa"/>
            <w:bottom w:w="0" w:type="dxa"/>
            <w:right w:w="108" w:type="dxa"/>
          </w:tblCellMar>
        </w:tblPrEx>
        <w:tc>
          <w:tcPr>
            <w:tcW w:w="5529" w:type="dxa"/>
            <w:gridSpan w:val="5"/>
            <w:tcBorders>
              <w:top w:val="single" w:color="000000" w:sz="4" w:space="0"/>
              <w:left w:val="single" w:color="000000" w:sz="4" w:space="0"/>
              <w:bottom w:val="single" w:color="000000" w:sz="4" w:space="0"/>
              <w:right w:val="single" w:color="000000" w:sz="4" w:space="0"/>
            </w:tcBorders>
          </w:tcPr>
          <w:p w14:paraId="5FA75284">
            <w:pPr>
              <w:widowControl w:val="0"/>
              <w:rPr>
                <w:rFonts w:ascii="Arial" w:hAnsi="Arial" w:eastAsia="Arial" w:cs="Arial"/>
                <w:sz w:val="21"/>
                <w:szCs w:val="21"/>
              </w:rPr>
            </w:pPr>
            <w:r>
              <w:rPr>
                <w:rFonts w:ascii="Arial" w:hAnsi="Arial" w:eastAsia="Arial" w:cs="Arial"/>
                <w:sz w:val="21"/>
                <w:szCs w:val="21"/>
              </w:rPr>
              <w:t xml:space="preserve">SÓCIO(S) NOME(S): </w:t>
            </w:r>
          </w:p>
        </w:tc>
        <w:tc>
          <w:tcPr>
            <w:tcW w:w="2310" w:type="dxa"/>
            <w:gridSpan w:val="4"/>
            <w:tcBorders>
              <w:top w:val="single" w:color="000000" w:sz="4" w:space="0"/>
              <w:left w:val="single" w:color="000000" w:sz="4" w:space="0"/>
              <w:bottom w:val="single" w:color="000000" w:sz="4" w:space="0"/>
              <w:right w:val="single" w:color="000000" w:sz="4" w:space="0"/>
            </w:tcBorders>
          </w:tcPr>
          <w:p w14:paraId="311568B9">
            <w:pPr>
              <w:widowControl w:val="0"/>
              <w:rPr>
                <w:rFonts w:ascii="Arial" w:hAnsi="Arial" w:eastAsia="Arial" w:cs="Arial"/>
                <w:sz w:val="21"/>
                <w:szCs w:val="21"/>
              </w:rPr>
            </w:pPr>
            <w:r>
              <w:rPr>
                <w:rFonts w:ascii="Arial" w:hAnsi="Arial" w:eastAsia="Arial" w:cs="Arial"/>
                <w:sz w:val="21"/>
                <w:szCs w:val="21"/>
              </w:rPr>
              <w:t>CPF Nº:</w:t>
            </w:r>
          </w:p>
        </w:tc>
        <w:tc>
          <w:tcPr>
            <w:tcW w:w="2084" w:type="dxa"/>
            <w:tcBorders>
              <w:top w:val="single" w:color="000000" w:sz="4" w:space="0"/>
              <w:left w:val="single" w:color="000000" w:sz="4" w:space="0"/>
              <w:bottom w:val="single" w:color="000000" w:sz="4" w:space="0"/>
              <w:right w:val="single" w:color="000000" w:sz="4" w:space="0"/>
            </w:tcBorders>
          </w:tcPr>
          <w:p w14:paraId="1D5F501C">
            <w:pPr>
              <w:widowControl w:val="0"/>
              <w:rPr>
                <w:rFonts w:ascii="Arial" w:hAnsi="Arial" w:eastAsia="Arial" w:cs="Arial"/>
                <w:sz w:val="21"/>
                <w:szCs w:val="21"/>
              </w:rPr>
            </w:pPr>
            <w:r>
              <w:rPr>
                <w:rFonts w:ascii="Arial" w:hAnsi="Arial" w:eastAsia="Arial" w:cs="Arial"/>
                <w:sz w:val="21"/>
                <w:szCs w:val="21"/>
              </w:rPr>
              <w:t>NACIONALIDADE:</w:t>
            </w:r>
          </w:p>
        </w:tc>
      </w:tr>
      <w:tr w14:paraId="279C50AB">
        <w:tblPrEx>
          <w:tblCellMar>
            <w:top w:w="0" w:type="dxa"/>
            <w:left w:w="108" w:type="dxa"/>
            <w:bottom w:w="0" w:type="dxa"/>
            <w:right w:w="108" w:type="dxa"/>
          </w:tblCellMar>
        </w:tblPrEx>
        <w:tc>
          <w:tcPr>
            <w:tcW w:w="5529" w:type="dxa"/>
            <w:gridSpan w:val="5"/>
            <w:tcBorders>
              <w:top w:val="single" w:color="000000" w:sz="4" w:space="0"/>
              <w:left w:val="single" w:color="000000" w:sz="4" w:space="0"/>
              <w:bottom w:val="single" w:color="000000" w:sz="4" w:space="0"/>
              <w:right w:val="single" w:color="000000" w:sz="4" w:space="0"/>
            </w:tcBorders>
          </w:tcPr>
          <w:p w14:paraId="11B68143">
            <w:pPr>
              <w:widowControl w:val="0"/>
              <w:rPr>
                <w:rFonts w:ascii="Arial" w:hAnsi="Arial" w:eastAsia="Arial" w:cs="Arial"/>
                <w:sz w:val="21"/>
                <w:szCs w:val="21"/>
              </w:rPr>
            </w:pPr>
          </w:p>
        </w:tc>
        <w:tc>
          <w:tcPr>
            <w:tcW w:w="2310" w:type="dxa"/>
            <w:gridSpan w:val="4"/>
            <w:tcBorders>
              <w:top w:val="single" w:color="000000" w:sz="4" w:space="0"/>
              <w:left w:val="single" w:color="000000" w:sz="4" w:space="0"/>
              <w:bottom w:val="single" w:color="000000" w:sz="4" w:space="0"/>
              <w:right w:val="single" w:color="000000" w:sz="4" w:space="0"/>
            </w:tcBorders>
          </w:tcPr>
          <w:p w14:paraId="2189A54F">
            <w:pPr>
              <w:widowControl w:val="0"/>
              <w:rPr>
                <w:rFonts w:ascii="Arial" w:hAnsi="Arial" w:eastAsia="Arial" w:cs="Arial"/>
                <w:sz w:val="21"/>
                <w:szCs w:val="21"/>
              </w:rPr>
            </w:pPr>
          </w:p>
        </w:tc>
        <w:tc>
          <w:tcPr>
            <w:tcW w:w="2084" w:type="dxa"/>
            <w:tcBorders>
              <w:top w:val="single" w:color="000000" w:sz="4" w:space="0"/>
              <w:left w:val="single" w:color="000000" w:sz="4" w:space="0"/>
              <w:bottom w:val="single" w:color="000000" w:sz="4" w:space="0"/>
              <w:right w:val="single" w:color="000000" w:sz="4" w:space="0"/>
            </w:tcBorders>
          </w:tcPr>
          <w:p w14:paraId="3897837E">
            <w:pPr>
              <w:widowControl w:val="0"/>
              <w:rPr>
                <w:rFonts w:ascii="Arial" w:hAnsi="Arial" w:eastAsia="Arial" w:cs="Arial"/>
                <w:sz w:val="21"/>
                <w:szCs w:val="21"/>
              </w:rPr>
            </w:pPr>
          </w:p>
        </w:tc>
      </w:tr>
      <w:tr w14:paraId="09FB0C49">
        <w:tblPrEx>
          <w:tblCellMar>
            <w:top w:w="0" w:type="dxa"/>
            <w:left w:w="108" w:type="dxa"/>
            <w:bottom w:w="0" w:type="dxa"/>
            <w:right w:w="108" w:type="dxa"/>
          </w:tblCellMar>
        </w:tblPrEx>
        <w:tc>
          <w:tcPr>
            <w:tcW w:w="5529" w:type="dxa"/>
            <w:gridSpan w:val="5"/>
            <w:tcBorders>
              <w:top w:val="single" w:color="000000" w:sz="4" w:space="0"/>
              <w:left w:val="single" w:color="000000" w:sz="4" w:space="0"/>
              <w:bottom w:val="single" w:color="000000" w:sz="4" w:space="0"/>
              <w:right w:val="single" w:color="000000" w:sz="4" w:space="0"/>
            </w:tcBorders>
          </w:tcPr>
          <w:p w14:paraId="32CF6612">
            <w:pPr>
              <w:widowControl w:val="0"/>
              <w:rPr>
                <w:rFonts w:ascii="Arial" w:hAnsi="Arial" w:eastAsia="Arial" w:cs="Arial"/>
                <w:sz w:val="21"/>
                <w:szCs w:val="21"/>
              </w:rPr>
            </w:pPr>
          </w:p>
        </w:tc>
        <w:tc>
          <w:tcPr>
            <w:tcW w:w="2310" w:type="dxa"/>
            <w:gridSpan w:val="4"/>
            <w:tcBorders>
              <w:top w:val="single" w:color="000000" w:sz="4" w:space="0"/>
              <w:left w:val="single" w:color="000000" w:sz="4" w:space="0"/>
              <w:bottom w:val="single" w:color="000000" w:sz="4" w:space="0"/>
              <w:right w:val="single" w:color="000000" w:sz="4" w:space="0"/>
            </w:tcBorders>
          </w:tcPr>
          <w:p w14:paraId="598B91FC">
            <w:pPr>
              <w:widowControl w:val="0"/>
              <w:rPr>
                <w:rFonts w:ascii="Arial" w:hAnsi="Arial" w:eastAsia="Arial" w:cs="Arial"/>
                <w:sz w:val="21"/>
                <w:szCs w:val="21"/>
              </w:rPr>
            </w:pPr>
          </w:p>
        </w:tc>
        <w:tc>
          <w:tcPr>
            <w:tcW w:w="2084" w:type="dxa"/>
            <w:tcBorders>
              <w:top w:val="single" w:color="000000" w:sz="4" w:space="0"/>
              <w:left w:val="single" w:color="000000" w:sz="4" w:space="0"/>
              <w:bottom w:val="single" w:color="000000" w:sz="4" w:space="0"/>
              <w:right w:val="single" w:color="000000" w:sz="4" w:space="0"/>
            </w:tcBorders>
          </w:tcPr>
          <w:p w14:paraId="5A6C5B65">
            <w:pPr>
              <w:widowControl w:val="0"/>
              <w:rPr>
                <w:rFonts w:ascii="Arial" w:hAnsi="Arial" w:eastAsia="Arial" w:cs="Arial"/>
                <w:sz w:val="21"/>
                <w:szCs w:val="21"/>
              </w:rPr>
            </w:pPr>
          </w:p>
        </w:tc>
      </w:tr>
      <w:tr w14:paraId="7F37BA49">
        <w:tblPrEx>
          <w:tblCellMar>
            <w:top w:w="0" w:type="dxa"/>
            <w:left w:w="108" w:type="dxa"/>
            <w:bottom w:w="0" w:type="dxa"/>
            <w:right w:w="108" w:type="dxa"/>
          </w:tblCellMar>
        </w:tblPrEx>
        <w:tc>
          <w:tcPr>
            <w:tcW w:w="5529" w:type="dxa"/>
            <w:gridSpan w:val="5"/>
            <w:tcBorders>
              <w:top w:val="single" w:color="000000" w:sz="4" w:space="0"/>
              <w:left w:val="single" w:color="000000" w:sz="4" w:space="0"/>
              <w:bottom w:val="single" w:color="000000" w:sz="4" w:space="0"/>
              <w:right w:val="single" w:color="000000" w:sz="4" w:space="0"/>
            </w:tcBorders>
          </w:tcPr>
          <w:p w14:paraId="7F12F0C8">
            <w:pPr>
              <w:widowControl w:val="0"/>
              <w:rPr>
                <w:rFonts w:ascii="Arial" w:hAnsi="Arial" w:eastAsia="Arial" w:cs="Arial"/>
                <w:sz w:val="21"/>
                <w:szCs w:val="21"/>
              </w:rPr>
            </w:pPr>
          </w:p>
        </w:tc>
        <w:tc>
          <w:tcPr>
            <w:tcW w:w="2310" w:type="dxa"/>
            <w:gridSpan w:val="4"/>
            <w:tcBorders>
              <w:top w:val="single" w:color="000000" w:sz="4" w:space="0"/>
              <w:left w:val="single" w:color="000000" w:sz="4" w:space="0"/>
              <w:bottom w:val="single" w:color="000000" w:sz="4" w:space="0"/>
              <w:right w:val="single" w:color="000000" w:sz="4" w:space="0"/>
            </w:tcBorders>
          </w:tcPr>
          <w:p w14:paraId="14AC2591">
            <w:pPr>
              <w:widowControl w:val="0"/>
              <w:rPr>
                <w:rFonts w:ascii="Arial" w:hAnsi="Arial" w:eastAsia="Arial" w:cs="Arial"/>
                <w:sz w:val="21"/>
                <w:szCs w:val="21"/>
              </w:rPr>
            </w:pPr>
          </w:p>
        </w:tc>
        <w:tc>
          <w:tcPr>
            <w:tcW w:w="2084" w:type="dxa"/>
            <w:tcBorders>
              <w:top w:val="single" w:color="000000" w:sz="4" w:space="0"/>
              <w:left w:val="single" w:color="000000" w:sz="4" w:space="0"/>
              <w:bottom w:val="single" w:color="000000" w:sz="4" w:space="0"/>
              <w:right w:val="single" w:color="000000" w:sz="4" w:space="0"/>
            </w:tcBorders>
          </w:tcPr>
          <w:p w14:paraId="2B29D75C">
            <w:pPr>
              <w:widowControl w:val="0"/>
              <w:rPr>
                <w:rFonts w:ascii="Arial" w:hAnsi="Arial" w:eastAsia="Arial" w:cs="Arial"/>
                <w:sz w:val="21"/>
                <w:szCs w:val="21"/>
              </w:rPr>
            </w:pPr>
          </w:p>
        </w:tc>
      </w:tr>
      <w:tr w14:paraId="4E797A59">
        <w:tblPrEx>
          <w:tblCellMar>
            <w:top w:w="0" w:type="dxa"/>
            <w:left w:w="108" w:type="dxa"/>
            <w:bottom w:w="0" w:type="dxa"/>
            <w:right w:w="108" w:type="dxa"/>
          </w:tblCellMar>
        </w:tblPrEx>
        <w:trPr>
          <w:trHeight w:val="383" w:hRule="atLeast"/>
        </w:trPr>
        <w:tc>
          <w:tcPr>
            <w:tcW w:w="9923" w:type="dxa"/>
            <w:gridSpan w:val="10"/>
            <w:tcBorders>
              <w:top w:val="single" w:color="000000" w:sz="4" w:space="0"/>
              <w:left w:val="single" w:color="000000" w:sz="4" w:space="0"/>
              <w:bottom w:val="single" w:color="000000" w:sz="4" w:space="0"/>
              <w:right w:val="single" w:color="000000" w:sz="4" w:space="0"/>
            </w:tcBorders>
            <w:vAlign w:val="bottom"/>
          </w:tcPr>
          <w:p w14:paraId="17F288DE">
            <w:pPr>
              <w:widowControl w:val="0"/>
              <w:rPr>
                <w:rFonts w:ascii="Arial" w:hAnsi="Arial" w:eastAsia="Arial" w:cs="Arial"/>
                <w:sz w:val="21"/>
                <w:szCs w:val="21"/>
              </w:rPr>
            </w:pPr>
            <w:r>
              <w:rPr>
                <w:rFonts w:ascii="Arial" w:hAnsi="Arial" w:eastAsia="Arial" w:cs="Arial"/>
                <w:sz w:val="21"/>
                <w:szCs w:val="21"/>
              </w:rPr>
              <w:t>DATA DE REGISTRO DA EMPRESA NA JUNTA COMERCIAL: ____/____/______</w:t>
            </w:r>
          </w:p>
        </w:tc>
      </w:tr>
      <w:tr w14:paraId="2AFF1BF9">
        <w:tblPrEx>
          <w:tblCellMar>
            <w:top w:w="0" w:type="dxa"/>
            <w:left w:w="108" w:type="dxa"/>
            <w:bottom w:w="0" w:type="dxa"/>
            <w:right w:w="108" w:type="dxa"/>
          </w:tblCellMar>
        </w:tblPrEx>
        <w:trPr>
          <w:trHeight w:val="417" w:hRule="atLeast"/>
        </w:trPr>
        <w:tc>
          <w:tcPr>
            <w:tcW w:w="3828" w:type="dxa"/>
            <w:gridSpan w:val="2"/>
            <w:tcBorders>
              <w:top w:val="single" w:color="000000" w:sz="4" w:space="0"/>
              <w:left w:val="single" w:color="000000" w:sz="4" w:space="0"/>
              <w:bottom w:val="single" w:color="000000" w:sz="4" w:space="0"/>
              <w:right w:val="single" w:color="000000" w:sz="4" w:space="0"/>
            </w:tcBorders>
            <w:vAlign w:val="bottom"/>
          </w:tcPr>
          <w:p w14:paraId="25579009">
            <w:pPr>
              <w:widowControl w:val="0"/>
              <w:rPr>
                <w:rFonts w:ascii="Arial" w:hAnsi="Arial" w:eastAsia="Arial" w:cs="Arial"/>
                <w:sz w:val="21"/>
                <w:szCs w:val="21"/>
              </w:rPr>
            </w:pPr>
            <w:r>
              <w:rPr>
                <w:rFonts w:ascii="Arial" w:hAnsi="Arial" w:eastAsia="Arial" w:cs="Arial"/>
                <w:sz w:val="21"/>
                <w:szCs w:val="21"/>
              </w:rPr>
              <w:t>CONTA CORRENTE Nº:</w:t>
            </w:r>
          </w:p>
        </w:tc>
        <w:tc>
          <w:tcPr>
            <w:tcW w:w="3969" w:type="dxa"/>
            <w:gridSpan w:val="6"/>
            <w:tcBorders>
              <w:top w:val="single" w:color="000000" w:sz="4" w:space="0"/>
              <w:left w:val="single" w:color="000000" w:sz="4" w:space="0"/>
              <w:bottom w:val="single" w:color="000000" w:sz="4" w:space="0"/>
              <w:right w:val="single" w:color="000000" w:sz="4" w:space="0"/>
            </w:tcBorders>
            <w:vAlign w:val="bottom"/>
          </w:tcPr>
          <w:p w14:paraId="2B3D6BBC">
            <w:pPr>
              <w:widowControl w:val="0"/>
              <w:rPr>
                <w:rFonts w:ascii="Arial" w:hAnsi="Arial" w:eastAsia="Arial" w:cs="Arial"/>
                <w:sz w:val="21"/>
                <w:szCs w:val="21"/>
              </w:rPr>
            </w:pPr>
            <w:r>
              <w:rPr>
                <w:rFonts w:ascii="Arial" w:hAnsi="Arial" w:eastAsia="Arial" w:cs="Arial"/>
                <w:sz w:val="21"/>
                <w:szCs w:val="21"/>
              </w:rPr>
              <w:t>NOME DO BANCO:</w:t>
            </w:r>
          </w:p>
        </w:tc>
        <w:tc>
          <w:tcPr>
            <w:tcW w:w="2126" w:type="dxa"/>
            <w:gridSpan w:val="2"/>
            <w:tcBorders>
              <w:top w:val="single" w:color="000000" w:sz="4" w:space="0"/>
              <w:left w:val="single" w:color="000000" w:sz="4" w:space="0"/>
              <w:bottom w:val="single" w:color="000000" w:sz="4" w:space="0"/>
              <w:right w:val="single" w:color="000000" w:sz="4" w:space="0"/>
            </w:tcBorders>
            <w:vAlign w:val="bottom"/>
          </w:tcPr>
          <w:p w14:paraId="6E5AC331">
            <w:pPr>
              <w:widowControl w:val="0"/>
              <w:rPr>
                <w:rFonts w:ascii="Arial" w:hAnsi="Arial" w:eastAsia="Arial" w:cs="Arial"/>
                <w:sz w:val="21"/>
                <w:szCs w:val="21"/>
              </w:rPr>
            </w:pPr>
            <w:r>
              <w:rPr>
                <w:rFonts w:ascii="Arial" w:hAnsi="Arial" w:eastAsia="Arial" w:cs="Arial"/>
                <w:sz w:val="21"/>
                <w:szCs w:val="21"/>
              </w:rPr>
              <w:t>AGENCIA Nº:</w:t>
            </w:r>
          </w:p>
        </w:tc>
      </w:tr>
    </w:tbl>
    <w:p w14:paraId="17E0EBF6">
      <w:pPr>
        <w:rPr>
          <w:rFonts w:ascii="Arial" w:hAnsi="Arial" w:eastAsia="Arial" w:cs="Arial"/>
          <w:sz w:val="21"/>
          <w:szCs w:val="21"/>
        </w:rPr>
      </w:pPr>
    </w:p>
    <w:p w14:paraId="2AC9014E">
      <w:pPr>
        <w:jc w:val="center"/>
        <w:rPr>
          <w:rFonts w:ascii="Arial" w:hAnsi="Arial" w:eastAsia="Arial" w:cs="Arial"/>
          <w:sz w:val="21"/>
          <w:szCs w:val="21"/>
        </w:rPr>
      </w:pPr>
      <w:r>
        <w:rPr>
          <w:rFonts w:ascii="Arial" w:hAnsi="Arial" w:eastAsia="Arial" w:cs="Arial"/>
          <w:sz w:val="21"/>
          <w:szCs w:val="21"/>
        </w:rPr>
        <w:t>AUTORIZAÇÃO</w:t>
      </w:r>
    </w:p>
    <w:p w14:paraId="7C43C501">
      <w:pPr>
        <w:jc w:val="center"/>
        <w:rPr>
          <w:rFonts w:ascii="Arial" w:hAnsi="Arial" w:eastAsia="Arial" w:cs="Arial"/>
          <w:sz w:val="21"/>
          <w:szCs w:val="21"/>
        </w:rPr>
      </w:pPr>
    </w:p>
    <w:p w14:paraId="4EE9B5FE">
      <w:pPr>
        <w:jc w:val="both"/>
        <w:rPr>
          <w:rFonts w:ascii="Arial" w:hAnsi="Arial" w:eastAsia="Arial" w:cs="Arial"/>
          <w:sz w:val="21"/>
          <w:szCs w:val="21"/>
        </w:rPr>
      </w:pPr>
      <w:r>
        <w:rPr>
          <w:rFonts w:ascii="Arial" w:hAnsi="Arial" w:eastAsia="Arial" w:cs="Arial"/>
          <w:sz w:val="21"/>
          <w:szCs w:val="21"/>
        </w:rPr>
        <w:t>Autorizo o depósito na conta corrente acima especificada, dos valores de vendas e ou serviços a serem oferecidos para Prefeitura Municipal de Rondonópolis.</w:t>
      </w:r>
    </w:p>
    <w:p w14:paraId="76F7AA36">
      <w:pPr>
        <w:jc w:val="both"/>
        <w:rPr>
          <w:rFonts w:ascii="Arial" w:hAnsi="Arial" w:eastAsia="Arial" w:cs="Arial"/>
          <w:sz w:val="21"/>
          <w:szCs w:val="21"/>
        </w:rPr>
      </w:pPr>
    </w:p>
    <w:p w14:paraId="1649CAC3">
      <w:pPr>
        <w:jc w:val="center"/>
        <w:rPr>
          <w:rFonts w:ascii="Arial" w:hAnsi="Arial" w:eastAsia="Arial" w:cs="Arial"/>
          <w:sz w:val="21"/>
          <w:szCs w:val="21"/>
        </w:rPr>
      </w:pPr>
      <w:r>
        <w:rPr>
          <w:rFonts w:ascii="Arial" w:hAnsi="Arial" w:eastAsia="Arial" w:cs="Arial"/>
          <w:sz w:val="21"/>
          <w:szCs w:val="21"/>
        </w:rPr>
        <w:t>____________________________________________</w:t>
      </w:r>
    </w:p>
    <w:p w14:paraId="27F4591B">
      <w:pPr>
        <w:jc w:val="both"/>
        <w:rPr>
          <w:rFonts w:ascii="Arial" w:hAnsi="Arial" w:eastAsia="Arial" w:cs="Arial"/>
          <w:sz w:val="21"/>
          <w:szCs w:val="21"/>
        </w:rPr>
      </w:pPr>
      <w:r>
        <w:rPr>
          <w:rFonts w:ascii="Arial" w:hAnsi="Arial" w:eastAsia="Arial" w:cs="Arial"/>
          <w:sz w:val="21"/>
          <w:szCs w:val="21"/>
        </w:rPr>
        <w:t xml:space="preserve">                                                                Sócio/Proprietário</w:t>
      </w:r>
    </w:p>
    <w:p w14:paraId="640B3879">
      <w:pPr>
        <w:jc w:val="both"/>
        <w:rPr>
          <w:rFonts w:ascii="Arial" w:hAnsi="Arial" w:eastAsia="Arial" w:cs="Arial"/>
          <w:sz w:val="21"/>
          <w:szCs w:val="21"/>
        </w:rPr>
      </w:pPr>
      <w:r>
        <w:rPr>
          <w:rFonts w:ascii="Arial" w:hAnsi="Arial" w:eastAsia="Arial" w:cs="Arial"/>
          <w:sz w:val="21"/>
          <w:szCs w:val="21"/>
        </w:rPr>
        <w:t>01 – CONTRATO SOCIAL CONSTANDO O OBJETO E A ÚLTIMA ALTERAÇÃO;</w:t>
      </w:r>
    </w:p>
    <w:p w14:paraId="1D8267BB">
      <w:pPr>
        <w:jc w:val="both"/>
        <w:rPr>
          <w:rFonts w:ascii="Arial" w:hAnsi="Arial" w:eastAsia="Arial" w:cs="Arial"/>
          <w:sz w:val="21"/>
          <w:szCs w:val="21"/>
        </w:rPr>
      </w:pPr>
      <w:r>
        <w:rPr>
          <w:rFonts w:ascii="Arial" w:hAnsi="Arial" w:eastAsia="Arial" w:cs="Arial"/>
          <w:sz w:val="21"/>
          <w:szCs w:val="21"/>
        </w:rPr>
        <w:t>02 – ALVARÁ DE LOCALIZAÇÃO EM VIGÊNCIA;</w:t>
      </w:r>
    </w:p>
    <w:p w14:paraId="2ED22862">
      <w:pPr>
        <w:jc w:val="both"/>
        <w:rPr>
          <w:rFonts w:ascii="Arial" w:hAnsi="Arial" w:eastAsia="Arial" w:cs="Arial"/>
          <w:sz w:val="21"/>
          <w:szCs w:val="21"/>
        </w:rPr>
      </w:pPr>
      <w:r>
        <w:rPr>
          <w:rFonts w:ascii="Arial" w:hAnsi="Arial" w:eastAsia="Arial" w:cs="Arial"/>
          <w:sz w:val="21"/>
          <w:szCs w:val="21"/>
        </w:rPr>
        <w:t xml:space="preserve">03 – CARTÃO DO CNPJ; </w:t>
      </w:r>
    </w:p>
    <w:p w14:paraId="4F63FAF6">
      <w:pPr>
        <w:jc w:val="both"/>
        <w:rPr>
          <w:rFonts w:ascii="Arial" w:hAnsi="Arial" w:eastAsia="Arial" w:cs="Arial"/>
          <w:sz w:val="21"/>
          <w:szCs w:val="21"/>
        </w:rPr>
      </w:pPr>
      <w:r>
        <w:rPr>
          <w:rFonts w:ascii="Arial" w:hAnsi="Arial" w:eastAsia="Arial" w:cs="Arial"/>
          <w:sz w:val="21"/>
          <w:szCs w:val="21"/>
        </w:rPr>
        <w:t>04 – CARTÃO DE INSCRIÇÃO ESTADUAL;</w:t>
      </w:r>
    </w:p>
    <w:p w14:paraId="499F9485">
      <w:pPr>
        <w:jc w:val="both"/>
        <w:rPr>
          <w:rFonts w:ascii="Arial" w:hAnsi="Arial" w:eastAsia="Arial" w:cs="Arial"/>
          <w:sz w:val="21"/>
          <w:szCs w:val="21"/>
        </w:rPr>
      </w:pPr>
      <w:r>
        <w:rPr>
          <w:rFonts w:ascii="Arial" w:hAnsi="Arial" w:eastAsia="Arial" w:cs="Arial"/>
          <w:sz w:val="21"/>
          <w:szCs w:val="21"/>
        </w:rPr>
        <w:t>05 – DOCUMENTOS PESSOAIS DOS SÓCIOS</w:t>
      </w:r>
    </w:p>
    <w:p w14:paraId="0A119467">
      <w:pPr>
        <w:jc w:val="both"/>
        <w:rPr>
          <w:rFonts w:ascii="Arial" w:hAnsi="Arial" w:eastAsia="Arial" w:cs="Arial"/>
          <w:sz w:val="21"/>
          <w:szCs w:val="21"/>
        </w:rPr>
      </w:pPr>
      <w:r>
        <w:rPr>
          <w:rFonts w:ascii="Arial" w:hAnsi="Arial" w:eastAsia="Arial" w:cs="Arial"/>
          <w:sz w:val="21"/>
          <w:szCs w:val="21"/>
        </w:rPr>
        <w:t>06 – DOCUMENTO QUE COMPROVE OS DADOS BANCÁRIOS (EX. CARTÃO ELETRÔNICO).</w:t>
      </w:r>
    </w:p>
    <w:p w14:paraId="5F76DDFA">
      <w:pPr>
        <w:jc w:val="both"/>
        <w:rPr>
          <w:rFonts w:ascii="Arial" w:hAnsi="Arial" w:eastAsia="Arial" w:cs="Arial"/>
          <w:sz w:val="21"/>
          <w:szCs w:val="21"/>
        </w:rPr>
      </w:pPr>
      <w:r>
        <w:rPr>
          <w:rFonts w:ascii="Arial" w:hAnsi="Arial" w:eastAsia="Arial" w:cs="Arial"/>
          <w:sz w:val="21"/>
          <w:szCs w:val="21"/>
        </w:rPr>
        <w:t>Observação: As cópias dos documentos solicitados não serão devolvidas, pois as mesmas serão arquivadas, no Departamento de Compras.</w:t>
      </w:r>
    </w:p>
    <w:sectPr>
      <w:headerReference r:id="rId4" w:type="first"/>
      <w:footerReference r:id="rId6" w:type="first"/>
      <w:headerReference r:id="rId3" w:type="default"/>
      <w:footerReference r:id="rId5" w:type="default"/>
      <w:pgSz w:w="11906" w:h="16838"/>
      <w:pgMar w:top="519" w:right="706" w:bottom="777" w:left="1134" w:header="142" w:footer="720" w:gutter="0"/>
      <w:pgNumType w:start="1"/>
      <w:cols w:space="720" w:num="1"/>
      <w:formProt w:val="0"/>
      <w:docGrid w:linePitch="100" w:charSpace="819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embedRegular r:id="rId1" w:fontKey="{A9118C8B-8647-4D25-84D8-C4723CF200A6}"/>
  </w:font>
  <w:font w:name="Courier New">
    <w:panose1 w:val="02070309020205020404"/>
    <w:charset w:val="00"/>
    <w:family w:val="modern"/>
    <w:pitch w:val="default"/>
    <w:sig w:usb0="E0002EFF" w:usb1="C0007843" w:usb2="00000009" w:usb3="00000000" w:csb0="400001FF" w:csb1="FFFF0000"/>
    <w:embedRegular r:id="rId2" w:fontKey="{7064E40E-02F4-465C-86DD-CFC1C4B2BEDF}"/>
  </w:font>
  <w:font w:name="Symbol">
    <w:panose1 w:val="05050102010706020507"/>
    <w:charset w:val="02"/>
    <w:family w:val="roman"/>
    <w:pitch w:val="default"/>
    <w:sig w:usb0="00000000" w:usb1="00000000" w:usb2="00000000" w:usb3="00000000" w:csb0="80000000" w:csb1="00000000"/>
    <w:embedRegular r:id="rId3" w:fontKey="{1BC6EF54-4A70-418B-A666-E148C8EB442F}"/>
  </w:font>
  <w:font w:name="SimHei">
    <w:altName w:val="SimSun"/>
    <w:panose1 w:val="02010609060101010101"/>
    <w:charset w:val="86"/>
    <w:family w:val="modern"/>
    <w:pitch w:val="default"/>
    <w:sig w:usb0="800002BF" w:usb1="38CF7CFA" w:usb2="00000016" w:usb3="00000000" w:csb0="00040001" w:csb1="00000000"/>
  </w:font>
  <w:font w:name="Calibri">
    <w:panose1 w:val="020F0502020204030204"/>
    <w:charset w:val="00"/>
    <w:family w:val="swiss"/>
    <w:pitch w:val="default"/>
    <w:sig w:usb0="E4002EFF" w:usb1="C000247B" w:usb2="00000009" w:usb3="00000000" w:csb0="200001FF" w:csb1="00000000"/>
    <w:embedRegular r:id="rId4" w:fontKey="{72F97CCA-D68C-4EA1-B03D-3D77DD0B1BB9}"/>
  </w:font>
  <w:font w:name="Ecofont_Spranq_eco_Sans">
    <w:altName w:val="Malgun Gothic"/>
    <w:panose1 w:val="00000000000000000000"/>
    <w:charset w:val="00"/>
    <w:family w:val="roman"/>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embedRegular r:id="rId5" w:fontKey="{C3081010-40CA-4BBE-9AB4-0AA22801E494}"/>
  </w:font>
  <w:font w:name="MS Mincho">
    <w:altName w:val="Yu Gothic UI"/>
    <w:panose1 w:val="02020609040205080304"/>
    <w:charset w:val="80"/>
    <w:family w:val="roman"/>
    <w:pitch w:val="default"/>
    <w:sig w:usb0="00000000" w:usb1="00000000" w:usb2="00000010" w:usb3="00000000" w:csb0="00020000" w:csb1="00000000"/>
  </w:font>
  <w:font w:name="MS Gothic">
    <w:panose1 w:val="020B0609070205080204"/>
    <w:charset w:val="80"/>
    <w:family w:val="modern"/>
    <w:pitch w:val="default"/>
    <w:sig w:usb0="E00002FF" w:usb1="6AC7FDFB" w:usb2="08000012" w:usb3="00000000" w:csb0="4002009F" w:csb1="DFD70000"/>
  </w:font>
  <w:font w:name="Calibri Light">
    <w:panose1 w:val="020F0302020204030204"/>
    <w:charset w:val="00"/>
    <w:family w:val="swiss"/>
    <w:pitch w:val="default"/>
    <w:sig w:usb0="E4002EFF" w:usb1="C000247B" w:usb2="00000009" w:usb3="00000000" w:csb0="200001FF" w:csb1="00000000"/>
    <w:embedRegular r:id="rId6" w:fontKey="{104C2981-C854-4854-A0EB-3688CE7494BB}"/>
  </w:font>
  <w:font w:name="Century Gothic">
    <w:panose1 w:val="020B0502020202020204"/>
    <w:charset w:val="00"/>
    <w:family w:val="swiss"/>
    <w:pitch w:val="default"/>
    <w:sig w:usb0="00000287" w:usb1="00000000" w:usb2="00000000" w:usb3="00000000" w:csb0="2000009F" w:csb1="DFD70000"/>
    <w:embedRegular r:id="rId7" w:fontKey="{4BA1DEEB-7A2D-4A44-A66F-D86C217F26B5}"/>
  </w:font>
  <w:font w:name="OpenSymbol">
    <w:panose1 w:val="05010000000000000000"/>
    <w:charset w:val="00"/>
    <w:family w:val="auto"/>
    <w:pitch w:val="default"/>
    <w:sig w:usb0="800000AF" w:usb1="1001ECEA" w:usb2="00000000" w:usb3="00000000" w:csb0="80000001" w:csb1="00000000"/>
    <w:embedRegular r:id="rId8" w:fontKey="{E910B916-83BD-464C-ADFB-6F719835A3C8}"/>
  </w:font>
  <w:font w:name="Liberation Serif">
    <w:panose1 w:val="02020603050405020304"/>
    <w:charset w:val="00"/>
    <w:family w:val="roman"/>
    <w:pitch w:val="default"/>
    <w:sig w:usb0="E0000AFF" w:usb1="500078FF" w:usb2="00000021" w:usb3="00000000" w:csb0="600001BF" w:csb1="DFF70000"/>
    <w:embedRegular r:id="rId9" w:fontKey="{8F8DC978-DADF-4E6E-B2FE-4566F8000E1A}"/>
  </w:font>
  <w:font w:name="Liberation Mono;Courier New">
    <w:altName w:val="Liberation Mono"/>
    <w:panose1 w:val="00000000000000000000"/>
    <w:charset w:val="00"/>
    <w:family w:val="roman"/>
    <w:pitch w:val="default"/>
    <w:sig w:usb0="00000000" w:usb1="00000000" w:usb2="00000000" w:usb3="00000000" w:csb0="00000000" w:csb1="00000000"/>
  </w:font>
  <w:font w:name="NSimSun">
    <w:panose1 w:val="02010609030101010101"/>
    <w:charset w:val="86"/>
    <w:family w:val="modern"/>
    <w:pitch w:val="default"/>
    <w:sig w:usb0="00000203" w:usb1="288F0000" w:usb2="00000006" w:usb3="00000000" w:csb0="00040001" w:csb1="00000000"/>
  </w:font>
  <w:font w:name="Noto Sans">
    <w:panose1 w:val="020B0502040504020204"/>
    <w:charset w:val="00"/>
    <w:family w:val="swiss"/>
    <w:pitch w:val="default"/>
    <w:sig w:usb0="E00002FF" w:usb1="4000001F" w:usb2="08000029" w:usb3="00100000" w:csb0="00000000" w:csb1="00000000"/>
    <w:embedRegular r:id="rId10" w:fontKey="{75E91D8C-72BA-4A08-8DA2-FF7181076C67}"/>
  </w:font>
  <w:font w:name="SimSun;宋体">
    <w:altName w:val="SimSun"/>
    <w:panose1 w:val="00000000000000000000"/>
    <w:charset w:val="80"/>
    <w:family w:val="roman"/>
    <w:pitch w:val="default"/>
    <w:sig w:usb0="00000000" w:usb1="00000000" w:usb2="00000000" w:usb3="00000000" w:csb0="00000000" w:csb1="00000000"/>
  </w:font>
  <w:font w:name="Noto Sans Symbols">
    <w:altName w:val="Times New Roman"/>
    <w:panose1 w:val="00000000000000000000"/>
    <w:charset w:val="01"/>
    <w:family w:val="auto"/>
    <w:pitch w:val="default"/>
    <w:sig w:usb0="00000000" w:usb1="00000000" w:usb2="00000000" w:usb3="00000000" w:csb0="00000000" w:csb1="00000000"/>
  </w:font>
  <w:font w:name="Caladea">
    <w:panose1 w:val="02000506000000020000"/>
    <w:charset w:val="00"/>
    <w:family w:val="roman"/>
    <w:pitch w:val="default"/>
    <w:sig w:usb0="00000007" w:usb1="00000000" w:usb2="00000000" w:usb3="00000000" w:csb0="20000093" w:csb1="00000000"/>
    <w:embedRegular r:id="rId11" w:fontKey="{57A4C4EF-7397-476A-B09F-6CA1E3E9362B}"/>
  </w:font>
  <w:font w:name="Times New Romin;Times New Roman">
    <w:altName w:val="Liberation Mono"/>
    <w:panose1 w:val="00000000000000000000"/>
    <w:charset w:val="00"/>
    <w:family w:val="roman"/>
    <w:pitch w:val="default"/>
    <w:sig w:usb0="00000000" w:usb1="00000000" w:usb2="00000000" w:usb3="00000000" w:csb0="00000000" w:csb1="00000000"/>
  </w:font>
  <w:font w:name="Wingdings 2">
    <w:panose1 w:val="05020102010507070707"/>
    <w:charset w:val="02"/>
    <w:family w:val="roman"/>
    <w:pitch w:val="default"/>
    <w:sig w:usb0="00000000" w:usb1="00000000" w:usb2="00000000" w:usb3="00000000" w:csb0="80000000" w:csb1="00000000"/>
    <w:embedRegular r:id="rId12" w:fontKey="{ADDBE8F7-6113-4703-A2D8-6FBF396F8CB9}"/>
  </w:font>
  <w:font w:name="Wingdings">
    <w:panose1 w:val="05000000000000000000"/>
    <w:charset w:val="02"/>
    <w:family w:val="auto"/>
    <w:pitch w:val="default"/>
    <w:sig w:usb0="00000000" w:usb1="00000000" w:usb2="00000000" w:usb3="00000000" w:csb0="80000000" w:csb1="00000000"/>
    <w:embedRegular r:id="rId13" w:fontKey="{6DE8ADCC-4875-4C36-A4F0-C7D2AEE45969}"/>
  </w:font>
  <w:font w:name="Times New Romin">
    <w:altName w:val="Liberation Mono"/>
    <w:panose1 w:val="00000000000000000000"/>
    <w:charset w:val="00"/>
    <w:family w:val="roman"/>
    <w:pitch w:val="default"/>
    <w:sig w:usb0="00000000" w:usb1="00000000" w:usb2="00000000" w:usb3="00000000" w:csb0="00000000" w:csb1="00000000"/>
  </w:font>
  <w:font w:name="Helvetica Neue">
    <w:altName w:val="Times New Roman"/>
    <w:panose1 w:val="00000000000000000000"/>
    <w:charset w:val="00"/>
    <w:family w:val="roman"/>
    <w:pitch w:val="default"/>
    <w:sig w:usb0="00000000" w:usb1="00000000" w:usb2="00000000" w:usb3="00000000" w:csb0="00000000" w:csb1="00000000"/>
  </w:font>
  <w:font w:name="Malgun Gothic">
    <w:panose1 w:val="020B0503020000020004"/>
    <w:charset w:val="81"/>
    <w:family w:val="auto"/>
    <w:pitch w:val="default"/>
    <w:sig w:usb0="9000002F" w:usb1="29D77CFB" w:usb2="00000012" w:usb3="00000000" w:csb0="00080001" w:csb1="00000000"/>
  </w:font>
  <w:font w:name="Yu Gothic UI">
    <w:panose1 w:val="020B0500000000000000"/>
    <w:charset w:val="80"/>
    <w:family w:val="auto"/>
    <w:pitch w:val="default"/>
    <w:sig w:usb0="E00002FF" w:usb1="2AC7FDFF" w:usb2="00000016" w:usb3="00000000" w:csb0="2002009F" w:csb1="00000000"/>
  </w:font>
  <w:font w:name="Liberation Mono">
    <w:panose1 w:val="02070409020205020404"/>
    <w:charset w:val="00"/>
    <w:family w:val="auto"/>
    <w:pitch w:val="default"/>
    <w:sig w:usb0="E0000AFF" w:usb1="400078FF" w:usb2="00000001" w:usb3="00000000" w:csb0="600001BF" w:csb1="DFF70000"/>
    <w:embedRegular r:id="rId14" w:fontKey="{052B15B9-5CC3-4475-BF75-50A2957FEA0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A0BCDF">
    <w:pPr>
      <w:widowControl w:val="0"/>
      <w:tabs>
        <w:tab w:val="center" w:pos="4419"/>
        <w:tab w:val="right" w:pos="8838"/>
      </w:tabs>
      <w:jc w:val="right"/>
      <w:rPr>
        <w:color w:val="000000"/>
      </w:rPr>
    </w:pPr>
    <w:r>
      <w:fldChar w:fldCharType="begin"/>
    </w:r>
    <w:r>
      <w:instrText xml:space="preserve">PAGE</w:instrText>
    </w:r>
    <w:r>
      <w:fldChar w:fldCharType="separate"/>
    </w:r>
    <w:r>
      <w:t>26</w:t>
    </w:r>
    <w:r>
      <w:fldChar w:fldCharType="end"/>
    </w:r>
  </w:p>
  <w:p w14:paraId="797A9ABD">
    <w:pPr>
      <w:widowControl w:val="0"/>
      <w:tabs>
        <w:tab w:val="center" w:pos="4419"/>
        <w:tab w:val="right" w:pos="8838"/>
      </w:tabs>
      <w:rPr>
        <w:color w:val="00000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509BBA">
    <w:pPr>
      <w:widowControl w:val="0"/>
      <w:tabs>
        <w:tab w:val="center" w:pos="4419"/>
        <w:tab w:val="right" w:pos="8838"/>
      </w:tabs>
      <w:jc w:val="right"/>
      <w:rPr>
        <w:color w:val="000000"/>
      </w:rPr>
    </w:pPr>
    <w:r>
      <w:fldChar w:fldCharType="begin"/>
    </w:r>
    <w:r>
      <w:instrText xml:space="preserve">PAGE</w:instrText>
    </w:r>
    <w:r>
      <w:fldChar w:fldCharType="separate"/>
    </w:r>
    <w:r>
      <w:t>1</w:t>
    </w:r>
    <w:r>
      <w:fldChar w:fldCharType="end"/>
    </w:r>
  </w:p>
  <w:p w14:paraId="2A72F53B">
    <w:pPr>
      <w:widowControl w:val="0"/>
      <w:tabs>
        <w:tab w:val="center" w:pos="4419"/>
        <w:tab w:val="right" w:pos="8838"/>
      </w:tabs>
      <w:rPr>
        <w:color w:val="000000"/>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B96D84">
    <w:pPr>
      <w:widowControl w:val="0"/>
      <w:spacing w:line="276" w:lineRule="auto"/>
      <w:rPr>
        <w:rFonts w:ascii="Arial" w:hAnsi="Arial" w:eastAsia="Arial" w:cs="Arial"/>
        <w:sz w:val="21"/>
        <w:szCs w:val="21"/>
      </w:rPr>
    </w:pPr>
  </w:p>
  <w:tbl>
    <w:tblPr>
      <w:tblStyle w:val="12"/>
      <w:tblW w:w="18218" w:type="dxa"/>
      <w:tblInd w:w="0" w:type="dxa"/>
      <w:tblLayout w:type="fixed"/>
      <w:tblCellMar>
        <w:top w:w="0" w:type="dxa"/>
        <w:left w:w="108" w:type="dxa"/>
        <w:bottom w:w="0" w:type="dxa"/>
        <w:right w:w="108" w:type="dxa"/>
      </w:tblCellMar>
    </w:tblPr>
    <w:tblGrid>
      <w:gridCol w:w="249"/>
      <w:gridCol w:w="3545"/>
      <w:gridCol w:w="6094"/>
      <w:gridCol w:w="5356"/>
      <w:gridCol w:w="2974"/>
    </w:tblGrid>
    <w:tr w14:paraId="6DBF18A6">
      <w:tblPrEx>
        <w:tblCellMar>
          <w:top w:w="0" w:type="dxa"/>
          <w:left w:w="108" w:type="dxa"/>
          <w:bottom w:w="0" w:type="dxa"/>
          <w:right w:w="108" w:type="dxa"/>
        </w:tblCellMar>
      </w:tblPrEx>
      <w:trPr>
        <w:trHeight w:val="1438" w:hRule="atLeast"/>
      </w:trPr>
      <w:tc>
        <w:tcPr>
          <w:tcW w:w="249" w:type="dxa"/>
          <w:shd w:val="clear" w:color="auto" w:fill="auto"/>
          <w:vAlign w:val="center"/>
        </w:tcPr>
        <w:p w14:paraId="28AB0BE4">
          <w:pPr>
            <w:widowControl w:val="0"/>
            <w:tabs>
              <w:tab w:val="center" w:pos="4419"/>
              <w:tab w:val="right" w:pos="8838"/>
              <w:tab w:val="right" w:pos="9360"/>
            </w:tabs>
            <w:jc w:val="center"/>
            <w:rPr>
              <w:rFonts w:ascii="Arial" w:hAnsi="Arial" w:eastAsia="Arial" w:cs="Arial"/>
              <w:b/>
              <w:smallCaps/>
              <w:color w:val="002060"/>
            </w:rPr>
          </w:pPr>
        </w:p>
      </w:tc>
      <w:tc>
        <w:tcPr>
          <w:tcW w:w="3545" w:type="dxa"/>
          <w:vAlign w:val="center"/>
        </w:tcPr>
        <w:p w14:paraId="44F3E060">
          <w:pPr>
            <w:widowControl w:val="0"/>
            <w:tabs>
              <w:tab w:val="left" w:pos="34"/>
              <w:tab w:val="center" w:pos="4419"/>
              <w:tab w:val="right" w:pos="8838"/>
              <w:tab w:val="right" w:pos="9360"/>
            </w:tabs>
            <w:rPr>
              <w:rFonts w:ascii="Helvetica Neue" w:hAnsi="Helvetica Neue" w:eastAsia="Helvetica Neue" w:cs="Helvetica Neue"/>
              <w:smallCaps/>
              <w:color w:val="000000"/>
            </w:rPr>
          </w:pPr>
          <w:r>
            <w:rPr>
              <w:lang w:eastAsia="pt-BR"/>
            </w:rPr>
            <w:drawing>
              <wp:inline distT="0" distB="0" distL="0" distR="0">
                <wp:extent cx="2114550" cy="561975"/>
                <wp:effectExtent l="0" t="0" r="0" b="0"/>
                <wp:docPr id="3" name="image1.png" descr="C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png" descr="COR"/>
                        <pic:cNvPicPr>
                          <a:picLocks noChangeAspect="1" noChangeArrowheads="1"/>
                        </pic:cNvPicPr>
                      </pic:nvPicPr>
                      <pic:blipFill>
                        <a:blip r:embed="rId1"/>
                        <a:stretch>
                          <a:fillRect/>
                        </a:stretch>
                      </pic:blipFill>
                      <pic:spPr>
                        <a:xfrm>
                          <a:off x="0" y="0"/>
                          <a:ext cx="2114550" cy="561975"/>
                        </a:xfrm>
                        <a:prstGeom prst="rect">
                          <a:avLst/>
                        </a:prstGeom>
                      </pic:spPr>
                    </pic:pic>
                  </a:graphicData>
                </a:graphic>
              </wp:inline>
            </w:drawing>
          </w:r>
        </w:p>
      </w:tc>
      <w:tc>
        <w:tcPr>
          <w:tcW w:w="6094" w:type="dxa"/>
          <w:vAlign w:val="center"/>
        </w:tcPr>
        <w:p w14:paraId="5AF3A5B4">
          <w:pPr>
            <w:widowControl w:val="0"/>
            <w:spacing w:line="276" w:lineRule="auto"/>
            <w:ind w:right="-1178"/>
            <w:jc w:val="both"/>
            <w:rPr>
              <w:rFonts w:ascii="Arial" w:hAnsi="Arial" w:eastAsia="Arial" w:cs="Arial"/>
              <w:b/>
              <w:smallCaps/>
            </w:rPr>
          </w:pPr>
          <w:r>
            <w:rPr>
              <w:rFonts w:ascii="Arial" w:hAnsi="Arial" w:eastAsia="Arial" w:cs="Arial"/>
              <w:b/>
              <w:smallCaps/>
            </w:rPr>
            <w:t xml:space="preserve">     Estado de Mato Grosso</w:t>
          </w:r>
        </w:p>
        <w:p w14:paraId="5028DAA2">
          <w:pPr>
            <w:widowControl w:val="0"/>
            <w:spacing w:line="276" w:lineRule="auto"/>
            <w:ind w:left="500" w:right="-1178" w:hanging="283"/>
            <w:jc w:val="both"/>
            <w:rPr>
              <w:rFonts w:ascii="Arial" w:hAnsi="Arial" w:eastAsia="Arial" w:cs="Arial"/>
              <w:b/>
              <w:smallCaps/>
            </w:rPr>
          </w:pPr>
          <w:r>
            <w:rPr>
              <w:rFonts w:ascii="Arial" w:hAnsi="Arial" w:eastAsia="Arial" w:cs="Arial"/>
              <w:b/>
              <w:smallCaps/>
            </w:rPr>
            <w:t>Município de Rondonópolis</w:t>
          </w:r>
        </w:p>
        <w:p w14:paraId="4A585670">
          <w:pPr>
            <w:widowControl w:val="0"/>
            <w:spacing w:line="276" w:lineRule="auto"/>
            <w:ind w:left="500" w:right="-1178" w:hanging="283"/>
            <w:jc w:val="both"/>
            <w:rPr>
              <w:rFonts w:ascii="Arial" w:hAnsi="Arial" w:eastAsia="Arial" w:cs="Arial"/>
              <w:b/>
              <w:smallCaps/>
            </w:rPr>
          </w:pPr>
          <w:r>
            <w:rPr>
              <w:rFonts w:ascii="Arial" w:hAnsi="Arial" w:eastAsia="Arial" w:cs="Arial"/>
              <w:b/>
              <w:smallCaps/>
            </w:rPr>
            <w:t>Secretaria Municipal de Administração, Gestão e Inovação</w:t>
          </w:r>
        </w:p>
        <w:p w14:paraId="39F8DB82">
          <w:pPr>
            <w:widowControl w:val="0"/>
            <w:spacing w:line="276" w:lineRule="auto"/>
            <w:ind w:left="500" w:right="-1178" w:hanging="283"/>
            <w:jc w:val="both"/>
          </w:pPr>
          <w:r>
            <w:rPr>
              <w:rFonts w:ascii="Arial" w:hAnsi="Arial" w:eastAsia="Arial" w:cs="Arial"/>
              <w:b/>
              <w:smallCaps/>
            </w:rPr>
            <w:t>Superintendência de Compras e Licitações (P.E.30/2025)</w:t>
          </w:r>
        </w:p>
      </w:tc>
      <w:tc>
        <w:tcPr>
          <w:tcW w:w="5356" w:type="dxa"/>
          <w:shd w:val="clear" w:color="auto" w:fill="auto"/>
          <w:vAlign w:val="center"/>
        </w:tcPr>
        <w:p w14:paraId="1B09D562">
          <w:pPr>
            <w:widowControl w:val="0"/>
            <w:rPr>
              <w:color w:val="002060"/>
            </w:rPr>
          </w:pPr>
        </w:p>
      </w:tc>
      <w:tc>
        <w:tcPr>
          <w:tcW w:w="2974" w:type="dxa"/>
          <w:shd w:val="clear" w:color="auto" w:fill="auto"/>
          <w:vAlign w:val="center"/>
        </w:tcPr>
        <w:p w14:paraId="634BCB32">
          <w:pPr>
            <w:widowControl w:val="0"/>
            <w:tabs>
              <w:tab w:val="center" w:pos="4419"/>
              <w:tab w:val="right" w:pos="8838"/>
              <w:tab w:val="right" w:pos="9360"/>
            </w:tabs>
            <w:jc w:val="center"/>
            <w:rPr>
              <w:rFonts w:ascii="Helvetica Neue" w:hAnsi="Helvetica Neue" w:eastAsia="Helvetica Neue" w:cs="Helvetica Neue"/>
              <w:smallCaps/>
              <w:color w:val="000000"/>
            </w:rPr>
          </w:pPr>
        </w:p>
      </w:tc>
    </w:tr>
  </w:tbl>
  <w:p w14:paraId="57219030">
    <w:pPr>
      <w:widowControl w:val="0"/>
      <w:tabs>
        <w:tab w:val="center" w:pos="4419"/>
        <w:tab w:val="right" w:pos="8838"/>
      </w:tabs>
      <w:rPr>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F5D3C1">
    <w:pPr>
      <w:widowControl w:val="0"/>
      <w:spacing w:line="276" w:lineRule="auto"/>
      <w:rPr>
        <w:rFonts w:ascii="Arial" w:hAnsi="Arial" w:eastAsia="Arial" w:cs="Arial"/>
        <w:sz w:val="21"/>
        <w:szCs w:val="21"/>
      </w:rPr>
    </w:pPr>
  </w:p>
  <w:tbl>
    <w:tblPr>
      <w:tblStyle w:val="12"/>
      <w:tblW w:w="18218" w:type="dxa"/>
      <w:tblInd w:w="0" w:type="dxa"/>
      <w:tblLayout w:type="fixed"/>
      <w:tblCellMar>
        <w:top w:w="0" w:type="dxa"/>
        <w:left w:w="108" w:type="dxa"/>
        <w:bottom w:w="0" w:type="dxa"/>
        <w:right w:w="108" w:type="dxa"/>
      </w:tblCellMar>
    </w:tblPr>
    <w:tblGrid>
      <w:gridCol w:w="249"/>
      <w:gridCol w:w="3545"/>
      <w:gridCol w:w="6094"/>
      <w:gridCol w:w="5356"/>
      <w:gridCol w:w="2974"/>
    </w:tblGrid>
    <w:tr w14:paraId="53CBBD7C">
      <w:tblPrEx>
        <w:tblCellMar>
          <w:top w:w="0" w:type="dxa"/>
          <w:left w:w="108" w:type="dxa"/>
          <w:bottom w:w="0" w:type="dxa"/>
          <w:right w:w="108" w:type="dxa"/>
        </w:tblCellMar>
      </w:tblPrEx>
      <w:trPr>
        <w:trHeight w:val="1438" w:hRule="atLeast"/>
      </w:trPr>
      <w:tc>
        <w:tcPr>
          <w:tcW w:w="249" w:type="dxa"/>
          <w:shd w:val="clear" w:color="auto" w:fill="auto"/>
          <w:vAlign w:val="center"/>
        </w:tcPr>
        <w:p w14:paraId="45C97A70">
          <w:pPr>
            <w:widowControl w:val="0"/>
            <w:tabs>
              <w:tab w:val="center" w:pos="4419"/>
              <w:tab w:val="right" w:pos="8838"/>
              <w:tab w:val="right" w:pos="9360"/>
            </w:tabs>
            <w:jc w:val="center"/>
            <w:rPr>
              <w:rFonts w:ascii="Arial" w:hAnsi="Arial" w:eastAsia="Arial" w:cs="Arial"/>
              <w:b/>
              <w:smallCaps/>
              <w:color w:val="002060"/>
            </w:rPr>
          </w:pPr>
        </w:p>
      </w:tc>
      <w:tc>
        <w:tcPr>
          <w:tcW w:w="3545" w:type="dxa"/>
          <w:vAlign w:val="center"/>
        </w:tcPr>
        <w:p w14:paraId="5D6B0708">
          <w:pPr>
            <w:widowControl w:val="0"/>
            <w:tabs>
              <w:tab w:val="left" w:pos="34"/>
              <w:tab w:val="center" w:pos="4419"/>
              <w:tab w:val="right" w:pos="8838"/>
              <w:tab w:val="right" w:pos="9360"/>
            </w:tabs>
            <w:rPr>
              <w:rFonts w:ascii="Helvetica Neue" w:hAnsi="Helvetica Neue" w:eastAsia="Helvetica Neue" w:cs="Helvetica Neue"/>
              <w:smallCaps/>
              <w:color w:val="000000"/>
            </w:rPr>
          </w:pPr>
          <w:r>
            <w:rPr>
              <w:lang w:eastAsia="pt-BR"/>
            </w:rPr>
            <w:drawing>
              <wp:inline distT="0" distB="0" distL="0" distR="0">
                <wp:extent cx="2114550" cy="561975"/>
                <wp:effectExtent l="0" t="0" r="0" b="0"/>
                <wp:docPr id="4" name="image1.png" descr="C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png" descr="COR"/>
                        <pic:cNvPicPr>
                          <a:picLocks noChangeAspect="1" noChangeArrowheads="1"/>
                        </pic:cNvPicPr>
                      </pic:nvPicPr>
                      <pic:blipFill>
                        <a:blip r:embed="rId1"/>
                        <a:stretch>
                          <a:fillRect/>
                        </a:stretch>
                      </pic:blipFill>
                      <pic:spPr>
                        <a:xfrm>
                          <a:off x="0" y="0"/>
                          <a:ext cx="2114550" cy="561975"/>
                        </a:xfrm>
                        <a:prstGeom prst="rect">
                          <a:avLst/>
                        </a:prstGeom>
                      </pic:spPr>
                    </pic:pic>
                  </a:graphicData>
                </a:graphic>
              </wp:inline>
            </w:drawing>
          </w:r>
        </w:p>
      </w:tc>
      <w:tc>
        <w:tcPr>
          <w:tcW w:w="6094" w:type="dxa"/>
          <w:vAlign w:val="center"/>
        </w:tcPr>
        <w:p w14:paraId="6DF9B0C5">
          <w:pPr>
            <w:widowControl w:val="0"/>
            <w:spacing w:line="276" w:lineRule="auto"/>
            <w:ind w:right="-1178"/>
            <w:jc w:val="both"/>
            <w:rPr>
              <w:rFonts w:ascii="Arial" w:hAnsi="Arial" w:eastAsia="Arial" w:cs="Arial"/>
              <w:b/>
              <w:smallCaps/>
            </w:rPr>
          </w:pPr>
          <w:r>
            <w:rPr>
              <w:rFonts w:ascii="Arial" w:hAnsi="Arial" w:eastAsia="Arial" w:cs="Arial"/>
              <w:b/>
              <w:smallCaps/>
            </w:rPr>
            <w:t xml:space="preserve">     Estado de Mato Grosso</w:t>
          </w:r>
        </w:p>
        <w:p w14:paraId="1EFF60DE">
          <w:pPr>
            <w:widowControl w:val="0"/>
            <w:spacing w:line="276" w:lineRule="auto"/>
            <w:ind w:left="500" w:right="-1178" w:hanging="283"/>
            <w:jc w:val="both"/>
            <w:rPr>
              <w:rFonts w:ascii="Arial" w:hAnsi="Arial" w:eastAsia="Arial" w:cs="Arial"/>
              <w:b/>
              <w:smallCaps/>
            </w:rPr>
          </w:pPr>
          <w:r>
            <w:rPr>
              <w:rFonts w:ascii="Arial" w:hAnsi="Arial" w:eastAsia="Arial" w:cs="Arial"/>
              <w:b/>
              <w:smallCaps/>
            </w:rPr>
            <w:t>Município de Rondonópolis</w:t>
          </w:r>
        </w:p>
        <w:p w14:paraId="4633DC52">
          <w:pPr>
            <w:widowControl w:val="0"/>
            <w:spacing w:line="276" w:lineRule="auto"/>
            <w:ind w:left="500" w:right="-1178" w:hanging="283"/>
            <w:jc w:val="both"/>
            <w:rPr>
              <w:rFonts w:ascii="Arial" w:hAnsi="Arial" w:eastAsia="Arial" w:cs="Arial"/>
              <w:b/>
              <w:smallCaps/>
            </w:rPr>
          </w:pPr>
          <w:r>
            <w:rPr>
              <w:rFonts w:ascii="Arial" w:hAnsi="Arial" w:eastAsia="Arial" w:cs="Arial"/>
              <w:b/>
              <w:smallCaps/>
            </w:rPr>
            <w:t>Secretaria Municipal de Administração, Gestão e Inovação</w:t>
          </w:r>
        </w:p>
        <w:p w14:paraId="4E980E0E">
          <w:pPr>
            <w:widowControl w:val="0"/>
            <w:spacing w:line="276" w:lineRule="auto"/>
            <w:ind w:left="500" w:right="-1178" w:hanging="283"/>
            <w:jc w:val="both"/>
          </w:pPr>
          <w:r>
            <w:rPr>
              <w:rFonts w:ascii="Arial" w:hAnsi="Arial" w:eastAsia="Arial" w:cs="Arial"/>
              <w:b/>
              <w:smallCaps/>
            </w:rPr>
            <w:t>Superintendência de Compras e Licitações (P.E.30/2025)</w:t>
          </w:r>
        </w:p>
      </w:tc>
      <w:tc>
        <w:tcPr>
          <w:tcW w:w="5356" w:type="dxa"/>
          <w:shd w:val="clear" w:color="auto" w:fill="auto"/>
          <w:vAlign w:val="center"/>
        </w:tcPr>
        <w:p w14:paraId="3A6007E0">
          <w:pPr>
            <w:widowControl w:val="0"/>
            <w:rPr>
              <w:color w:val="002060"/>
            </w:rPr>
          </w:pPr>
        </w:p>
      </w:tc>
      <w:tc>
        <w:tcPr>
          <w:tcW w:w="2974" w:type="dxa"/>
          <w:shd w:val="clear" w:color="auto" w:fill="auto"/>
          <w:vAlign w:val="center"/>
        </w:tcPr>
        <w:p w14:paraId="111AFF95">
          <w:pPr>
            <w:widowControl w:val="0"/>
            <w:tabs>
              <w:tab w:val="center" w:pos="4419"/>
              <w:tab w:val="right" w:pos="8838"/>
              <w:tab w:val="right" w:pos="9360"/>
            </w:tabs>
            <w:jc w:val="center"/>
            <w:rPr>
              <w:rFonts w:ascii="Helvetica Neue" w:hAnsi="Helvetica Neue" w:eastAsia="Helvetica Neue" w:cs="Helvetica Neue"/>
              <w:smallCaps/>
              <w:color w:val="000000"/>
            </w:rPr>
          </w:pPr>
        </w:p>
      </w:tc>
    </w:tr>
  </w:tbl>
  <w:p w14:paraId="4A312D64">
    <w:pPr>
      <w:widowControl w:val="0"/>
      <w:tabs>
        <w:tab w:val="center" w:pos="4419"/>
        <w:tab w:val="right" w:pos="8838"/>
      </w:tabs>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A3F5481"/>
    <w:multiLevelType w:val="multilevel"/>
    <w:tmpl w:val="0A3F5481"/>
    <w:lvl w:ilvl="0" w:tentative="0">
      <w:start w:val="1"/>
      <w:numFmt w:val="bullet"/>
      <w:lvlText w:val=""/>
      <w:lvlJc w:val="left"/>
      <w:pPr>
        <w:tabs>
          <w:tab w:val="left" w:pos="720"/>
        </w:tabs>
        <w:ind w:left="720" w:hanging="360"/>
      </w:pPr>
      <w:rPr>
        <w:rFonts w:hint="default" w:ascii="Symbol" w:hAnsi="Symbol" w:cs="Symbol"/>
      </w:rPr>
    </w:lvl>
    <w:lvl w:ilvl="1" w:tentative="0">
      <w:start w:val="1"/>
      <w:numFmt w:val="decimal"/>
      <w:lvlText w:val="%2."/>
      <w:lvlJc w:val="left"/>
      <w:pPr>
        <w:tabs>
          <w:tab w:val="left" w:pos="1080"/>
        </w:tabs>
        <w:ind w:left="1080" w:hanging="360"/>
      </w:pPr>
      <w:rPr>
        <w:rFonts w:ascii="Century Gothic" w:hAnsi="Century Gothic"/>
        <w:b/>
        <w:bCs/>
        <w:sz w:val="18"/>
        <w:szCs w:val="18"/>
      </w:rPr>
    </w:lvl>
    <w:lvl w:ilvl="2" w:tentative="0">
      <w:start w:val="1"/>
      <w:numFmt w:val="decimal"/>
      <w:lvlText w:val="%3."/>
      <w:lvlJc w:val="left"/>
      <w:pPr>
        <w:tabs>
          <w:tab w:val="left" w:pos="1440"/>
        </w:tabs>
        <w:ind w:left="1440" w:hanging="360"/>
      </w:pPr>
      <w:rPr>
        <w:rFonts w:ascii="Century Gothic" w:hAnsi="Century Gothic"/>
        <w:b/>
        <w:bCs/>
        <w:sz w:val="18"/>
        <w:szCs w:val="18"/>
      </w:rPr>
    </w:lvl>
    <w:lvl w:ilvl="3" w:tentative="0">
      <w:start w:val="1"/>
      <w:numFmt w:val="decimal"/>
      <w:lvlText w:val="%4."/>
      <w:lvlJc w:val="left"/>
      <w:pPr>
        <w:tabs>
          <w:tab w:val="left" w:pos="1800"/>
        </w:tabs>
        <w:ind w:left="1800" w:hanging="360"/>
      </w:pPr>
      <w:rPr>
        <w:rFonts w:ascii="Century Gothic" w:hAnsi="Century Gothic"/>
        <w:b/>
        <w:bCs/>
        <w:sz w:val="18"/>
        <w:szCs w:val="18"/>
      </w:rPr>
    </w:lvl>
    <w:lvl w:ilvl="4" w:tentative="0">
      <w:start w:val="1"/>
      <w:numFmt w:val="decimal"/>
      <w:lvlText w:val="%5."/>
      <w:lvlJc w:val="left"/>
      <w:pPr>
        <w:tabs>
          <w:tab w:val="left" w:pos="2160"/>
        </w:tabs>
        <w:ind w:left="2160" w:hanging="360"/>
      </w:pPr>
      <w:rPr>
        <w:rFonts w:ascii="Century Gothic" w:hAnsi="Century Gothic"/>
        <w:b/>
        <w:bCs/>
        <w:sz w:val="18"/>
        <w:szCs w:val="18"/>
      </w:rPr>
    </w:lvl>
    <w:lvl w:ilvl="5" w:tentative="0">
      <w:start w:val="1"/>
      <w:numFmt w:val="decimal"/>
      <w:lvlText w:val="%6."/>
      <w:lvlJc w:val="left"/>
      <w:pPr>
        <w:tabs>
          <w:tab w:val="left" w:pos="2520"/>
        </w:tabs>
        <w:ind w:left="2520" w:hanging="360"/>
      </w:pPr>
      <w:rPr>
        <w:rFonts w:ascii="Century Gothic" w:hAnsi="Century Gothic"/>
        <w:b/>
        <w:bCs/>
        <w:sz w:val="18"/>
        <w:szCs w:val="18"/>
      </w:rPr>
    </w:lvl>
    <w:lvl w:ilvl="6" w:tentative="0">
      <w:start w:val="1"/>
      <w:numFmt w:val="decimal"/>
      <w:lvlText w:val="%7."/>
      <w:lvlJc w:val="left"/>
      <w:pPr>
        <w:tabs>
          <w:tab w:val="left" w:pos="2880"/>
        </w:tabs>
        <w:ind w:left="2880" w:hanging="360"/>
      </w:pPr>
      <w:rPr>
        <w:rFonts w:ascii="Century Gothic" w:hAnsi="Century Gothic"/>
        <w:b/>
        <w:bCs/>
        <w:sz w:val="18"/>
        <w:szCs w:val="18"/>
      </w:rPr>
    </w:lvl>
    <w:lvl w:ilvl="7" w:tentative="0">
      <w:start w:val="1"/>
      <w:numFmt w:val="decimal"/>
      <w:lvlText w:val="%8."/>
      <w:lvlJc w:val="left"/>
      <w:pPr>
        <w:tabs>
          <w:tab w:val="left" w:pos="3240"/>
        </w:tabs>
        <w:ind w:left="3240" w:hanging="360"/>
      </w:pPr>
      <w:rPr>
        <w:rFonts w:ascii="Century Gothic" w:hAnsi="Century Gothic"/>
        <w:b/>
        <w:bCs/>
        <w:sz w:val="18"/>
        <w:szCs w:val="18"/>
      </w:rPr>
    </w:lvl>
    <w:lvl w:ilvl="8" w:tentative="0">
      <w:start w:val="1"/>
      <w:numFmt w:val="decimal"/>
      <w:lvlText w:val="%9."/>
      <w:lvlJc w:val="left"/>
      <w:pPr>
        <w:tabs>
          <w:tab w:val="left" w:pos="3600"/>
        </w:tabs>
        <w:ind w:left="3600" w:hanging="360"/>
      </w:pPr>
      <w:rPr>
        <w:rFonts w:ascii="Century Gothic" w:hAnsi="Century Gothic"/>
        <w:b/>
        <w:bCs/>
        <w:sz w:val="18"/>
        <w:szCs w:val="18"/>
      </w:rPr>
    </w:lvl>
  </w:abstractNum>
  <w:abstractNum w:abstractNumId="1">
    <w:nsid w:val="0B7C37B1"/>
    <w:multiLevelType w:val="multilevel"/>
    <w:tmpl w:val="0B7C37B1"/>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
      <w:lvlJc w:val="left"/>
      <w:pPr>
        <w:tabs>
          <w:tab w:val="left" w:pos="0"/>
        </w:tabs>
        <w:ind w:left="1440" w:hanging="360"/>
      </w:pPr>
      <w:rPr>
        <w:rFonts w:hint="default" w:ascii="Wingdings 2" w:hAnsi="Wingdings 2" w:cs="Wingdings 2"/>
        <w:u w:val="none"/>
      </w:rPr>
    </w:lvl>
    <w:lvl w:ilvl="2" w:tentative="0">
      <w:start w:val="1"/>
      <w:numFmt w:val="bullet"/>
      <w:lvlText w:val="■"/>
      <w:lvlJc w:val="left"/>
      <w:pPr>
        <w:tabs>
          <w:tab w:val="left" w:pos="0"/>
        </w:tabs>
        <w:ind w:left="2160" w:hanging="360"/>
      </w:pPr>
      <w:rPr>
        <w:rFonts w:hint="default" w:ascii="OpenSymbol" w:hAnsi="OpenSymbol" w:cs="OpenSymbol"/>
        <w:u w:val="none"/>
      </w:rPr>
    </w:lvl>
    <w:lvl w:ilvl="3" w:tentative="0">
      <w:start w:val="1"/>
      <w:numFmt w:val="bullet"/>
      <w:lvlText w:val=""/>
      <w:lvlJc w:val="left"/>
      <w:pPr>
        <w:tabs>
          <w:tab w:val="left" w:pos="0"/>
        </w:tabs>
        <w:ind w:left="2880" w:hanging="360"/>
      </w:pPr>
      <w:rPr>
        <w:rFonts w:hint="default" w:ascii="Wingdings" w:hAnsi="Wingdings" w:cs="Wingdings"/>
        <w:u w:val="none"/>
      </w:rPr>
    </w:lvl>
    <w:lvl w:ilvl="4" w:tentative="0">
      <w:start w:val="1"/>
      <w:numFmt w:val="bullet"/>
      <w:lvlText w:val=""/>
      <w:lvlJc w:val="left"/>
      <w:pPr>
        <w:tabs>
          <w:tab w:val="left" w:pos="0"/>
        </w:tabs>
        <w:ind w:left="3600" w:hanging="360"/>
      </w:pPr>
      <w:rPr>
        <w:rFonts w:hint="default" w:ascii="Wingdings 2" w:hAnsi="Wingdings 2" w:cs="Wingdings 2"/>
        <w:u w:val="none"/>
      </w:rPr>
    </w:lvl>
    <w:lvl w:ilvl="5" w:tentative="0">
      <w:start w:val="1"/>
      <w:numFmt w:val="bullet"/>
      <w:lvlText w:val="■"/>
      <w:lvlJc w:val="left"/>
      <w:pPr>
        <w:tabs>
          <w:tab w:val="left" w:pos="0"/>
        </w:tabs>
        <w:ind w:left="4320" w:hanging="360"/>
      </w:pPr>
      <w:rPr>
        <w:rFonts w:hint="default" w:ascii="OpenSymbol" w:hAnsi="OpenSymbol" w:cs="OpenSymbol"/>
        <w:u w:val="none"/>
      </w:rPr>
    </w:lvl>
    <w:lvl w:ilvl="6" w:tentative="0">
      <w:start w:val="1"/>
      <w:numFmt w:val="bullet"/>
      <w:lvlText w:val=""/>
      <w:lvlJc w:val="left"/>
      <w:pPr>
        <w:tabs>
          <w:tab w:val="left" w:pos="0"/>
        </w:tabs>
        <w:ind w:left="5040" w:hanging="360"/>
      </w:pPr>
      <w:rPr>
        <w:rFonts w:hint="default" w:ascii="Wingdings" w:hAnsi="Wingdings" w:cs="Wingdings"/>
        <w:u w:val="none"/>
      </w:rPr>
    </w:lvl>
    <w:lvl w:ilvl="7" w:tentative="0">
      <w:start w:val="1"/>
      <w:numFmt w:val="bullet"/>
      <w:lvlText w:val=""/>
      <w:lvlJc w:val="left"/>
      <w:pPr>
        <w:tabs>
          <w:tab w:val="left" w:pos="0"/>
        </w:tabs>
        <w:ind w:left="5760" w:hanging="360"/>
      </w:pPr>
      <w:rPr>
        <w:rFonts w:hint="default" w:ascii="Wingdings 2" w:hAnsi="Wingdings 2" w:cs="Wingdings 2"/>
        <w:u w:val="none"/>
      </w:rPr>
    </w:lvl>
    <w:lvl w:ilvl="8" w:tentative="0">
      <w:start w:val="1"/>
      <w:numFmt w:val="bullet"/>
      <w:lvlText w:val="■"/>
      <w:lvlJc w:val="left"/>
      <w:pPr>
        <w:tabs>
          <w:tab w:val="left" w:pos="0"/>
        </w:tabs>
        <w:ind w:left="6480" w:hanging="360"/>
      </w:pPr>
      <w:rPr>
        <w:rFonts w:hint="default" w:ascii="OpenSymbol" w:hAnsi="OpenSymbol" w:cs="OpenSymbol"/>
        <w:u w:val="none"/>
      </w:rPr>
    </w:lvl>
  </w:abstractNum>
  <w:abstractNum w:abstractNumId="2">
    <w:nsid w:val="0C4444B4"/>
    <w:multiLevelType w:val="multilevel"/>
    <w:tmpl w:val="0C4444B4"/>
    <w:lvl w:ilvl="0" w:tentative="0">
      <w:start w:val="1"/>
      <w:numFmt w:val="bullet"/>
      <w:lvlText w:val=""/>
      <w:lvlJc w:val="left"/>
      <w:pPr>
        <w:tabs>
          <w:tab w:val="left" w:pos="0"/>
        </w:tabs>
        <w:ind w:left="863" w:hanging="360"/>
      </w:pPr>
      <w:rPr>
        <w:rFonts w:hint="default" w:ascii="Symbol" w:hAnsi="Symbol" w:cs="Symbol"/>
      </w:rPr>
    </w:lvl>
    <w:lvl w:ilvl="1" w:tentative="0">
      <w:start w:val="1"/>
      <w:numFmt w:val="bullet"/>
      <w:lvlText w:val=""/>
      <w:lvlJc w:val="left"/>
      <w:pPr>
        <w:tabs>
          <w:tab w:val="left" w:pos="0"/>
        </w:tabs>
        <w:ind w:left="1583" w:hanging="360"/>
      </w:pPr>
      <w:rPr>
        <w:rFonts w:hint="default" w:ascii="Symbol" w:hAnsi="Symbol" w:cs="Symbol"/>
      </w:rPr>
    </w:lvl>
    <w:lvl w:ilvl="2" w:tentative="0">
      <w:start w:val="1"/>
      <w:numFmt w:val="bullet"/>
      <w:lvlText w:val="▪"/>
      <w:lvlJc w:val="left"/>
      <w:pPr>
        <w:tabs>
          <w:tab w:val="left" w:pos="0"/>
        </w:tabs>
        <w:ind w:left="2303" w:hanging="360"/>
      </w:pPr>
      <w:rPr>
        <w:rFonts w:hint="default" w:ascii="Noto Sans Symbols" w:hAnsi="Noto Sans Symbols" w:cs="Noto Sans Symbols"/>
      </w:rPr>
    </w:lvl>
    <w:lvl w:ilvl="3" w:tentative="0">
      <w:start w:val="1"/>
      <w:numFmt w:val="bullet"/>
      <w:lvlText w:val="●"/>
      <w:lvlJc w:val="left"/>
      <w:pPr>
        <w:tabs>
          <w:tab w:val="left" w:pos="0"/>
        </w:tabs>
        <w:ind w:left="3023" w:hanging="360"/>
      </w:pPr>
      <w:rPr>
        <w:rFonts w:hint="default" w:ascii="Noto Sans Symbols" w:hAnsi="Noto Sans Symbols" w:cs="Noto Sans Symbols"/>
      </w:rPr>
    </w:lvl>
    <w:lvl w:ilvl="4" w:tentative="0">
      <w:start w:val="1"/>
      <w:numFmt w:val="bullet"/>
      <w:lvlText w:val="o"/>
      <w:lvlJc w:val="left"/>
      <w:pPr>
        <w:tabs>
          <w:tab w:val="left" w:pos="0"/>
        </w:tabs>
        <w:ind w:left="3743" w:hanging="360"/>
      </w:pPr>
      <w:rPr>
        <w:rFonts w:hint="default" w:ascii="Courier New" w:hAnsi="Courier New" w:cs="Courier New"/>
      </w:rPr>
    </w:lvl>
    <w:lvl w:ilvl="5" w:tentative="0">
      <w:start w:val="1"/>
      <w:numFmt w:val="bullet"/>
      <w:lvlText w:val="▪"/>
      <w:lvlJc w:val="left"/>
      <w:pPr>
        <w:tabs>
          <w:tab w:val="left" w:pos="0"/>
        </w:tabs>
        <w:ind w:left="4463" w:hanging="360"/>
      </w:pPr>
      <w:rPr>
        <w:rFonts w:hint="default" w:ascii="Noto Sans Symbols" w:hAnsi="Noto Sans Symbols" w:cs="Noto Sans Symbols"/>
      </w:rPr>
    </w:lvl>
    <w:lvl w:ilvl="6" w:tentative="0">
      <w:start w:val="1"/>
      <w:numFmt w:val="bullet"/>
      <w:lvlText w:val="●"/>
      <w:lvlJc w:val="left"/>
      <w:pPr>
        <w:tabs>
          <w:tab w:val="left" w:pos="0"/>
        </w:tabs>
        <w:ind w:left="5183" w:hanging="360"/>
      </w:pPr>
      <w:rPr>
        <w:rFonts w:hint="default" w:ascii="Noto Sans Symbols" w:hAnsi="Noto Sans Symbols" w:cs="Noto Sans Symbols"/>
      </w:rPr>
    </w:lvl>
    <w:lvl w:ilvl="7" w:tentative="0">
      <w:start w:val="1"/>
      <w:numFmt w:val="bullet"/>
      <w:lvlText w:val="o"/>
      <w:lvlJc w:val="left"/>
      <w:pPr>
        <w:tabs>
          <w:tab w:val="left" w:pos="0"/>
        </w:tabs>
        <w:ind w:left="5903" w:hanging="360"/>
      </w:pPr>
      <w:rPr>
        <w:rFonts w:hint="default" w:ascii="Courier New" w:hAnsi="Courier New" w:cs="Courier New"/>
      </w:rPr>
    </w:lvl>
    <w:lvl w:ilvl="8" w:tentative="0">
      <w:start w:val="1"/>
      <w:numFmt w:val="bullet"/>
      <w:lvlText w:val="▪"/>
      <w:lvlJc w:val="left"/>
      <w:pPr>
        <w:tabs>
          <w:tab w:val="left" w:pos="0"/>
        </w:tabs>
        <w:ind w:left="6623" w:hanging="360"/>
      </w:pPr>
      <w:rPr>
        <w:rFonts w:hint="default" w:ascii="Noto Sans Symbols" w:hAnsi="Noto Sans Symbols" w:cs="Noto Sans Symbols"/>
      </w:rPr>
    </w:lvl>
  </w:abstractNum>
  <w:abstractNum w:abstractNumId="3">
    <w:nsid w:val="0EEA67C8"/>
    <w:multiLevelType w:val="multilevel"/>
    <w:tmpl w:val="0EEA67C8"/>
    <w:lvl w:ilvl="0" w:tentative="0">
      <w:start w:val="1"/>
      <w:numFmt w:val="bullet"/>
      <w:lvlText w:val="●"/>
      <w:lvlJc w:val="left"/>
      <w:pPr>
        <w:tabs>
          <w:tab w:val="left" w:pos="0"/>
        </w:tabs>
        <w:ind w:left="720" w:hanging="360"/>
      </w:pPr>
      <w:rPr>
        <w:rFonts w:hint="default" w:ascii="Noto Sans Symbols" w:hAnsi="Noto Sans Symbols" w:cs="Noto Sans Symbols"/>
      </w:rPr>
    </w:lvl>
    <w:lvl w:ilvl="1" w:tentative="0">
      <w:start w:val="1"/>
      <w:numFmt w:val="decimal"/>
      <w:lvlText w:val="%2."/>
      <w:lvlJc w:val="left"/>
      <w:pPr>
        <w:tabs>
          <w:tab w:val="left" w:pos="0"/>
        </w:tabs>
        <w:ind w:left="1440" w:hanging="360"/>
      </w:pPr>
    </w:lvl>
    <w:lvl w:ilvl="2" w:tentative="0">
      <w:start w:val="1"/>
      <w:numFmt w:val="decimal"/>
      <w:lvlText w:val="%3."/>
      <w:lvlJc w:val="left"/>
      <w:pPr>
        <w:tabs>
          <w:tab w:val="left" w:pos="0"/>
        </w:tabs>
        <w:ind w:left="2160" w:hanging="360"/>
      </w:pPr>
    </w:lvl>
    <w:lvl w:ilvl="3" w:tentative="0">
      <w:start w:val="1"/>
      <w:numFmt w:val="decimal"/>
      <w:lvlText w:val="%4."/>
      <w:lvlJc w:val="left"/>
      <w:pPr>
        <w:tabs>
          <w:tab w:val="left" w:pos="0"/>
        </w:tabs>
        <w:ind w:left="2880" w:hanging="360"/>
      </w:pPr>
    </w:lvl>
    <w:lvl w:ilvl="4" w:tentative="0">
      <w:start w:val="1"/>
      <w:numFmt w:val="decimal"/>
      <w:lvlText w:val="%5."/>
      <w:lvlJc w:val="left"/>
      <w:pPr>
        <w:tabs>
          <w:tab w:val="left" w:pos="0"/>
        </w:tabs>
        <w:ind w:left="3600" w:hanging="360"/>
      </w:pPr>
    </w:lvl>
    <w:lvl w:ilvl="5" w:tentative="0">
      <w:start w:val="1"/>
      <w:numFmt w:val="decimal"/>
      <w:lvlText w:val="%6."/>
      <w:lvlJc w:val="left"/>
      <w:pPr>
        <w:tabs>
          <w:tab w:val="left" w:pos="0"/>
        </w:tabs>
        <w:ind w:left="4320" w:hanging="360"/>
      </w:pPr>
    </w:lvl>
    <w:lvl w:ilvl="6" w:tentative="0">
      <w:start w:val="1"/>
      <w:numFmt w:val="decimal"/>
      <w:lvlText w:val="%7."/>
      <w:lvlJc w:val="left"/>
      <w:pPr>
        <w:tabs>
          <w:tab w:val="left" w:pos="0"/>
        </w:tabs>
        <w:ind w:left="5040" w:hanging="360"/>
      </w:pPr>
    </w:lvl>
    <w:lvl w:ilvl="7" w:tentative="0">
      <w:start w:val="1"/>
      <w:numFmt w:val="decimal"/>
      <w:lvlText w:val="%8."/>
      <w:lvlJc w:val="left"/>
      <w:pPr>
        <w:tabs>
          <w:tab w:val="left" w:pos="0"/>
        </w:tabs>
        <w:ind w:left="5760" w:hanging="360"/>
      </w:pPr>
    </w:lvl>
    <w:lvl w:ilvl="8" w:tentative="0">
      <w:start w:val="1"/>
      <w:numFmt w:val="decimal"/>
      <w:lvlText w:val="%9."/>
      <w:lvlJc w:val="left"/>
      <w:pPr>
        <w:tabs>
          <w:tab w:val="left" w:pos="0"/>
        </w:tabs>
        <w:ind w:left="6480" w:hanging="360"/>
      </w:pPr>
    </w:lvl>
  </w:abstractNum>
  <w:abstractNum w:abstractNumId="4">
    <w:nsid w:val="144140C9"/>
    <w:multiLevelType w:val="multilevel"/>
    <w:tmpl w:val="144140C9"/>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
      <w:lvlJc w:val="left"/>
      <w:pPr>
        <w:tabs>
          <w:tab w:val="left" w:pos="0"/>
        </w:tabs>
        <w:ind w:left="1440" w:hanging="360"/>
      </w:pPr>
      <w:rPr>
        <w:rFonts w:hint="default" w:ascii="Wingdings 2" w:hAnsi="Wingdings 2" w:cs="Wingdings 2"/>
        <w:u w:val="none"/>
      </w:rPr>
    </w:lvl>
    <w:lvl w:ilvl="2" w:tentative="0">
      <w:start w:val="1"/>
      <w:numFmt w:val="bullet"/>
      <w:lvlText w:val="■"/>
      <w:lvlJc w:val="left"/>
      <w:pPr>
        <w:tabs>
          <w:tab w:val="left" w:pos="0"/>
        </w:tabs>
        <w:ind w:left="2160" w:hanging="360"/>
      </w:pPr>
      <w:rPr>
        <w:rFonts w:hint="default" w:ascii="OpenSymbol" w:hAnsi="OpenSymbol" w:cs="OpenSymbol"/>
        <w:u w:val="none"/>
      </w:rPr>
    </w:lvl>
    <w:lvl w:ilvl="3" w:tentative="0">
      <w:start w:val="1"/>
      <w:numFmt w:val="bullet"/>
      <w:lvlText w:val=""/>
      <w:lvlJc w:val="left"/>
      <w:pPr>
        <w:tabs>
          <w:tab w:val="left" w:pos="0"/>
        </w:tabs>
        <w:ind w:left="2880" w:hanging="360"/>
      </w:pPr>
      <w:rPr>
        <w:rFonts w:hint="default" w:ascii="Wingdings" w:hAnsi="Wingdings" w:cs="Wingdings"/>
        <w:u w:val="none"/>
      </w:rPr>
    </w:lvl>
    <w:lvl w:ilvl="4" w:tentative="0">
      <w:start w:val="1"/>
      <w:numFmt w:val="bullet"/>
      <w:lvlText w:val=""/>
      <w:lvlJc w:val="left"/>
      <w:pPr>
        <w:tabs>
          <w:tab w:val="left" w:pos="0"/>
        </w:tabs>
        <w:ind w:left="3600" w:hanging="360"/>
      </w:pPr>
      <w:rPr>
        <w:rFonts w:hint="default" w:ascii="Wingdings 2" w:hAnsi="Wingdings 2" w:cs="Wingdings 2"/>
        <w:u w:val="none"/>
      </w:rPr>
    </w:lvl>
    <w:lvl w:ilvl="5" w:tentative="0">
      <w:start w:val="1"/>
      <w:numFmt w:val="bullet"/>
      <w:lvlText w:val="■"/>
      <w:lvlJc w:val="left"/>
      <w:pPr>
        <w:tabs>
          <w:tab w:val="left" w:pos="0"/>
        </w:tabs>
        <w:ind w:left="4320" w:hanging="360"/>
      </w:pPr>
      <w:rPr>
        <w:rFonts w:hint="default" w:ascii="OpenSymbol" w:hAnsi="OpenSymbol" w:cs="OpenSymbol"/>
        <w:u w:val="none"/>
      </w:rPr>
    </w:lvl>
    <w:lvl w:ilvl="6" w:tentative="0">
      <w:start w:val="1"/>
      <w:numFmt w:val="bullet"/>
      <w:lvlText w:val=""/>
      <w:lvlJc w:val="left"/>
      <w:pPr>
        <w:tabs>
          <w:tab w:val="left" w:pos="0"/>
        </w:tabs>
        <w:ind w:left="5040" w:hanging="360"/>
      </w:pPr>
      <w:rPr>
        <w:rFonts w:hint="default" w:ascii="Wingdings" w:hAnsi="Wingdings" w:cs="Wingdings"/>
        <w:u w:val="none"/>
      </w:rPr>
    </w:lvl>
    <w:lvl w:ilvl="7" w:tentative="0">
      <w:start w:val="1"/>
      <w:numFmt w:val="bullet"/>
      <w:lvlText w:val=""/>
      <w:lvlJc w:val="left"/>
      <w:pPr>
        <w:tabs>
          <w:tab w:val="left" w:pos="0"/>
        </w:tabs>
        <w:ind w:left="5760" w:hanging="360"/>
      </w:pPr>
      <w:rPr>
        <w:rFonts w:hint="default" w:ascii="Wingdings 2" w:hAnsi="Wingdings 2" w:cs="Wingdings 2"/>
        <w:u w:val="none"/>
      </w:rPr>
    </w:lvl>
    <w:lvl w:ilvl="8" w:tentative="0">
      <w:start w:val="1"/>
      <w:numFmt w:val="bullet"/>
      <w:lvlText w:val="■"/>
      <w:lvlJc w:val="left"/>
      <w:pPr>
        <w:tabs>
          <w:tab w:val="left" w:pos="0"/>
        </w:tabs>
        <w:ind w:left="6480" w:hanging="360"/>
      </w:pPr>
      <w:rPr>
        <w:rFonts w:hint="default" w:ascii="OpenSymbol" w:hAnsi="OpenSymbol" w:cs="OpenSymbol"/>
        <w:u w:val="none"/>
      </w:rPr>
    </w:lvl>
  </w:abstractNum>
  <w:abstractNum w:abstractNumId="5">
    <w:nsid w:val="221B22DC"/>
    <w:multiLevelType w:val="multilevel"/>
    <w:tmpl w:val="221B22DC"/>
    <w:lvl w:ilvl="0" w:tentative="0">
      <w:start w:val="1"/>
      <w:numFmt w:val="bullet"/>
      <w:lvlText w:val=""/>
      <w:lvlJc w:val="left"/>
      <w:pPr>
        <w:tabs>
          <w:tab w:val="left" w:pos="709"/>
        </w:tabs>
        <w:ind w:left="709" w:hanging="283"/>
      </w:pPr>
      <w:rPr>
        <w:rFonts w:hint="default" w:ascii="Symbol" w:hAnsi="Symbol" w:cs="Symbol"/>
      </w:rPr>
    </w:lvl>
    <w:lvl w:ilvl="1" w:tentative="0">
      <w:start w:val="1"/>
      <w:numFmt w:val="bullet"/>
      <w:lvlText w:val=""/>
      <w:lvlJc w:val="left"/>
      <w:pPr>
        <w:tabs>
          <w:tab w:val="left" w:pos="1418"/>
        </w:tabs>
        <w:ind w:left="1418" w:hanging="283"/>
      </w:pPr>
      <w:rPr>
        <w:rFonts w:hint="default" w:ascii="Symbol" w:hAnsi="Symbol" w:cs="Symbol"/>
      </w:rPr>
    </w:lvl>
    <w:lvl w:ilvl="2" w:tentative="0">
      <w:start w:val="1"/>
      <w:numFmt w:val="bullet"/>
      <w:lvlText w:val=""/>
      <w:lvlJc w:val="left"/>
      <w:pPr>
        <w:tabs>
          <w:tab w:val="left" w:pos="2127"/>
        </w:tabs>
        <w:ind w:left="2127" w:hanging="283"/>
      </w:pPr>
      <w:rPr>
        <w:rFonts w:hint="default" w:ascii="Symbol" w:hAnsi="Symbol" w:cs="Symbol"/>
      </w:rPr>
    </w:lvl>
    <w:lvl w:ilvl="3" w:tentative="0">
      <w:start w:val="1"/>
      <w:numFmt w:val="bullet"/>
      <w:lvlText w:val=""/>
      <w:lvlJc w:val="left"/>
      <w:pPr>
        <w:tabs>
          <w:tab w:val="left" w:pos="2836"/>
        </w:tabs>
        <w:ind w:left="2836" w:hanging="283"/>
      </w:pPr>
      <w:rPr>
        <w:rFonts w:hint="default" w:ascii="Symbol" w:hAnsi="Symbol" w:cs="Symbol"/>
      </w:rPr>
    </w:lvl>
    <w:lvl w:ilvl="4" w:tentative="0">
      <w:start w:val="1"/>
      <w:numFmt w:val="bullet"/>
      <w:lvlText w:val=""/>
      <w:lvlJc w:val="left"/>
      <w:pPr>
        <w:tabs>
          <w:tab w:val="left" w:pos="3545"/>
        </w:tabs>
        <w:ind w:left="3545" w:hanging="283"/>
      </w:pPr>
      <w:rPr>
        <w:rFonts w:hint="default" w:ascii="Symbol" w:hAnsi="Symbol" w:cs="Symbol"/>
      </w:rPr>
    </w:lvl>
    <w:lvl w:ilvl="5" w:tentative="0">
      <w:start w:val="1"/>
      <w:numFmt w:val="bullet"/>
      <w:lvlText w:val=""/>
      <w:lvlJc w:val="left"/>
      <w:pPr>
        <w:tabs>
          <w:tab w:val="left" w:pos="4254"/>
        </w:tabs>
        <w:ind w:left="4254" w:hanging="283"/>
      </w:pPr>
      <w:rPr>
        <w:rFonts w:hint="default" w:ascii="Symbol" w:hAnsi="Symbol" w:cs="Symbol"/>
      </w:rPr>
    </w:lvl>
    <w:lvl w:ilvl="6" w:tentative="0">
      <w:start w:val="1"/>
      <w:numFmt w:val="bullet"/>
      <w:lvlText w:val=""/>
      <w:lvlJc w:val="left"/>
      <w:pPr>
        <w:tabs>
          <w:tab w:val="left" w:pos="4963"/>
        </w:tabs>
        <w:ind w:left="4963" w:hanging="283"/>
      </w:pPr>
      <w:rPr>
        <w:rFonts w:hint="default" w:ascii="Symbol" w:hAnsi="Symbol" w:cs="Symbol"/>
      </w:rPr>
    </w:lvl>
    <w:lvl w:ilvl="7" w:tentative="0">
      <w:start w:val="1"/>
      <w:numFmt w:val="bullet"/>
      <w:lvlText w:val=""/>
      <w:lvlJc w:val="left"/>
      <w:pPr>
        <w:tabs>
          <w:tab w:val="left" w:pos="5672"/>
        </w:tabs>
        <w:ind w:left="5672" w:hanging="283"/>
      </w:pPr>
      <w:rPr>
        <w:rFonts w:hint="default" w:ascii="Symbol" w:hAnsi="Symbol" w:cs="Symbol"/>
      </w:rPr>
    </w:lvl>
    <w:lvl w:ilvl="8" w:tentative="0">
      <w:start w:val="1"/>
      <w:numFmt w:val="bullet"/>
      <w:lvlText w:val=""/>
      <w:lvlJc w:val="left"/>
      <w:pPr>
        <w:tabs>
          <w:tab w:val="left" w:pos="6381"/>
        </w:tabs>
        <w:ind w:left="6381" w:hanging="283"/>
      </w:pPr>
      <w:rPr>
        <w:rFonts w:hint="default" w:ascii="Symbol" w:hAnsi="Symbol" w:cs="Symbol"/>
      </w:rPr>
    </w:lvl>
  </w:abstractNum>
  <w:abstractNum w:abstractNumId="6">
    <w:nsid w:val="222B0F50"/>
    <w:multiLevelType w:val="multilevel"/>
    <w:tmpl w:val="222B0F50"/>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
      <w:lvlJc w:val="left"/>
      <w:pPr>
        <w:tabs>
          <w:tab w:val="left" w:pos="0"/>
        </w:tabs>
        <w:ind w:left="1440" w:hanging="360"/>
      </w:pPr>
      <w:rPr>
        <w:rFonts w:hint="default" w:ascii="Wingdings 2" w:hAnsi="Wingdings 2" w:cs="Wingdings 2"/>
        <w:u w:val="none"/>
      </w:rPr>
    </w:lvl>
    <w:lvl w:ilvl="2" w:tentative="0">
      <w:start w:val="1"/>
      <w:numFmt w:val="bullet"/>
      <w:lvlText w:val="■"/>
      <w:lvlJc w:val="left"/>
      <w:pPr>
        <w:tabs>
          <w:tab w:val="left" w:pos="0"/>
        </w:tabs>
        <w:ind w:left="2160" w:hanging="360"/>
      </w:pPr>
      <w:rPr>
        <w:rFonts w:hint="default" w:ascii="OpenSymbol" w:hAnsi="OpenSymbol" w:cs="OpenSymbol"/>
        <w:u w:val="none"/>
      </w:rPr>
    </w:lvl>
    <w:lvl w:ilvl="3" w:tentative="0">
      <w:start w:val="1"/>
      <w:numFmt w:val="bullet"/>
      <w:lvlText w:val=""/>
      <w:lvlJc w:val="left"/>
      <w:pPr>
        <w:tabs>
          <w:tab w:val="left" w:pos="0"/>
        </w:tabs>
        <w:ind w:left="2880" w:hanging="360"/>
      </w:pPr>
      <w:rPr>
        <w:rFonts w:hint="default" w:ascii="Wingdings" w:hAnsi="Wingdings" w:cs="Wingdings"/>
        <w:u w:val="none"/>
      </w:rPr>
    </w:lvl>
    <w:lvl w:ilvl="4" w:tentative="0">
      <w:start w:val="1"/>
      <w:numFmt w:val="bullet"/>
      <w:lvlText w:val=""/>
      <w:lvlJc w:val="left"/>
      <w:pPr>
        <w:tabs>
          <w:tab w:val="left" w:pos="0"/>
        </w:tabs>
        <w:ind w:left="3600" w:hanging="360"/>
      </w:pPr>
      <w:rPr>
        <w:rFonts w:hint="default" w:ascii="Wingdings 2" w:hAnsi="Wingdings 2" w:cs="Wingdings 2"/>
        <w:u w:val="none"/>
      </w:rPr>
    </w:lvl>
    <w:lvl w:ilvl="5" w:tentative="0">
      <w:start w:val="1"/>
      <w:numFmt w:val="bullet"/>
      <w:lvlText w:val="■"/>
      <w:lvlJc w:val="left"/>
      <w:pPr>
        <w:tabs>
          <w:tab w:val="left" w:pos="0"/>
        </w:tabs>
        <w:ind w:left="4320" w:hanging="360"/>
      </w:pPr>
      <w:rPr>
        <w:rFonts w:hint="default" w:ascii="OpenSymbol" w:hAnsi="OpenSymbol" w:cs="OpenSymbol"/>
        <w:u w:val="none"/>
      </w:rPr>
    </w:lvl>
    <w:lvl w:ilvl="6" w:tentative="0">
      <w:start w:val="1"/>
      <w:numFmt w:val="bullet"/>
      <w:lvlText w:val=""/>
      <w:lvlJc w:val="left"/>
      <w:pPr>
        <w:tabs>
          <w:tab w:val="left" w:pos="0"/>
        </w:tabs>
        <w:ind w:left="5040" w:hanging="360"/>
      </w:pPr>
      <w:rPr>
        <w:rFonts w:hint="default" w:ascii="Wingdings" w:hAnsi="Wingdings" w:cs="Wingdings"/>
        <w:u w:val="none"/>
      </w:rPr>
    </w:lvl>
    <w:lvl w:ilvl="7" w:tentative="0">
      <w:start w:val="1"/>
      <w:numFmt w:val="bullet"/>
      <w:lvlText w:val=""/>
      <w:lvlJc w:val="left"/>
      <w:pPr>
        <w:tabs>
          <w:tab w:val="left" w:pos="0"/>
        </w:tabs>
        <w:ind w:left="5760" w:hanging="360"/>
      </w:pPr>
      <w:rPr>
        <w:rFonts w:hint="default" w:ascii="Wingdings 2" w:hAnsi="Wingdings 2" w:cs="Wingdings 2"/>
        <w:u w:val="none"/>
      </w:rPr>
    </w:lvl>
    <w:lvl w:ilvl="8" w:tentative="0">
      <w:start w:val="1"/>
      <w:numFmt w:val="bullet"/>
      <w:lvlText w:val="■"/>
      <w:lvlJc w:val="left"/>
      <w:pPr>
        <w:tabs>
          <w:tab w:val="left" w:pos="0"/>
        </w:tabs>
        <w:ind w:left="6480" w:hanging="360"/>
      </w:pPr>
      <w:rPr>
        <w:rFonts w:hint="default" w:ascii="OpenSymbol" w:hAnsi="OpenSymbol" w:cs="OpenSymbol"/>
        <w:u w:val="none"/>
      </w:rPr>
    </w:lvl>
  </w:abstractNum>
  <w:abstractNum w:abstractNumId="7">
    <w:nsid w:val="26CB61E0"/>
    <w:multiLevelType w:val="multilevel"/>
    <w:tmpl w:val="26CB61E0"/>
    <w:lvl w:ilvl="0" w:tentative="0">
      <w:start w:val="1"/>
      <w:numFmt w:val="decimal"/>
      <w:lvlText w:val="%1."/>
      <w:lvlJc w:val="left"/>
      <w:pPr>
        <w:tabs>
          <w:tab w:val="left" w:pos="0"/>
        </w:tabs>
        <w:ind w:left="360" w:hanging="360"/>
      </w:pPr>
    </w:lvl>
    <w:lvl w:ilvl="1" w:tentative="0">
      <w:start w:val="1"/>
      <w:numFmt w:val="decimal"/>
      <w:lvlText w:val="%1.%2."/>
      <w:lvlJc w:val="left"/>
      <w:pPr>
        <w:tabs>
          <w:tab w:val="left" w:pos="0"/>
        </w:tabs>
        <w:ind w:left="360" w:hanging="360"/>
      </w:pPr>
    </w:lvl>
    <w:lvl w:ilvl="2" w:tentative="0">
      <w:start w:val="1"/>
      <w:numFmt w:val="decimal"/>
      <w:lvlText w:val="%1.%2.%3."/>
      <w:lvlJc w:val="left"/>
      <w:pPr>
        <w:tabs>
          <w:tab w:val="left" w:pos="0"/>
        </w:tabs>
        <w:ind w:left="720" w:hanging="720"/>
      </w:pPr>
    </w:lvl>
    <w:lvl w:ilvl="3" w:tentative="0">
      <w:start w:val="1"/>
      <w:numFmt w:val="decimal"/>
      <w:lvlText w:val="%1.%2.%3.%4."/>
      <w:lvlJc w:val="left"/>
      <w:pPr>
        <w:tabs>
          <w:tab w:val="left" w:pos="0"/>
        </w:tabs>
        <w:ind w:left="720" w:hanging="720"/>
      </w:pPr>
    </w:lvl>
    <w:lvl w:ilvl="4" w:tentative="0">
      <w:start w:val="1"/>
      <w:numFmt w:val="decimal"/>
      <w:lvlText w:val="%1.%2.%3.%4.%5."/>
      <w:lvlJc w:val="left"/>
      <w:pPr>
        <w:tabs>
          <w:tab w:val="left" w:pos="0"/>
        </w:tabs>
        <w:ind w:left="1080" w:hanging="1080"/>
      </w:pPr>
    </w:lvl>
    <w:lvl w:ilvl="5" w:tentative="0">
      <w:start w:val="1"/>
      <w:numFmt w:val="decimal"/>
      <w:lvlText w:val="%1.%2.%3.%4.%5.%6."/>
      <w:lvlJc w:val="left"/>
      <w:pPr>
        <w:tabs>
          <w:tab w:val="left" w:pos="0"/>
        </w:tabs>
        <w:ind w:left="1080" w:hanging="1080"/>
      </w:pPr>
    </w:lvl>
    <w:lvl w:ilvl="6" w:tentative="0">
      <w:start w:val="1"/>
      <w:numFmt w:val="decimal"/>
      <w:lvlText w:val="%1.%2.%3.%4.%5.%6.%7."/>
      <w:lvlJc w:val="left"/>
      <w:pPr>
        <w:tabs>
          <w:tab w:val="left" w:pos="0"/>
        </w:tabs>
        <w:ind w:left="1440" w:hanging="1440"/>
      </w:pPr>
    </w:lvl>
    <w:lvl w:ilvl="7" w:tentative="0">
      <w:start w:val="1"/>
      <w:numFmt w:val="decimal"/>
      <w:lvlText w:val="%1.%2.%3.%4.%5.%6.%7.%8."/>
      <w:lvlJc w:val="left"/>
      <w:pPr>
        <w:tabs>
          <w:tab w:val="left" w:pos="0"/>
        </w:tabs>
        <w:ind w:left="1440" w:hanging="1440"/>
      </w:pPr>
    </w:lvl>
    <w:lvl w:ilvl="8" w:tentative="0">
      <w:start w:val="1"/>
      <w:numFmt w:val="decimal"/>
      <w:lvlText w:val="%1.%2.%3.%4.%5.%6.%7.%8.%9."/>
      <w:lvlJc w:val="left"/>
      <w:pPr>
        <w:tabs>
          <w:tab w:val="left" w:pos="0"/>
        </w:tabs>
        <w:ind w:left="1800" w:hanging="1800"/>
      </w:pPr>
    </w:lvl>
  </w:abstractNum>
  <w:abstractNum w:abstractNumId="8">
    <w:nsid w:val="26FC4AB2"/>
    <w:multiLevelType w:val="multilevel"/>
    <w:tmpl w:val="26FC4AB2"/>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
      <w:lvlJc w:val="left"/>
      <w:pPr>
        <w:tabs>
          <w:tab w:val="left" w:pos="0"/>
        </w:tabs>
        <w:ind w:left="1440" w:hanging="360"/>
      </w:pPr>
      <w:rPr>
        <w:rFonts w:hint="default" w:ascii="Wingdings 2" w:hAnsi="Wingdings 2" w:cs="Wingdings 2"/>
        <w:u w:val="none"/>
      </w:rPr>
    </w:lvl>
    <w:lvl w:ilvl="2" w:tentative="0">
      <w:start w:val="1"/>
      <w:numFmt w:val="bullet"/>
      <w:lvlText w:val="■"/>
      <w:lvlJc w:val="left"/>
      <w:pPr>
        <w:tabs>
          <w:tab w:val="left" w:pos="0"/>
        </w:tabs>
        <w:ind w:left="2160" w:hanging="360"/>
      </w:pPr>
      <w:rPr>
        <w:rFonts w:hint="default" w:ascii="OpenSymbol" w:hAnsi="OpenSymbol" w:cs="OpenSymbol"/>
        <w:u w:val="none"/>
      </w:rPr>
    </w:lvl>
    <w:lvl w:ilvl="3" w:tentative="0">
      <w:start w:val="1"/>
      <w:numFmt w:val="bullet"/>
      <w:lvlText w:val=""/>
      <w:lvlJc w:val="left"/>
      <w:pPr>
        <w:tabs>
          <w:tab w:val="left" w:pos="0"/>
        </w:tabs>
        <w:ind w:left="2880" w:hanging="360"/>
      </w:pPr>
      <w:rPr>
        <w:rFonts w:hint="default" w:ascii="Wingdings" w:hAnsi="Wingdings" w:cs="Wingdings"/>
        <w:u w:val="none"/>
      </w:rPr>
    </w:lvl>
    <w:lvl w:ilvl="4" w:tentative="0">
      <w:start w:val="1"/>
      <w:numFmt w:val="bullet"/>
      <w:lvlText w:val=""/>
      <w:lvlJc w:val="left"/>
      <w:pPr>
        <w:tabs>
          <w:tab w:val="left" w:pos="0"/>
        </w:tabs>
        <w:ind w:left="3600" w:hanging="360"/>
      </w:pPr>
      <w:rPr>
        <w:rFonts w:hint="default" w:ascii="Wingdings 2" w:hAnsi="Wingdings 2" w:cs="Wingdings 2"/>
        <w:u w:val="none"/>
      </w:rPr>
    </w:lvl>
    <w:lvl w:ilvl="5" w:tentative="0">
      <w:start w:val="1"/>
      <w:numFmt w:val="bullet"/>
      <w:lvlText w:val="■"/>
      <w:lvlJc w:val="left"/>
      <w:pPr>
        <w:tabs>
          <w:tab w:val="left" w:pos="0"/>
        </w:tabs>
        <w:ind w:left="4320" w:hanging="360"/>
      </w:pPr>
      <w:rPr>
        <w:rFonts w:hint="default" w:ascii="OpenSymbol" w:hAnsi="OpenSymbol" w:cs="OpenSymbol"/>
        <w:u w:val="none"/>
      </w:rPr>
    </w:lvl>
    <w:lvl w:ilvl="6" w:tentative="0">
      <w:start w:val="1"/>
      <w:numFmt w:val="bullet"/>
      <w:lvlText w:val=""/>
      <w:lvlJc w:val="left"/>
      <w:pPr>
        <w:tabs>
          <w:tab w:val="left" w:pos="0"/>
        </w:tabs>
        <w:ind w:left="5040" w:hanging="360"/>
      </w:pPr>
      <w:rPr>
        <w:rFonts w:hint="default" w:ascii="Wingdings" w:hAnsi="Wingdings" w:cs="Wingdings"/>
        <w:u w:val="none"/>
      </w:rPr>
    </w:lvl>
    <w:lvl w:ilvl="7" w:tentative="0">
      <w:start w:val="1"/>
      <w:numFmt w:val="bullet"/>
      <w:lvlText w:val=""/>
      <w:lvlJc w:val="left"/>
      <w:pPr>
        <w:tabs>
          <w:tab w:val="left" w:pos="0"/>
        </w:tabs>
        <w:ind w:left="5760" w:hanging="360"/>
      </w:pPr>
      <w:rPr>
        <w:rFonts w:hint="default" w:ascii="Wingdings 2" w:hAnsi="Wingdings 2" w:cs="Wingdings 2"/>
        <w:u w:val="none"/>
      </w:rPr>
    </w:lvl>
    <w:lvl w:ilvl="8" w:tentative="0">
      <w:start w:val="1"/>
      <w:numFmt w:val="bullet"/>
      <w:lvlText w:val="■"/>
      <w:lvlJc w:val="left"/>
      <w:pPr>
        <w:tabs>
          <w:tab w:val="left" w:pos="0"/>
        </w:tabs>
        <w:ind w:left="6480" w:hanging="360"/>
      </w:pPr>
      <w:rPr>
        <w:rFonts w:hint="default" w:ascii="OpenSymbol" w:hAnsi="OpenSymbol" w:cs="OpenSymbol"/>
        <w:u w:val="none"/>
      </w:rPr>
    </w:lvl>
  </w:abstractNum>
  <w:abstractNum w:abstractNumId="9">
    <w:nsid w:val="34585282"/>
    <w:multiLevelType w:val="multilevel"/>
    <w:tmpl w:val="34585282"/>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
      <w:lvlJc w:val="left"/>
      <w:pPr>
        <w:tabs>
          <w:tab w:val="left" w:pos="0"/>
        </w:tabs>
        <w:ind w:left="1440" w:hanging="360"/>
      </w:pPr>
      <w:rPr>
        <w:rFonts w:hint="default" w:ascii="Wingdings 2" w:hAnsi="Wingdings 2" w:cs="Wingdings 2"/>
        <w:u w:val="none"/>
      </w:rPr>
    </w:lvl>
    <w:lvl w:ilvl="2" w:tentative="0">
      <w:start w:val="1"/>
      <w:numFmt w:val="bullet"/>
      <w:lvlText w:val="■"/>
      <w:lvlJc w:val="left"/>
      <w:pPr>
        <w:tabs>
          <w:tab w:val="left" w:pos="0"/>
        </w:tabs>
        <w:ind w:left="2160" w:hanging="360"/>
      </w:pPr>
      <w:rPr>
        <w:rFonts w:hint="default" w:ascii="OpenSymbol" w:hAnsi="OpenSymbol" w:cs="OpenSymbol"/>
        <w:u w:val="none"/>
      </w:rPr>
    </w:lvl>
    <w:lvl w:ilvl="3" w:tentative="0">
      <w:start w:val="1"/>
      <w:numFmt w:val="bullet"/>
      <w:lvlText w:val=""/>
      <w:lvlJc w:val="left"/>
      <w:pPr>
        <w:tabs>
          <w:tab w:val="left" w:pos="0"/>
        </w:tabs>
        <w:ind w:left="2880" w:hanging="360"/>
      </w:pPr>
      <w:rPr>
        <w:rFonts w:hint="default" w:ascii="Wingdings" w:hAnsi="Wingdings" w:cs="Wingdings"/>
        <w:u w:val="none"/>
      </w:rPr>
    </w:lvl>
    <w:lvl w:ilvl="4" w:tentative="0">
      <w:start w:val="1"/>
      <w:numFmt w:val="bullet"/>
      <w:lvlText w:val=""/>
      <w:lvlJc w:val="left"/>
      <w:pPr>
        <w:tabs>
          <w:tab w:val="left" w:pos="0"/>
        </w:tabs>
        <w:ind w:left="3600" w:hanging="360"/>
      </w:pPr>
      <w:rPr>
        <w:rFonts w:hint="default" w:ascii="Wingdings 2" w:hAnsi="Wingdings 2" w:cs="Wingdings 2"/>
        <w:u w:val="none"/>
      </w:rPr>
    </w:lvl>
    <w:lvl w:ilvl="5" w:tentative="0">
      <w:start w:val="1"/>
      <w:numFmt w:val="bullet"/>
      <w:lvlText w:val="■"/>
      <w:lvlJc w:val="left"/>
      <w:pPr>
        <w:tabs>
          <w:tab w:val="left" w:pos="0"/>
        </w:tabs>
        <w:ind w:left="4320" w:hanging="360"/>
      </w:pPr>
      <w:rPr>
        <w:rFonts w:hint="default" w:ascii="OpenSymbol" w:hAnsi="OpenSymbol" w:cs="OpenSymbol"/>
        <w:u w:val="none"/>
      </w:rPr>
    </w:lvl>
    <w:lvl w:ilvl="6" w:tentative="0">
      <w:start w:val="1"/>
      <w:numFmt w:val="bullet"/>
      <w:lvlText w:val=""/>
      <w:lvlJc w:val="left"/>
      <w:pPr>
        <w:tabs>
          <w:tab w:val="left" w:pos="0"/>
        </w:tabs>
        <w:ind w:left="5040" w:hanging="360"/>
      </w:pPr>
      <w:rPr>
        <w:rFonts w:hint="default" w:ascii="Wingdings" w:hAnsi="Wingdings" w:cs="Wingdings"/>
        <w:u w:val="none"/>
      </w:rPr>
    </w:lvl>
    <w:lvl w:ilvl="7" w:tentative="0">
      <w:start w:val="1"/>
      <w:numFmt w:val="bullet"/>
      <w:lvlText w:val=""/>
      <w:lvlJc w:val="left"/>
      <w:pPr>
        <w:tabs>
          <w:tab w:val="left" w:pos="0"/>
        </w:tabs>
        <w:ind w:left="5760" w:hanging="360"/>
      </w:pPr>
      <w:rPr>
        <w:rFonts w:hint="default" w:ascii="Wingdings 2" w:hAnsi="Wingdings 2" w:cs="Wingdings 2"/>
        <w:u w:val="none"/>
      </w:rPr>
    </w:lvl>
    <w:lvl w:ilvl="8" w:tentative="0">
      <w:start w:val="1"/>
      <w:numFmt w:val="bullet"/>
      <w:lvlText w:val="■"/>
      <w:lvlJc w:val="left"/>
      <w:pPr>
        <w:tabs>
          <w:tab w:val="left" w:pos="0"/>
        </w:tabs>
        <w:ind w:left="6480" w:hanging="360"/>
      </w:pPr>
      <w:rPr>
        <w:rFonts w:hint="default" w:ascii="OpenSymbol" w:hAnsi="OpenSymbol" w:cs="OpenSymbol"/>
        <w:u w:val="none"/>
      </w:rPr>
    </w:lvl>
  </w:abstractNum>
  <w:abstractNum w:abstractNumId="10">
    <w:nsid w:val="35DF63A0"/>
    <w:multiLevelType w:val="multilevel"/>
    <w:tmpl w:val="35DF63A0"/>
    <w:lvl w:ilvl="0" w:tentative="0">
      <w:start w:val="1"/>
      <w:numFmt w:val="lowerLetter"/>
      <w:lvlText w:val="%1)"/>
      <w:lvlJc w:val="left"/>
      <w:pPr>
        <w:tabs>
          <w:tab w:val="left" w:pos="720"/>
        </w:tabs>
        <w:ind w:left="720" w:hanging="360"/>
      </w:pPr>
      <w:rPr>
        <w:rFonts w:ascii="Century Gothic" w:hAnsi="Century Gothic"/>
        <w:b/>
        <w:bCs/>
        <w:sz w:val="18"/>
        <w:szCs w:val="18"/>
      </w:rPr>
    </w:lvl>
    <w:lvl w:ilvl="1" w:tentative="0">
      <w:start w:val="1"/>
      <w:numFmt w:val="lowerLetter"/>
      <w:lvlText w:val="%2)"/>
      <w:lvlJc w:val="left"/>
      <w:pPr>
        <w:tabs>
          <w:tab w:val="left" w:pos="1080"/>
        </w:tabs>
        <w:ind w:left="1080" w:hanging="360"/>
      </w:pPr>
      <w:rPr>
        <w:rFonts w:ascii="Century Gothic" w:hAnsi="Century Gothic"/>
        <w:b/>
        <w:bCs/>
        <w:sz w:val="18"/>
        <w:szCs w:val="18"/>
      </w:rPr>
    </w:lvl>
    <w:lvl w:ilvl="2" w:tentative="0">
      <w:start w:val="1"/>
      <w:numFmt w:val="lowerLetter"/>
      <w:lvlText w:val="%3)"/>
      <w:lvlJc w:val="left"/>
      <w:pPr>
        <w:tabs>
          <w:tab w:val="left" w:pos="1440"/>
        </w:tabs>
        <w:ind w:left="1440" w:hanging="360"/>
      </w:pPr>
      <w:rPr>
        <w:rFonts w:ascii="Century Gothic" w:hAnsi="Century Gothic"/>
        <w:b/>
        <w:bCs/>
        <w:sz w:val="18"/>
        <w:szCs w:val="18"/>
      </w:rPr>
    </w:lvl>
    <w:lvl w:ilvl="3" w:tentative="0">
      <w:start w:val="1"/>
      <w:numFmt w:val="lowerLetter"/>
      <w:lvlText w:val="%4)"/>
      <w:lvlJc w:val="left"/>
      <w:pPr>
        <w:tabs>
          <w:tab w:val="left" w:pos="1800"/>
        </w:tabs>
        <w:ind w:left="1800" w:hanging="360"/>
      </w:pPr>
      <w:rPr>
        <w:rFonts w:ascii="Century Gothic" w:hAnsi="Century Gothic"/>
        <w:b/>
        <w:bCs/>
        <w:sz w:val="18"/>
        <w:szCs w:val="18"/>
      </w:rPr>
    </w:lvl>
    <w:lvl w:ilvl="4" w:tentative="0">
      <w:start w:val="1"/>
      <w:numFmt w:val="lowerLetter"/>
      <w:lvlText w:val="%5)"/>
      <w:lvlJc w:val="left"/>
      <w:pPr>
        <w:tabs>
          <w:tab w:val="left" w:pos="2160"/>
        </w:tabs>
        <w:ind w:left="2160" w:hanging="360"/>
      </w:pPr>
      <w:rPr>
        <w:rFonts w:ascii="Century Gothic" w:hAnsi="Century Gothic"/>
        <w:b/>
        <w:bCs/>
        <w:sz w:val="18"/>
        <w:szCs w:val="18"/>
      </w:rPr>
    </w:lvl>
    <w:lvl w:ilvl="5" w:tentative="0">
      <w:start w:val="1"/>
      <w:numFmt w:val="lowerLetter"/>
      <w:lvlText w:val="%6)"/>
      <w:lvlJc w:val="left"/>
      <w:pPr>
        <w:tabs>
          <w:tab w:val="left" w:pos="2520"/>
        </w:tabs>
        <w:ind w:left="2520" w:hanging="360"/>
      </w:pPr>
      <w:rPr>
        <w:rFonts w:ascii="Century Gothic" w:hAnsi="Century Gothic"/>
        <w:b/>
        <w:bCs/>
        <w:sz w:val="18"/>
        <w:szCs w:val="18"/>
      </w:rPr>
    </w:lvl>
    <w:lvl w:ilvl="6" w:tentative="0">
      <w:start w:val="1"/>
      <w:numFmt w:val="lowerLetter"/>
      <w:lvlText w:val="%7)"/>
      <w:lvlJc w:val="left"/>
      <w:pPr>
        <w:tabs>
          <w:tab w:val="left" w:pos="2880"/>
        </w:tabs>
        <w:ind w:left="2880" w:hanging="360"/>
      </w:pPr>
      <w:rPr>
        <w:rFonts w:ascii="Century Gothic" w:hAnsi="Century Gothic"/>
        <w:b/>
        <w:bCs/>
        <w:sz w:val="18"/>
        <w:szCs w:val="18"/>
      </w:rPr>
    </w:lvl>
    <w:lvl w:ilvl="7" w:tentative="0">
      <w:start w:val="1"/>
      <w:numFmt w:val="lowerLetter"/>
      <w:lvlText w:val="%8)"/>
      <w:lvlJc w:val="left"/>
      <w:pPr>
        <w:tabs>
          <w:tab w:val="left" w:pos="3240"/>
        </w:tabs>
        <w:ind w:left="3240" w:hanging="360"/>
      </w:pPr>
      <w:rPr>
        <w:rFonts w:ascii="Century Gothic" w:hAnsi="Century Gothic"/>
        <w:b/>
        <w:bCs/>
        <w:sz w:val="18"/>
        <w:szCs w:val="18"/>
      </w:rPr>
    </w:lvl>
    <w:lvl w:ilvl="8" w:tentative="0">
      <w:start w:val="1"/>
      <w:numFmt w:val="lowerLetter"/>
      <w:lvlText w:val="%9)"/>
      <w:lvlJc w:val="left"/>
      <w:pPr>
        <w:tabs>
          <w:tab w:val="left" w:pos="3600"/>
        </w:tabs>
        <w:ind w:left="3600" w:hanging="360"/>
      </w:pPr>
      <w:rPr>
        <w:rFonts w:ascii="Century Gothic" w:hAnsi="Century Gothic"/>
        <w:b/>
        <w:bCs/>
        <w:sz w:val="18"/>
        <w:szCs w:val="18"/>
      </w:rPr>
    </w:lvl>
  </w:abstractNum>
  <w:abstractNum w:abstractNumId="11">
    <w:nsid w:val="378362AA"/>
    <w:multiLevelType w:val="multilevel"/>
    <w:tmpl w:val="378362AA"/>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
      <w:lvlJc w:val="left"/>
      <w:pPr>
        <w:tabs>
          <w:tab w:val="left" w:pos="0"/>
        </w:tabs>
        <w:ind w:left="1440" w:hanging="360"/>
      </w:pPr>
      <w:rPr>
        <w:rFonts w:hint="default" w:ascii="Symbol" w:hAnsi="Symbol" w:cs="Symbol"/>
      </w:rPr>
    </w:lvl>
    <w:lvl w:ilvl="2" w:tentative="0">
      <w:start w:val="1"/>
      <w:numFmt w:val="bullet"/>
      <w:lvlText w:val="■"/>
      <w:lvlJc w:val="left"/>
      <w:pPr>
        <w:tabs>
          <w:tab w:val="left" w:pos="0"/>
        </w:tabs>
        <w:ind w:left="2160" w:hanging="360"/>
      </w:pPr>
      <w:rPr>
        <w:rFonts w:hint="default" w:ascii="OpenSymbol" w:hAnsi="OpenSymbol" w:cs="OpenSymbol"/>
        <w:u w:val="none"/>
      </w:rPr>
    </w:lvl>
    <w:lvl w:ilvl="3" w:tentative="0">
      <w:start w:val="1"/>
      <w:numFmt w:val="bullet"/>
      <w:lvlText w:val=""/>
      <w:lvlJc w:val="left"/>
      <w:pPr>
        <w:tabs>
          <w:tab w:val="left" w:pos="0"/>
        </w:tabs>
        <w:ind w:left="2880" w:hanging="360"/>
      </w:pPr>
      <w:rPr>
        <w:rFonts w:hint="default" w:ascii="Wingdings" w:hAnsi="Wingdings" w:cs="Wingdings"/>
        <w:u w:val="none"/>
      </w:rPr>
    </w:lvl>
    <w:lvl w:ilvl="4" w:tentative="0">
      <w:start w:val="1"/>
      <w:numFmt w:val="bullet"/>
      <w:lvlText w:val=""/>
      <w:lvlJc w:val="left"/>
      <w:pPr>
        <w:tabs>
          <w:tab w:val="left" w:pos="0"/>
        </w:tabs>
        <w:ind w:left="3600" w:hanging="360"/>
      </w:pPr>
      <w:rPr>
        <w:rFonts w:hint="default" w:ascii="Wingdings 2" w:hAnsi="Wingdings 2" w:cs="Wingdings 2"/>
        <w:u w:val="none"/>
      </w:rPr>
    </w:lvl>
    <w:lvl w:ilvl="5" w:tentative="0">
      <w:start w:val="1"/>
      <w:numFmt w:val="bullet"/>
      <w:lvlText w:val="■"/>
      <w:lvlJc w:val="left"/>
      <w:pPr>
        <w:tabs>
          <w:tab w:val="left" w:pos="0"/>
        </w:tabs>
        <w:ind w:left="4320" w:hanging="360"/>
      </w:pPr>
      <w:rPr>
        <w:rFonts w:hint="default" w:ascii="OpenSymbol" w:hAnsi="OpenSymbol" w:cs="OpenSymbol"/>
        <w:u w:val="none"/>
      </w:rPr>
    </w:lvl>
    <w:lvl w:ilvl="6" w:tentative="0">
      <w:start w:val="1"/>
      <w:numFmt w:val="bullet"/>
      <w:lvlText w:val=""/>
      <w:lvlJc w:val="left"/>
      <w:pPr>
        <w:tabs>
          <w:tab w:val="left" w:pos="0"/>
        </w:tabs>
        <w:ind w:left="5040" w:hanging="360"/>
      </w:pPr>
      <w:rPr>
        <w:rFonts w:hint="default" w:ascii="Wingdings" w:hAnsi="Wingdings" w:cs="Wingdings"/>
        <w:u w:val="none"/>
      </w:rPr>
    </w:lvl>
    <w:lvl w:ilvl="7" w:tentative="0">
      <w:start w:val="1"/>
      <w:numFmt w:val="bullet"/>
      <w:lvlText w:val=""/>
      <w:lvlJc w:val="left"/>
      <w:pPr>
        <w:tabs>
          <w:tab w:val="left" w:pos="0"/>
        </w:tabs>
        <w:ind w:left="5760" w:hanging="360"/>
      </w:pPr>
      <w:rPr>
        <w:rFonts w:hint="default" w:ascii="Wingdings 2" w:hAnsi="Wingdings 2" w:cs="Wingdings 2"/>
        <w:u w:val="none"/>
      </w:rPr>
    </w:lvl>
    <w:lvl w:ilvl="8" w:tentative="0">
      <w:start w:val="1"/>
      <w:numFmt w:val="bullet"/>
      <w:lvlText w:val="■"/>
      <w:lvlJc w:val="left"/>
      <w:pPr>
        <w:tabs>
          <w:tab w:val="left" w:pos="0"/>
        </w:tabs>
        <w:ind w:left="6480" w:hanging="360"/>
      </w:pPr>
      <w:rPr>
        <w:rFonts w:hint="default" w:ascii="OpenSymbol" w:hAnsi="OpenSymbol" w:cs="OpenSymbol"/>
        <w:u w:val="none"/>
      </w:rPr>
    </w:lvl>
  </w:abstractNum>
  <w:abstractNum w:abstractNumId="12">
    <w:nsid w:val="391E7800"/>
    <w:multiLevelType w:val="multilevel"/>
    <w:tmpl w:val="391E7800"/>
    <w:lvl w:ilvl="0" w:tentative="0">
      <w:start w:val="1"/>
      <w:numFmt w:val="bullet"/>
      <w:lvlText w:val=""/>
      <w:lvlJc w:val="left"/>
      <w:pPr>
        <w:tabs>
          <w:tab w:val="left" w:pos="720"/>
        </w:tabs>
        <w:ind w:left="720" w:hanging="360"/>
      </w:pPr>
      <w:rPr>
        <w:rFonts w:hint="default" w:ascii="Symbol" w:hAnsi="Symbol" w:cs="Symbol"/>
      </w:rPr>
    </w:lvl>
    <w:lvl w:ilvl="1" w:tentative="0">
      <w:start w:val="1"/>
      <w:numFmt w:val="decimal"/>
      <w:lvlText w:val="%2."/>
      <w:lvlJc w:val="left"/>
      <w:pPr>
        <w:tabs>
          <w:tab w:val="left" w:pos="1080"/>
        </w:tabs>
        <w:ind w:left="1080" w:hanging="360"/>
      </w:pPr>
      <w:rPr>
        <w:rFonts w:ascii="Century Gothic" w:hAnsi="Century Gothic" w:cs="Caladea"/>
        <w:b/>
        <w:bCs/>
        <w:sz w:val="18"/>
        <w:szCs w:val="18"/>
      </w:rPr>
    </w:lvl>
    <w:lvl w:ilvl="2" w:tentative="0">
      <w:start w:val="1"/>
      <w:numFmt w:val="decimal"/>
      <w:lvlText w:val="%3."/>
      <w:lvlJc w:val="left"/>
      <w:pPr>
        <w:tabs>
          <w:tab w:val="left" w:pos="1440"/>
        </w:tabs>
        <w:ind w:left="1440" w:hanging="360"/>
      </w:pPr>
      <w:rPr>
        <w:rFonts w:ascii="Century Gothic" w:hAnsi="Century Gothic" w:cs="Caladea"/>
        <w:b/>
        <w:bCs/>
        <w:sz w:val="18"/>
        <w:szCs w:val="18"/>
      </w:rPr>
    </w:lvl>
    <w:lvl w:ilvl="3" w:tentative="0">
      <w:start w:val="1"/>
      <w:numFmt w:val="decimal"/>
      <w:lvlText w:val="%4."/>
      <w:lvlJc w:val="left"/>
      <w:pPr>
        <w:tabs>
          <w:tab w:val="left" w:pos="1800"/>
        </w:tabs>
        <w:ind w:left="1800" w:hanging="360"/>
      </w:pPr>
      <w:rPr>
        <w:rFonts w:ascii="Century Gothic" w:hAnsi="Century Gothic" w:cs="Caladea"/>
        <w:b/>
        <w:bCs/>
        <w:sz w:val="18"/>
        <w:szCs w:val="18"/>
      </w:rPr>
    </w:lvl>
    <w:lvl w:ilvl="4" w:tentative="0">
      <w:start w:val="1"/>
      <w:numFmt w:val="decimal"/>
      <w:lvlText w:val="%5."/>
      <w:lvlJc w:val="left"/>
      <w:pPr>
        <w:tabs>
          <w:tab w:val="left" w:pos="2160"/>
        </w:tabs>
        <w:ind w:left="2160" w:hanging="360"/>
      </w:pPr>
      <w:rPr>
        <w:rFonts w:ascii="Century Gothic" w:hAnsi="Century Gothic" w:cs="Caladea"/>
        <w:b/>
        <w:bCs/>
        <w:sz w:val="18"/>
        <w:szCs w:val="18"/>
      </w:rPr>
    </w:lvl>
    <w:lvl w:ilvl="5" w:tentative="0">
      <w:start w:val="1"/>
      <w:numFmt w:val="decimal"/>
      <w:lvlText w:val="%6."/>
      <w:lvlJc w:val="left"/>
      <w:pPr>
        <w:tabs>
          <w:tab w:val="left" w:pos="2520"/>
        </w:tabs>
        <w:ind w:left="2520" w:hanging="360"/>
      </w:pPr>
      <w:rPr>
        <w:rFonts w:ascii="Century Gothic" w:hAnsi="Century Gothic" w:cs="Caladea"/>
        <w:b/>
        <w:bCs/>
        <w:sz w:val="18"/>
        <w:szCs w:val="18"/>
      </w:rPr>
    </w:lvl>
    <w:lvl w:ilvl="6" w:tentative="0">
      <w:start w:val="1"/>
      <w:numFmt w:val="decimal"/>
      <w:lvlText w:val="%7."/>
      <w:lvlJc w:val="left"/>
      <w:pPr>
        <w:tabs>
          <w:tab w:val="left" w:pos="2880"/>
        </w:tabs>
        <w:ind w:left="2880" w:hanging="360"/>
      </w:pPr>
      <w:rPr>
        <w:rFonts w:ascii="Century Gothic" w:hAnsi="Century Gothic" w:cs="Caladea"/>
        <w:b/>
        <w:bCs/>
        <w:sz w:val="18"/>
        <w:szCs w:val="18"/>
      </w:rPr>
    </w:lvl>
    <w:lvl w:ilvl="7" w:tentative="0">
      <w:start w:val="1"/>
      <w:numFmt w:val="decimal"/>
      <w:lvlText w:val="%8."/>
      <w:lvlJc w:val="left"/>
      <w:pPr>
        <w:tabs>
          <w:tab w:val="left" w:pos="3240"/>
        </w:tabs>
        <w:ind w:left="3240" w:hanging="360"/>
      </w:pPr>
      <w:rPr>
        <w:rFonts w:ascii="Century Gothic" w:hAnsi="Century Gothic" w:cs="Caladea"/>
        <w:b/>
        <w:bCs/>
        <w:sz w:val="18"/>
        <w:szCs w:val="18"/>
      </w:rPr>
    </w:lvl>
    <w:lvl w:ilvl="8" w:tentative="0">
      <w:start w:val="1"/>
      <w:numFmt w:val="decimal"/>
      <w:lvlText w:val="%9."/>
      <w:lvlJc w:val="left"/>
      <w:pPr>
        <w:tabs>
          <w:tab w:val="left" w:pos="3600"/>
        </w:tabs>
        <w:ind w:left="3600" w:hanging="360"/>
      </w:pPr>
      <w:rPr>
        <w:rFonts w:ascii="Century Gothic" w:hAnsi="Century Gothic" w:cs="Caladea"/>
        <w:b/>
        <w:bCs/>
        <w:sz w:val="18"/>
        <w:szCs w:val="18"/>
      </w:rPr>
    </w:lvl>
  </w:abstractNum>
  <w:abstractNum w:abstractNumId="13">
    <w:nsid w:val="40886895"/>
    <w:multiLevelType w:val="multilevel"/>
    <w:tmpl w:val="40886895"/>
    <w:lvl w:ilvl="0" w:tentative="0">
      <w:start w:val="1"/>
      <w:numFmt w:val="bullet"/>
      <w:suff w:val="nothing"/>
      <w:lvlText w:val=""/>
      <w:lvlJc w:val="left"/>
      <w:pPr>
        <w:tabs>
          <w:tab w:val="left" w:pos="0"/>
        </w:tabs>
        <w:ind w:left="0" w:firstLine="0"/>
      </w:pPr>
      <w:rPr>
        <w:rFonts w:hint="default" w:ascii="Symbol" w:hAnsi="Symbol" w:cs="Symbol"/>
      </w:rPr>
    </w:lvl>
    <w:lvl w:ilvl="1" w:tentative="0">
      <w:start w:val="1"/>
      <w:numFmt w:val="none"/>
      <w:suff w:val="nothing"/>
      <w:lvlText w:val=""/>
      <w:lvlJc w:val="left"/>
      <w:pPr>
        <w:tabs>
          <w:tab w:val="left" w:pos="0"/>
        </w:tabs>
        <w:ind w:left="0" w:firstLine="0"/>
      </w:pPr>
    </w:lvl>
    <w:lvl w:ilvl="2" w:tentative="0">
      <w:start w:val="1"/>
      <w:numFmt w:val="none"/>
      <w:suff w:val="nothing"/>
      <w:lvlText w:val=""/>
      <w:lvlJc w:val="left"/>
      <w:pPr>
        <w:tabs>
          <w:tab w:val="left" w:pos="0"/>
        </w:tabs>
        <w:ind w:left="0" w:firstLine="0"/>
      </w:pPr>
    </w:lvl>
    <w:lvl w:ilvl="3" w:tentative="0">
      <w:start w:val="1"/>
      <w:numFmt w:val="none"/>
      <w:suff w:val="nothing"/>
      <w:lvlText w:val=""/>
      <w:lvlJc w:val="left"/>
      <w:pPr>
        <w:tabs>
          <w:tab w:val="left" w:pos="0"/>
        </w:tabs>
        <w:ind w:left="0" w:firstLine="0"/>
      </w:pPr>
    </w:lvl>
    <w:lvl w:ilvl="4" w:tentative="0">
      <w:start w:val="1"/>
      <w:numFmt w:val="none"/>
      <w:suff w:val="nothing"/>
      <w:lvlText w:val=""/>
      <w:lvlJc w:val="left"/>
      <w:pPr>
        <w:tabs>
          <w:tab w:val="left" w:pos="0"/>
        </w:tabs>
        <w:ind w:left="0" w:firstLine="0"/>
      </w:pPr>
    </w:lvl>
    <w:lvl w:ilvl="5" w:tentative="0">
      <w:start w:val="1"/>
      <w:numFmt w:val="none"/>
      <w:suff w:val="nothing"/>
      <w:lvlText w:val=""/>
      <w:lvlJc w:val="left"/>
      <w:pPr>
        <w:tabs>
          <w:tab w:val="left" w:pos="0"/>
        </w:tabs>
        <w:ind w:left="0" w:firstLine="0"/>
      </w:pPr>
    </w:lvl>
    <w:lvl w:ilvl="6" w:tentative="0">
      <w:start w:val="1"/>
      <w:numFmt w:val="none"/>
      <w:suff w:val="nothing"/>
      <w:lvlText w:val=""/>
      <w:lvlJc w:val="left"/>
      <w:pPr>
        <w:tabs>
          <w:tab w:val="left" w:pos="0"/>
        </w:tabs>
        <w:ind w:left="0" w:firstLine="0"/>
      </w:pPr>
    </w:lvl>
    <w:lvl w:ilvl="7" w:tentative="0">
      <w:start w:val="1"/>
      <w:numFmt w:val="none"/>
      <w:suff w:val="nothing"/>
      <w:lvlText w:val=""/>
      <w:lvlJc w:val="left"/>
      <w:pPr>
        <w:tabs>
          <w:tab w:val="left" w:pos="0"/>
        </w:tabs>
        <w:ind w:left="0" w:firstLine="0"/>
      </w:pPr>
    </w:lvl>
    <w:lvl w:ilvl="8" w:tentative="0">
      <w:start w:val="1"/>
      <w:numFmt w:val="none"/>
      <w:suff w:val="nothing"/>
      <w:lvlText w:val=""/>
      <w:lvlJc w:val="left"/>
      <w:pPr>
        <w:tabs>
          <w:tab w:val="left" w:pos="0"/>
        </w:tabs>
        <w:ind w:left="0" w:firstLine="0"/>
      </w:pPr>
    </w:lvl>
  </w:abstractNum>
  <w:abstractNum w:abstractNumId="14">
    <w:nsid w:val="43751F50"/>
    <w:multiLevelType w:val="multilevel"/>
    <w:tmpl w:val="43751F50"/>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
      <w:lvlJc w:val="left"/>
      <w:pPr>
        <w:tabs>
          <w:tab w:val="left" w:pos="0"/>
        </w:tabs>
        <w:ind w:left="1440" w:hanging="360"/>
      </w:pPr>
      <w:rPr>
        <w:rFonts w:hint="default" w:ascii="Wingdings 2" w:hAnsi="Wingdings 2" w:cs="Wingdings 2"/>
        <w:u w:val="none"/>
      </w:rPr>
    </w:lvl>
    <w:lvl w:ilvl="2" w:tentative="0">
      <w:start w:val="1"/>
      <w:numFmt w:val="bullet"/>
      <w:lvlText w:val="■"/>
      <w:lvlJc w:val="left"/>
      <w:pPr>
        <w:tabs>
          <w:tab w:val="left" w:pos="0"/>
        </w:tabs>
        <w:ind w:left="2160" w:hanging="360"/>
      </w:pPr>
      <w:rPr>
        <w:rFonts w:hint="default" w:ascii="OpenSymbol" w:hAnsi="OpenSymbol" w:cs="OpenSymbol"/>
        <w:u w:val="none"/>
      </w:rPr>
    </w:lvl>
    <w:lvl w:ilvl="3" w:tentative="0">
      <w:start w:val="1"/>
      <w:numFmt w:val="bullet"/>
      <w:lvlText w:val=""/>
      <w:lvlJc w:val="left"/>
      <w:pPr>
        <w:tabs>
          <w:tab w:val="left" w:pos="0"/>
        </w:tabs>
        <w:ind w:left="2880" w:hanging="360"/>
      </w:pPr>
      <w:rPr>
        <w:rFonts w:hint="default" w:ascii="Wingdings" w:hAnsi="Wingdings" w:cs="Wingdings"/>
        <w:u w:val="none"/>
      </w:rPr>
    </w:lvl>
    <w:lvl w:ilvl="4" w:tentative="0">
      <w:start w:val="1"/>
      <w:numFmt w:val="bullet"/>
      <w:lvlText w:val=""/>
      <w:lvlJc w:val="left"/>
      <w:pPr>
        <w:tabs>
          <w:tab w:val="left" w:pos="0"/>
        </w:tabs>
        <w:ind w:left="3600" w:hanging="360"/>
      </w:pPr>
      <w:rPr>
        <w:rFonts w:hint="default" w:ascii="Wingdings 2" w:hAnsi="Wingdings 2" w:cs="Wingdings 2"/>
        <w:u w:val="none"/>
      </w:rPr>
    </w:lvl>
    <w:lvl w:ilvl="5" w:tentative="0">
      <w:start w:val="1"/>
      <w:numFmt w:val="bullet"/>
      <w:lvlText w:val="■"/>
      <w:lvlJc w:val="left"/>
      <w:pPr>
        <w:tabs>
          <w:tab w:val="left" w:pos="0"/>
        </w:tabs>
        <w:ind w:left="4320" w:hanging="360"/>
      </w:pPr>
      <w:rPr>
        <w:rFonts w:hint="default" w:ascii="OpenSymbol" w:hAnsi="OpenSymbol" w:cs="OpenSymbol"/>
        <w:u w:val="none"/>
      </w:rPr>
    </w:lvl>
    <w:lvl w:ilvl="6" w:tentative="0">
      <w:start w:val="1"/>
      <w:numFmt w:val="bullet"/>
      <w:lvlText w:val=""/>
      <w:lvlJc w:val="left"/>
      <w:pPr>
        <w:tabs>
          <w:tab w:val="left" w:pos="0"/>
        </w:tabs>
        <w:ind w:left="5040" w:hanging="360"/>
      </w:pPr>
      <w:rPr>
        <w:rFonts w:hint="default" w:ascii="Wingdings" w:hAnsi="Wingdings" w:cs="Wingdings"/>
        <w:u w:val="none"/>
      </w:rPr>
    </w:lvl>
    <w:lvl w:ilvl="7" w:tentative="0">
      <w:start w:val="1"/>
      <w:numFmt w:val="bullet"/>
      <w:lvlText w:val=""/>
      <w:lvlJc w:val="left"/>
      <w:pPr>
        <w:tabs>
          <w:tab w:val="left" w:pos="0"/>
        </w:tabs>
        <w:ind w:left="5760" w:hanging="360"/>
      </w:pPr>
      <w:rPr>
        <w:rFonts w:hint="default" w:ascii="Wingdings 2" w:hAnsi="Wingdings 2" w:cs="Wingdings 2"/>
        <w:u w:val="none"/>
      </w:rPr>
    </w:lvl>
    <w:lvl w:ilvl="8" w:tentative="0">
      <w:start w:val="1"/>
      <w:numFmt w:val="bullet"/>
      <w:lvlText w:val="■"/>
      <w:lvlJc w:val="left"/>
      <w:pPr>
        <w:tabs>
          <w:tab w:val="left" w:pos="0"/>
        </w:tabs>
        <w:ind w:left="6480" w:hanging="360"/>
      </w:pPr>
      <w:rPr>
        <w:rFonts w:hint="default" w:ascii="OpenSymbol" w:hAnsi="OpenSymbol" w:cs="OpenSymbol"/>
        <w:u w:val="none"/>
      </w:rPr>
    </w:lvl>
  </w:abstractNum>
  <w:abstractNum w:abstractNumId="15">
    <w:nsid w:val="50D424C4"/>
    <w:multiLevelType w:val="multilevel"/>
    <w:tmpl w:val="50D424C4"/>
    <w:lvl w:ilvl="0" w:tentative="0">
      <w:start w:val="1"/>
      <w:numFmt w:val="decimal"/>
      <w:lvlText w:val="%1."/>
      <w:lvlJc w:val="left"/>
      <w:pPr>
        <w:tabs>
          <w:tab w:val="left" w:pos="0"/>
        </w:tabs>
        <w:ind w:left="720" w:hanging="360"/>
      </w:pPr>
      <w:rPr>
        <w:rFonts w:ascii="Century Gothic" w:hAnsi="Century Gothic" w:eastAsia="Century Gothic" w:cs="Century Gothic"/>
        <w:b/>
        <w:sz w:val="18"/>
        <w:szCs w:val="18"/>
      </w:rPr>
    </w:lvl>
    <w:lvl w:ilvl="1" w:tentative="0">
      <w:start w:val="1"/>
      <w:numFmt w:val="decimal"/>
      <w:lvlText w:val="%2."/>
      <w:lvlJc w:val="left"/>
      <w:pPr>
        <w:tabs>
          <w:tab w:val="left" w:pos="0"/>
        </w:tabs>
        <w:ind w:left="1080" w:hanging="360"/>
      </w:pPr>
      <w:rPr>
        <w:rFonts w:ascii="Century Gothic" w:hAnsi="Century Gothic" w:eastAsia="Century Gothic" w:cs="Century Gothic"/>
        <w:b/>
        <w:sz w:val="18"/>
        <w:szCs w:val="18"/>
      </w:rPr>
    </w:lvl>
    <w:lvl w:ilvl="2" w:tentative="0">
      <w:start w:val="1"/>
      <w:numFmt w:val="decimal"/>
      <w:lvlText w:val="%3."/>
      <w:lvlJc w:val="left"/>
      <w:pPr>
        <w:tabs>
          <w:tab w:val="left" w:pos="0"/>
        </w:tabs>
        <w:ind w:left="1440" w:hanging="360"/>
      </w:pPr>
      <w:rPr>
        <w:rFonts w:ascii="Century Gothic" w:hAnsi="Century Gothic" w:eastAsia="Century Gothic" w:cs="Century Gothic"/>
        <w:b/>
        <w:sz w:val="18"/>
        <w:szCs w:val="18"/>
      </w:rPr>
    </w:lvl>
    <w:lvl w:ilvl="3" w:tentative="0">
      <w:start w:val="1"/>
      <w:numFmt w:val="decimal"/>
      <w:lvlText w:val="%4."/>
      <w:lvlJc w:val="left"/>
      <w:pPr>
        <w:tabs>
          <w:tab w:val="left" w:pos="0"/>
        </w:tabs>
        <w:ind w:left="1800" w:hanging="360"/>
      </w:pPr>
      <w:rPr>
        <w:rFonts w:ascii="Century Gothic" w:hAnsi="Century Gothic" w:eastAsia="Century Gothic" w:cs="Century Gothic"/>
        <w:b/>
        <w:sz w:val="18"/>
        <w:szCs w:val="18"/>
      </w:rPr>
    </w:lvl>
    <w:lvl w:ilvl="4" w:tentative="0">
      <w:start w:val="1"/>
      <w:numFmt w:val="decimal"/>
      <w:lvlText w:val="%5."/>
      <w:lvlJc w:val="left"/>
      <w:pPr>
        <w:tabs>
          <w:tab w:val="left" w:pos="0"/>
        </w:tabs>
        <w:ind w:left="2160" w:hanging="360"/>
      </w:pPr>
      <w:rPr>
        <w:rFonts w:ascii="Century Gothic" w:hAnsi="Century Gothic" w:eastAsia="Century Gothic" w:cs="Century Gothic"/>
        <w:b/>
        <w:sz w:val="18"/>
        <w:szCs w:val="18"/>
      </w:rPr>
    </w:lvl>
    <w:lvl w:ilvl="5" w:tentative="0">
      <w:start w:val="1"/>
      <w:numFmt w:val="decimal"/>
      <w:lvlText w:val="%6."/>
      <w:lvlJc w:val="left"/>
      <w:pPr>
        <w:tabs>
          <w:tab w:val="left" w:pos="0"/>
        </w:tabs>
        <w:ind w:left="2520" w:hanging="360"/>
      </w:pPr>
      <w:rPr>
        <w:rFonts w:ascii="Century Gothic" w:hAnsi="Century Gothic" w:eastAsia="Century Gothic" w:cs="Century Gothic"/>
        <w:b/>
        <w:sz w:val="18"/>
        <w:szCs w:val="18"/>
      </w:rPr>
    </w:lvl>
    <w:lvl w:ilvl="6" w:tentative="0">
      <w:start w:val="1"/>
      <w:numFmt w:val="decimal"/>
      <w:lvlText w:val="%7."/>
      <w:lvlJc w:val="left"/>
      <w:pPr>
        <w:tabs>
          <w:tab w:val="left" w:pos="0"/>
        </w:tabs>
        <w:ind w:left="2880" w:hanging="360"/>
      </w:pPr>
      <w:rPr>
        <w:rFonts w:ascii="Century Gothic" w:hAnsi="Century Gothic" w:eastAsia="Century Gothic" w:cs="Century Gothic"/>
        <w:b/>
        <w:sz w:val="18"/>
        <w:szCs w:val="18"/>
      </w:rPr>
    </w:lvl>
    <w:lvl w:ilvl="7" w:tentative="0">
      <w:start w:val="1"/>
      <w:numFmt w:val="decimal"/>
      <w:lvlText w:val="%8."/>
      <w:lvlJc w:val="left"/>
      <w:pPr>
        <w:tabs>
          <w:tab w:val="left" w:pos="0"/>
        </w:tabs>
        <w:ind w:left="3240" w:hanging="360"/>
      </w:pPr>
      <w:rPr>
        <w:rFonts w:ascii="Century Gothic" w:hAnsi="Century Gothic" w:eastAsia="Century Gothic" w:cs="Century Gothic"/>
        <w:b/>
        <w:sz w:val="18"/>
        <w:szCs w:val="18"/>
      </w:rPr>
    </w:lvl>
    <w:lvl w:ilvl="8" w:tentative="0">
      <w:start w:val="1"/>
      <w:numFmt w:val="decimal"/>
      <w:lvlText w:val="%9."/>
      <w:lvlJc w:val="left"/>
      <w:pPr>
        <w:tabs>
          <w:tab w:val="left" w:pos="0"/>
        </w:tabs>
        <w:ind w:left="3600" w:hanging="360"/>
      </w:pPr>
      <w:rPr>
        <w:rFonts w:ascii="Century Gothic" w:hAnsi="Century Gothic" w:eastAsia="Century Gothic" w:cs="Century Gothic"/>
        <w:b/>
        <w:sz w:val="18"/>
        <w:szCs w:val="18"/>
      </w:rPr>
    </w:lvl>
  </w:abstractNum>
  <w:abstractNum w:abstractNumId="16">
    <w:nsid w:val="57517C22"/>
    <w:multiLevelType w:val="multilevel"/>
    <w:tmpl w:val="57517C22"/>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
      <w:lvlJc w:val="left"/>
      <w:pPr>
        <w:tabs>
          <w:tab w:val="left" w:pos="0"/>
        </w:tabs>
        <w:ind w:left="1440" w:hanging="360"/>
      </w:pPr>
      <w:rPr>
        <w:rFonts w:hint="default" w:ascii="Wingdings 2" w:hAnsi="Wingdings 2" w:cs="Wingdings 2"/>
        <w:u w:val="none"/>
      </w:rPr>
    </w:lvl>
    <w:lvl w:ilvl="2" w:tentative="0">
      <w:start w:val="1"/>
      <w:numFmt w:val="bullet"/>
      <w:lvlText w:val="■"/>
      <w:lvlJc w:val="left"/>
      <w:pPr>
        <w:tabs>
          <w:tab w:val="left" w:pos="0"/>
        </w:tabs>
        <w:ind w:left="2160" w:hanging="360"/>
      </w:pPr>
      <w:rPr>
        <w:rFonts w:hint="default" w:ascii="OpenSymbol" w:hAnsi="OpenSymbol" w:cs="OpenSymbol"/>
        <w:u w:val="none"/>
      </w:rPr>
    </w:lvl>
    <w:lvl w:ilvl="3" w:tentative="0">
      <w:start w:val="1"/>
      <w:numFmt w:val="bullet"/>
      <w:lvlText w:val=""/>
      <w:lvlJc w:val="left"/>
      <w:pPr>
        <w:tabs>
          <w:tab w:val="left" w:pos="0"/>
        </w:tabs>
        <w:ind w:left="2880" w:hanging="360"/>
      </w:pPr>
      <w:rPr>
        <w:rFonts w:hint="default" w:ascii="Wingdings" w:hAnsi="Wingdings" w:cs="Wingdings"/>
        <w:u w:val="none"/>
      </w:rPr>
    </w:lvl>
    <w:lvl w:ilvl="4" w:tentative="0">
      <w:start w:val="1"/>
      <w:numFmt w:val="bullet"/>
      <w:lvlText w:val=""/>
      <w:lvlJc w:val="left"/>
      <w:pPr>
        <w:tabs>
          <w:tab w:val="left" w:pos="0"/>
        </w:tabs>
        <w:ind w:left="3600" w:hanging="360"/>
      </w:pPr>
      <w:rPr>
        <w:rFonts w:hint="default" w:ascii="Wingdings 2" w:hAnsi="Wingdings 2" w:cs="Wingdings 2"/>
        <w:u w:val="none"/>
      </w:rPr>
    </w:lvl>
    <w:lvl w:ilvl="5" w:tentative="0">
      <w:start w:val="1"/>
      <w:numFmt w:val="bullet"/>
      <w:lvlText w:val="■"/>
      <w:lvlJc w:val="left"/>
      <w:pPr>
        <w:tabs>
          <w:tab w:val="left" w:pos="0"/>
        </w:tabs>
        <w:ind w:left="4320" w:hanging="360"/>
      </w:pPr>
      <w:rPr>
        <w:rFonts w:hint="default" w:ascii="OpenSymbol" w:hAnsi="OpenSymbol" w:cs="OpenSymbol"/>
        <w:u w:val="none"/>
      </w:rPr>
    </w:lvl>
    <w:lvl w:ilvl="6" w:tentative="0">
      <w:start w:val="1"/>
      <w:numFmt w:val="bullet"/>
      <w:lvlText w:val=""/>
      <w:lvlJc w:val="left"/>
      <w:pPr>
        <w:tabs>
          <w:tab w:val="left" w:pos="0"/>
        </w:tabs>
        <w:ind w:left="5040" w:hanging="360"/>
      </w:pPr>
      <w:rPr>
        <w:rFonts w:hint="default" w:ascii="Wingdings" w:hAnsi="Wingdings" w:cs="Wingdings"/>
        <w:u w:val="none"/>
      </w:rPr>
    </w:lvl>
    <w:lvl w:ilvl="7" w:tentative="0">
      <w:start w:val="1"/>
      <w:numFmt w:val="bullet"/>
      <w:lvlText w:val=""/>
      <w:lvlJc w:val="left"/>
      <w:pPr>
        <w:tabs>
          <w:tab w:val="left" w:pos="0"/>
        </w:tabs>
        <w:ind w:left="5760" w:hanging="360"/>
      </w:pPr>
      <w:rPr>
        <w:rFonts w:hint="default" w:ascii="Wingdings 2" w:hAnsi="Wingdings 2" w:cs="Wingdings 2"/>
        <w:u w:val="none"/>
      </w:rPr>
    </w:lvl>
    <w:lvl w:ilvl="8" w:tentative="0">
      <w:start w:val="1"/>
      <w:numFmt w:val="bullet"/>
      <w:lvlText w:val="■"/>
      <w:lvlJc w:val="left"/>
      <w:pPr>
        <w:tabs>
          <w:tab w:val="left" w:pos="0"/>
        </w:tabs>
        <w:ind w:left="6480" w:hanging="360"/>
      </w:pPr>
      <w:rPr>
        <w:rFonts w:hint="default" w:ascii="OpenSymbol" w:hAnsi="OpenSymbol" w:cs="OpenSymbol"/>
        <w:u w:val="none"/>
      </w:rPr>
    </w:lvl>
  </w:abstractNum>
  <w:abstractNum w:abstractNumId="17">
    <w:nsid w:val="5C8B7DE3"/>
    <w:multiLevelType w:val="multilevel"/>
    <w:tmpl w:val="5C8B7DE3"/>
    <w:lvl w:ilvl="0" w:tentative="0">
      <w:start w:val="1"/>
      <w:numFmt w:val="lowerLetter"/>
      <w:lvlText w:val="%1)"/>
      <w:lvlJc w:val="left"/>
      <w:pPr>
        <w:tabs>
          <w:tab w:val="left" w:pos="720"/>
        </w:tabs>
        <w:ind w:left="720" w:hanging="360"/>
      </w:pPr>
      <w:rPr>
        <w:rFonts w:ascii="Century Gothic" w:hAnsi="Century Gothic"/>
        <w:b/>
        <w:bCs/>
        <w:sz w:val="18"/>
        <w:szCs w:val="18"/>
      </w:rPr>
    </w:lvl>
    <w:lvl w:ilvl="1" w:tentative="0">
      <w:start w:val="1"/>
      <w:numFmt w:val="lowerLetter"/>
      <w:lvlText w:val="%2)"/>
      <w:lvlJc w:val="left"/>
      <w:pPr>
        <w:tabs>
          <w:tab w:val="left" w:pos="1080"/>
        </w:tabs>
        <w:ind w:left="1080" w:hanging="360"/>
      </w:pPr>
      <w:rPr>
        <w:rFonts w:ascii="Century Gothic" w:hAnsi="Century Gothic"/>
        <w:b/>
        <w:bCs/>
        <w:sz w:val="18"/>
        <w:szCs w:val="18"/>
      </w:rPr>
    </w:lvl>
    <w:lvl w:ilvl="2" w:tentative="0">
      <w:start w:val="1"/>
      <w:numFmt w:val="lowerLetter"/>
      <w:lvlText w:val="%3)"/>
      <w:lvlJc w:val="left"/>
      <w:pPr>
        <w:tabs>
          <w:tab w:val="left" w:pos="1440"/>
        </w:tabs>
        <w:ind w:left="1440" w:hanging="360"/>
      </w:pPr>
      <w:rPr>
        <w:rFonts w:ascii="Century Gothic" w:hAnsi="Century Gothic"/>
        <w:b/>
        <w:bCs/>
        <w:sz w:val="18"/>
        <w:szCs w:val="18"/>
      </w:rPr>
    </w:lvl>
    <w:lvl w:ilvl="3" w:tentative="0">
      <w:start w:val="1"/>
      <w:numFmt w:val="lowerLetter"/>
      <w:lvlText w:val="%4)"/>
      <w:lvlJc w:val="left"/>
      <w:pPr>
        <w:tabs>
          <w:tab w:val="left" w:pos="1800"/>
        </w:tabs>
        <w:ind w:left="1800" w:hanging="360"/>
      </w:pPr>
      <w:rPr>
        <w:rFonts w:ascii="Century Gothic" w:hAnsi="Century Gothic"/>
        <w:b/>
        <w:bCs/>
        <w:sz w:val="18"/>
        <w:szCs w:val="18"/>
      </w:rPr>
    </w:lvl>
    <w:lvl w:ilvl="4" w:tentative="0">
      <w:start w:val="1"/>
      <w:numFmt w:val="lowerLetter"/>
      <w:lvlText w:val="%5)"/>
      <w:lvlJc w:val="left"/>
      <w:pPr>
        <w:tabs>
          <w:tab w:val="left" w:pos="2160"/>
        </w:tabs>
        <w:ind w:left="2160" w:hanging="360"/>
      </w:pPr>
      <w:rPr>
        <w:rFonts w:ascii="Century Gothic" w:hAnsi="Century Gothic"/>
        <w:b/>
        <w:bCs/>
        <w:sz w:val="18"/>
        <w:szCs w:val="18"/>
      </w:rPr>
    </w:lvl>
    <w:lvl w:ilvl="5" w:tentative="0">
      <w:start w:val="1"/>
      <w:numFmt w:val="lowerLetter"/>
      <w:lvlText w:val="%6)"/>
      <w:lvlJc w:val="left"/>
      <w:pPr>
        <w:tabs>
          <w:tab w:val="left" w:pos="2520"/>
        </w:tabs>
        <w:ind w:left="2520" w:hanging="360"/>
      </w:pPr>
      <w:rPr>
        <w:rFonts w:ascii="Century Gothic" w:hAnsi="Century Gothic"/>
        <w:b/>
        <w:bCs/>
        <w:sz w:val="18"/>
        <w:szCs w:val="18"/>
      </w:rPr>
    </w:lvl>
    <w:lvl w:ilvl="6" w:tentative="0">
      <w:start w:val="1"/>
      <w:numFmt w:val="lowerLetter"/>
      <w:lvlText w:val="%7)"/>
      <w:lvlJc w:val="left"/>
      <w:pPr>
        <w:tabs>
          <w:tab w:val="left" w:pos="2880"/>
        </w:tabs>
        <w:ind w:left="2880" w:hanging="360"/>
      </w:pPr>
      <w:rPr>
        <w:rFonts w:ascii="Century Gothic" w:hAnsi="Century Gothic"/>
        <w:b/>
        <w:bCs/>
        <w:sz w:val="18"/>
        <w:szCs w:val="18"/>
      </w:rPr>
    </w:lvl>
    <w:lvl w:ilvl="7" w:tentative="0">
      <w:start w:val="1"/>
      <w:numFmt w:val="lowerLetter"/>
      <w:lvlText w:val="%8)"/>
      <w:lvlJc w:val="left"/>
      <w:pPr>
        <w:tabs>
          <w:tab w:val="left" w:pos="3240"/>
        </w:tabs>
        <w:ind w:left="3240" w:hanging="360"/>
      </w:pPr>
      <w:rPr>
        <w:rFonts w:ascii="Century Gothic" w:hAnsi="Century Gothic"/>
        <w:b/>
        <w:bCs/>
        <w:sz w:val="18"/>
        <w:szCs w:val="18"/>
      </w:rPr>
    </w:lvl>
    <w:lvl w:ilvl="8" w:tentative="0">
      <w:start w:val="1"/>
      <w:numFmt w:val="lowerLetter"/>
      <w:lvlText w:val="%9)"/>
      <w:lvlJc w:val="left"/>
      <w:pPr>
        <w:tabs>
          <w:tab w:val="left" w:pos="3600"/>
        </w:tabs>
        <w:ind w:left="3600" w:hanging="360"/>
      </w:pPr>
      <w:rPr>
        <w:rFonts w:ascii="Century Gothic" w:hAnsi="Century Gothic"/>
        <w:b/>
        <w:bCs/>
        <w:sz w:val="18"/>
        <w:szCs w:val="18"/>
      </w:rPr>
    </w:lvl>
  </w:abstractNum>
  <w:abstractNum w:abstractNumId="18">
    <w:nsid w:val="6E7954A0"/>
    <w:multiLevelType w:val="multilevel"/>
    <w:tmpl w:val="6E7954A0"/>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
      <w:lvlJc w:val="left"/>
      <w:pPr>
        <w:tabs>
          <w:tab w:val="left" w:pos="0"/>
        </w:tabs>
        <w:ind w:left="1440" w:hanging="360"/>
      </w:pPr>
      <w:rPr>
        <w:rFonts w:hint="default" w:ascii="Wingdings 2" w:hAnsi="Wingdings 2" w:cs="Wingdings 2"/>
        <w:u w:val="none"/>
      </w:rPr>
    </w:lvl>
    <w:lvl w:ilvl="2" w:tentative="0">
      <w:start w:val="1"/>
      <w:numFmt w:val="bullet"/>
      <w:lvlText w:val="■"/>
      <w:lvlJc w:val="left"/>
      <w:pPr>
        <w:tabs>
          <w:tab w:val="left" w:pos="0"/>
        </w:tabs>
        <w:ind w:left="2160" w:hanging="360"/>
      </w:pPr>
      <w:rPr>
        <w:rFonts w:hint="default" w:ascii="OpenSymbol" w:hAnsi="OpenSymbol" w:cs="OpenSymbol"/>
        <w:u w:val="none"/>
      </w:rPr>
    </w:lvl>
    <w:lvl w:ilvl="3" w:tentative="0">
      <w:start w:val="1"/>
      <w:numFmt w:val="bullet"/>
      <w:lvlText w:val=""/>
      <w:lvlJc w:val="left"/>
      <w:pPr>
        <w:tabs>
          <w:tab w:val="left" w:pos="0"/>
        </w:tabs>
        <w:ind w:left="2880" w:hanging="360"/>
      </w:pPr>
      <w:rPr>
        <w:rFonts w:hint="default" w:ascii="Wingdings" w:hAnsi="Wingdings" w:cs="Wingdings"/>
        <w:u w:val="none"/>
      </w:rPr>
    </w:lvl>
    <w:lvl w:ilvl="4" w:tentative="0">
      <w:start w:val="1"/>
      <w:numFmt w:val="bullet"/>
      <w:lvlText w:val=""/>
      <w:lvlJc w:val="left"/>
      <w:pPr>
        <w:tabs>
          <w:tab w:val="left" w:pos="0"/>
        </w:tabs>
        <w:ind w:left="3600" w:hanging="360"/>
      </w:pPr>
      <w:rPr>
        <w:rFonts w:hint="default" w:ascii="Wingdings 2" w:hAnsi="Wingdings 2" w:cs="Wingdings 2"/>
        <w:u w:val="none"/>
      </w:rPr>
    </w:lvl>
    <w:lvl w:ilvl="5" w:tentative="0">
      <w:start w:val="1"/>
      <w:numFmt w:val="bullet"/>
      <w:lvlText w:val="■"/>
      <w:lvlJc w:val="left"/>
      <w:pPr>
        <w:tabs>
          <w:tab w:val="left" w:pos="0"/>
        </w:tabs>
        <w:ind w:left="4320" w:hanging="360"/>
      </w:pPr>
      <w:rPr>
        <w:rFonts w:hint="default" w:ascii="OpenSymbol" w:hAnsi="OpenSymbol" w:cs="OpenSymbol"/>
        <w:u w:val="none"/>
      </w:rPr>
    </w:lvl>
    <w:lvl w:ilvl="6" w:tentative="0">
      <w:start w:val="1"/>
      <w:numFmt w:val="bullet"/>
      <w:lvlText w:val=""/>
      <w:lvlJc w:val="left"/>
      <w:pPr>
        <w:tabs>
          <w:tab w:val="left" w:pos="0"/>
        </w:tabs>
        <w:ind w:left="5040" w:hanging="360"/>
      </w:pPr>
      <w:rPr>
        <w:rFonts w:hint="default" w:ascii="Wingdings" w:hAnsi="Wingdings" w:cs="Wingdings"/>
        <w:u w:val="none"/>
      </w:rPr>
    </w:lvl>
    <w:lvl w:ilvl="7" w:tentative="0">
      <w:start w:val="1"/>
      <w:numFmt w:val="bullet"/>
      <w:lvlText w:val=""/>
      <w:lvlJc w:val="left"/>
      <w:pPr>
        <w:tabs>
          <w:tab w:val="left" w:pos="0"/>
        </w:tabs>
        <w:ind w:left="5760" w:hanging="360"/>
      </w:pPr>
      <w:rPr>
        <w:rFonts w:hint="default" w:ascii="Wingdings 2" w:hAnsi="Wingdings 2" w:cs="Wingdings 2"/>
        <w:u w:val="none"/>
      </w:rPr>
    </w:lvl>
    <w:lvl w:ilvl="8" w:tentative="0">
      <w:start w:val="1"/>
      <w:numFmt w:val="bullet"/>
      <w:lvlText w:val="■"/>
      <w:lvlJc w:val="left"/>
      <w:pPr>
        <w:tabs>
          <w:tab w:val="left" w:pos="0"/>
        </w:tabs>
        <w:ind w:left="6480" w:hanging="360"/>
      </w:pPr>
      <w:rPr>
        <w:rFonts w:hint="default" w:ascii="OpenSymbol" w:hAnsi="OpenSymbol" w:cs="OpenSymbol"/>
        <w:u w:val="none"/>
      </w:rPr>
    </w:lvl>
  </w:abstractNum>
  <w:abstractNum w:abstractNumId="19">
    <w:nsid w:val="770F4397"/>
    <w:multiLevelType w:val="multilevel"/>
    <w:tmpl w:val="770F4397"/>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
      <w:lvlJc w:val="left"/>
      <w:pPr>
        <w:tabs>
          <w:tab w:val="left" w:pos="0"/>
        </w:tabs>
        <w:ind w:left="1440" w:hanging="360"/>
      </w:pPr>
      <w:rPr>
        <w:rFonts w:hint="default" w:ascii="Symbol" w:hAnsi="Symbol" w:cs="Symbol"/>
      </w:rPr>
    </w:lvl>
    <w:lvl w:ilvl="2" w:tentative="0">
      <w:start w:val="1"/>
      <w:numFmt w:val="bullet"/>
      <w:lvlText w:val="■"/>
      <w:lvlJc w:val="left"/>
      <w:pPr>
        <w:tabs>
          <w:tab w:val="left" w:pos="0"/>
        </w:tabs>
        <w:ind w:left="2160" w:hanging="360"/>
      </w:pPr>
      <w:rPr>
        <w:rFonts w:hint="default" w:ascii="OpenSymbol" w:hAnsi="OpenSymbol" w:cs="OpenSymbol"/>
        <w:u w:val="none"/>
      </w:rPr>
    </w:lvl>
    <w:lvl w:ilvl="3" w:tentative="0">
      <w:start w:val="1"/>
      <w:numFmt w:val="bullet"/>
      <w:lvlText w:val=""/>
      <w:lvlJc w:val="left"/>
      <w:pPr>
        <w:tabs>
          <w:tab w:val="left" w:pos="0"/>
        </w:tabs>
        <w:ind w:left="2880" w:hanging="360"/>
      </w:pPr>
      <w:rPr>
        <w:rFonts w:hint="default" w:ascii="Wingdings" w:hAnsi="Wingdings" w:cs="Wingdings"/>
        <w:u w:val="none"/>
      </w:rPr>
    </w:lvl>
    <w:lvl w:ilvl="4" w:tentative="0">
      <w:start w:val="1"/>
      <w:numFmt w:val="bullet"/>
      <w:lvlText w:val=""/>
      <w:lvlJc w:val="left"/>
      <w:pPr>
        <w:tabs>
          <w:tab w:val="left" w:pos="0"/>
        </w:tabs>
        <w:ind w:left="3600" w:hanging="360"/>
      </w:pPr>
      <w:rPr>
        <w:rFonts w:hint="default" w:ascii="Wingdings 2" w:hAnsi="Wingdings 2" w:cs="Wingdings 2"/>
        <w:u w:val="none"/>
      </w:rPr>
    </w:lvl>
    <w:lvl w:ilvl="5" w:tentative="0">
      <w:start w:val="1"/>
      <w:numFmt w:val="bullet"/>
      <w:lvlText w:val="■"/>
      <w:lvlJc w:val="left"/>
      <w:pPr>
        <w:tabs>
          <w:tab w:val="left" w:pos="0"/>
        </w:tabs>
        <w:ind w:left="4320" w:hanging="360"/>
      </w:pPr>
      <w:rPr>
        <w:rFonts w:hint="default" w:ascii="OpenSymbol" w:hAnsi="OpenSymbol" w:cs="OpenSymbol"/>
        <w:u w:val="none"/>
      </w:rPr>
    </w:lvl>
    <w:lvl w:ilvl="6" w:tentative="0">
      <w:start w:val="1"/>
      <w:numFmt w:val="bullet"/>
      <w:lvlText w:val=""/>
      <w:lvlJc w:val="left"/>
      <w:pPr>
        <w:tabs>
          <w:tab w:val="left" w:pos="0"/>
        </w:tabs>
        <w:ind w:left="5040" w:hanging="360"/>
      </w:pPr>
      <w:rPr>
        <w:rFonts w:hint="default" w:ascii="Wingdings" w:hAnsi="Wingdings" w:cs="Wingdings"/>
        <w:u w:val="none"/>
      </w:rPr>
    </w:lvl>
    <w:lvl w:ilvl="7" w:tentative="0">
      <w:start w:val="1"/>
      <w:numFmt w:val="bullet"/>
      <w:lvlText w:val=""/>
      <w:lvlJc w:val="left"/>
      <w:pPr>
        <w:tabs>
          <w:tab w:val="left" w:pos="0"/>
        </w:tabs>
        <w:ind w:left="5760" w:hanging="360"/>
      </w:pPr>
      <w:rPr>
        <w:rFonts w:hint="default" w:ascii="Wingdings 2" w:hAnsi="Wingdings 2" w:cs="Wingdings 2"/>
        <w:u w:val="none"/>
      </w:rPr>
    </w:lvl>
    <w:lvl w:ilvl="8" w:tentative="0">
      <w:start w:val="1"/>
      <w:numFmt w:val="bullet"/>
      <w:lvlText w:val="■"/>
      <w:lvlJc w:val="left"/>
      <w:pPr>
        <w:tabs>
          <w:tab w:val="left" w:pos="0"/>
        </w:tabs>
        <w:ind w:left="6480" w:hanging="360"/>
      </w:pPr>
      <w:rPr>
        <w:rFonts w:hint="default" w:ascii="OpenSymbol" w:hAnsi="OpenSymbol" w:cs="OpenSymbol"/>
        <w:u w:val="none"/>
      </w:rPr>
    </w:lvl>
  </w:abstractNum>
  <w:abstractNum w:abstractNumId="20">
    <w:nsid w:val="7AD647DF"/>
    <w:multiLevelType w:val="multilevel"/>
    <w:tmpl w:val="7AD647DF"/>
    <w:lvl w:ilvl="0" w:tentative="0">
      <w:start w:val="1"/>
      <w:numFmt w:val="bullet"/>
      <w:lvlText w:val=""/>
      <w:lvlJc w:val="left"/>
      <w:pPr>
        <w:tabs>
          <w:tab w:val="left" w:pos="720"/>
        </w:tabs>
        <w:ind w:left="720" w:hanging="360"/>
      </w:pPr>
      <w:rPr>
        <w:rFonts w:hint="default" w:ascii="Symbol" w:hAnsi="Symbol" w:cs="Symbol"/>
      </w:rPr>
    </w:lvl>
    <w:lvl w:ilvl="1" w:tentative="0">
      <w:start w:val="1"/>
      <w:numFmt w:val="bullet"/>
      <w:lvlText w:val=""/>
      <w:lvlJc w:val="left"/>
      <w:pPr>
        <w:tabs>
          <w:tab w:val="left" w:pos="1080"/>
        </w:tabs>
        <w:ind w:left="1080" w:hanging="360"/>
      </w:pPr>
      <w:rPr>
        <w:rFonts w:hint="default" w:ascii="Symbol" w:hAnsi="Symbol" w:cs="Symbol"/>
      </w:rPr>
    </w:lvl>
    <w:lvl w:ilvl="2" w:tentative="0">
      <w:start w:val="1"/>
      <w:numFmt w:val="bullet"/>
      <w:lvlText w:val=""/>
      <w:lvlJc w:val="left"/>
      <w:pPr>
        <w:tabs>
          <w:tab w:val="left" w:pos="1440"/>
        </w:tabs>
        <w:ind w:left="1440" w:hanging="360"/>
      </w:pPr>
      <w:rPr>
        <w:rFonts w:hint="default" w:ascii="Symbol" w:hAnsi="Symbol" w:cs="Symbol"/>
      </w:rPr>
    </w:lvl>
    <w:lvl w:ilvl="3" w:tentative="0">
      <w:start w:val="1"/>
      <w:numFmt w:val="bullet"/>
      <w:lvlText w:val=""/>
      <w:lvlJc w:val="left"/>
      <w:pPr>
        <w:tabs>
          <w:tab w:val="left" w:pos="1800"/>
        </w:tabs>
        <w:ind w:left="1800" w:hanging="360"/>
      </w:pPr>
      <w:rPr>
        <w:rFonts w:hint="default" w:ascii="Symbol" w:hAnsi="Symbol" w:cs="Symbol"/>
      </w:rPr>
    </w:lvl>
    <w:lvl w:ilvl="4" w:tentative="0">
      <w:start w:val="1"/>
      <w:numFmt w:val="bullet"/>
      <w:lvlText w:val=""/>
      <w:lvlJc w:val="left"/>
      <w:pPr>
        <w:tabs>
          <w:tab w:val="left" w:pos="2160"/>
        </w:tabs>
        <w:ind w:left="2160" w:hanging="360"/>
      </w:pPr>
      <w:rPr>
        <w:rFonts w:hint="default" w:ascii="Symbol" w:hAnsi="Symbol" w:cs="Symbol"/>
      </w:rPr>
    </w:lvl>
    <w:lvl w:ilvl="5" w:tentative="0">
      <w:start w:val="1"/>
      <w:numFmt w:val="bullet"/>
      <w:lvlText w:val=""/>
      <w:lvlJc w:val="left"/>
      <w:pPr>
        <w:tabs>
          <w:tab w:val="left" w:pos="2520"/>
        </w:tabs>
        <w:ind w:left="2520" w:hanging="360"/>
      </w:pPr>
      <w:rPr>
        <w:rFonts w:hint="default" w:ascii="Symbol" w:hAnsi="Symbol" w:cs="Symbol"/>
      </w:rPr>
    </w:lvl>
    <w:lvl w:ilvl="6" w:tentative="0">
      <w:start w:val="1"/>
      <w:numFmt w:val="bullet"/>
      <w:lvlText w:val=""/>
      <w:lvlJc w:val="left"/>
      <w:pPr>
        <w:tabs>
          <w:tab w:val="left" w:pos="2880"/>
        </w:tabs>
        <w:ind w:left="2880" w:hanging="360"/>
      </w:pPr>
      <w:rPr>
        <w:rFonts w:hint="default" w:ascii="Symbol" w:hAnsi="Symbol" w:cs="Symbol"/>
      </w:rPr>
    </w:lvl>
    <w:lvl w:ilvl="7" w:tentative="0">
      <w:start w:val="1"/>
      <w:numFmt w:val="bullet"/>
      <w:lvlText w:val=""/>
      <w:lvlJc w:val="left"/>
      <w:pPr>
        <w:tabs>
          <w:tab w:val="left" w:pos="3240"/>
        </w:tabs>
        <w:ind w:left="3240" w:hanging="360"/>
      </w:pPr>
      <w:rPr>
        <w:rFonts w:hint="default" w:ascii="Symbol" w:hAnsi="Symbol" w:cs="Symbol"/>
      </w:rPr>
    </w:lvl>
    <w:lvl w:ilvl="8" w:tentative="0">
      <w:start w:val="1"/>
      <w:numFmt w:val="bullet"/>
      <w:lvlText w:val=""/>
      <w:lvlJc w:val="left"/>
      <w:pPr>
        <w:tabs>
          <w:tab w:val="left" w:pos="3600"/>
        </w:tabs>
        <w:ind w:left="3600" w:hanging="360"/>
      </w:pPr>
      <w:rPr>
        <w:rFonts w:hint="default" w:ascii="Symbol" w:hAnsi="Symbol" w:cs="Symbol"/>
      </w:rPr>
    </w:lvl>
  </w:abstractNum>
  <w:abstractNum w:abstractNumId="21">
    <w:nsid w:val="7AD76EC9"/>
    <w:multiLevelType w:val="multilevel"/>
    <w:tmpl w:val="7AD76EC9"/>
    <w:lvl w:ilvl="0" w:tentative="0">
      <w:start w:val="1"/>
      <w:numFmt w:val="decimal"/>
      <w:lvlText w:val="%1."/>
      <w:lvlJc w:val="left"/>
      <w:pPr>
        <w:tabs>
          <w:tab w:val="left" w:pos="0"/>
        </w:tabs>
        <w:ind w:left="405" w:hanging="405"/>
      </w:pPr>
      <w:rPr>
        <w:b/>
      </w:rPr>
    </w:lvl>
    <w:lvl w:ilvl="1" w:tentative="0">
      <w:start w:val="1"/>
      <w:numFmt w:val="decimal"/>
      <w:lvlText w:val="%1.%2."/>
      <w:lvlJc w:val="left"/>
      <w:pPr>
        <w:tabs>
          <w:tab w:val="left" w:pos="0"/>
        </w:tabs>
        <w:ind w:left="405" w:hanging="405"/>
      </w:pPr>
      <w:rPr>
        <w:b/>
      </w:rPr>
    </w:lvl>
    <w:lvl w:ilvl="2" w:tentative="0">
      <w:start w:val="1"/>
      <w:numFmt w:val="decimal"/>
      <w:lvlText w:val="%1.%2.%3."/>
      <w:lvlJc w:val="left"/>
      <w:pPr>
        <w:tabs>
          <w:tab w:val="left" w:pos="0"/>
        </w:tabs>
        <w:ind w:left="720" w:hanging="720"/>
      </w:pPr>
      <w:rPr>
        <w:b/>
      </w:rPr>
    </w:lvl>
    <w:lvl w:ilvl="3" w:tentative="0">
      <w:start w:val="1"/>
      <w:numFmt w:val="decimal"/>
      <w:lvlText w:val="%1.%2.%3.%4."/>
      <w:lvlJc w:val="left"/>
      <w:pPr>
        <w:tabs>
          <w:tab w:val="left" w:pos="0"/>
        </w:tabs>
        <w:ind w:left="720" w:hanging="720"/>
      </w:pPr>
      <w:rPr>
        <w:b/>
      </w:rPr>
    </w:lvl>
    <w:lvl w:ilvl="4" w:tentative="0">
      <w:start w:val="1"/>
      <w:numFmt w:val="decimal"/>
      <w:lvlText w:val="%1.%2.%3.%4.%5."/>
      <w:lvlJc w:val="left"/>
      <w:pPr>
        <w:tabs>
          <w:tab w:val="left" w:pos="0"/>
        </w:tabs>
        <w:ind w:left="1080" w:hanging="1080"/>
      </w:pPr>
      <w:rPr>
        <w:b/>
      </w:rPr>
    </w:lvl>
    <w:lvl w:ilvl="5" w:tentative="0">
      <w:start w:val="1"/>
      <w:numFmt w:val="decimal"/>
      <w:lvlText w:val="%1.%2.%3.%4.%5.%6."/>
      <w:lvlJc w:val="left"/>
      <w:pPr>
        <w:tabs>
          <w:tab w:val="left" w:pos="0"/>
        </w:tabs>
        <w:ind w:left="1080" w:hanging="1080"/>
      </w:pPr>
      <w:rPr>
        <w:b/>
      </w:rPr>
    </w:lvl>
    <w:lvl w:ilvl="6" w:tentative="0">
      <w:start w:val="1"/>
      <w:numFmt w:val="decimal"/>
      <w:lvlText w:val="%1.%2.%3.%4.%5.%6.%7."/>
      <w:lvlJc w:val="left"/>
      <w:pPr>
        <w:tabs>
          <w:tab w:val="left" w:pos="0"/>
        </w:tabs>
        <w:ind w:left="1440" w:hanging="1440"/>
      </w:pPr>
      <w:rPr>
        <w:b/>
      </w:rPr>
    </w:lvl>
    <w:lvl w:ilvl="7" w:tentative="0">
      <w:start w:val="1"/>
      <w:numFmt w:val="decimal"/>
      <w:lvlText w:val="%1.%2.%3.%4.%5.%6.%7.%8."/>
      <w:lvlJc w:val="left"/>
      <w:pPr>
        <w:tabs>
          <w:tab w:val="left" w:pos="0"/>
        </w:tabs>
        <w:ind w:left="1440" w:hanging="1440"/>
      </w:pPr>
      <w:rPr>
        <w:b/>
      </w:rPr>
    </w:lvl>
    <w:lvl w:ilvl="8" w:tentative="0">
      <w:start w:val="1"/>
      <w:numFmt w:val="decimal"/>
      <w:lvlText w:val="%1.%2.%3.%4.%5.%6.%7.%8.%9."/>
      <w:lvlJc w:val="left"/>
      <w:pPr>
        <w:tabs>
          <w:tab w:val="left" w:pos="0"/>
        </w:tabs>
        <w:ind w:left="1800" w:hanging="1800"/>
      </w:pPr>
      <w:rPr>
        <w:b/>
      </w:rPr>
    </w:lvl>
  </w:abstractNum>
  <w:abstractNum w:abstractNumId="22">
    <w:nsid w:val="7BAC538D"/>
    <w:multiLevelType w:val="multilevel"/>
    <w:tmpl w:val="7BAC538D"/>
    <w:lvl w:ilvl="0" w:tentative="0">
      <w:start w:val="1"/>
      <w:numFmt w:val="bullet"/>
      <w:lvlText w:val="●"/>
      <w:lvlJc w:val="left"/>
      <w:pPr>
        <w:tabs>
          <w:tab w:val="left" w:pos="0"/>
        </w:tabs>
        <w:ind w:left="720" w:hanging="360"/>
      </w:pPr>
      <w:rPr>
        <w:rFonts w:hint="default" w:ascii="Noto Sans Symbols" w:hAnsi="Noto Sans Symbols" w:cs="Noto Sans Symbols"/>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Noto Sans Symbols" w:hAnsi="Noto Sans Symbols" w:cs="Noto Sans Symbols"/>
      </w:rPr>
    </w:lvl>
    <w:lvl w:ilvl="3" w:tentative="0">
      <w:start w:val="1"/>
      <w:numFmt w:val="bullet"/>
      <w:lvlText w:val="●"/>
      <w:lvlJc w:val="left"/>
      <w:pPr>
        <w:tabs>
          <w:tab w:val="left" w:pos="0"/>
        </w:tabs>
        <w:ind w:left="2880" w:hanging="360"/>
      </w:pPr>
      <w:rPr>
        <w:rFonts w:hint="default" w:ascii="Noto Sans Symbols" w:hAnsi="Noto Sans Symbols" w:cs="Noto Sans Symbols"/>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Noto Sans Symbols" w:hAnsi="Noto Sans Symbols" w:cs="Noto Sans Symbols"/>
      </w:rPr>
    </w:lvl>
    <w:lvl w:ilvl="6" w:tentative="0">
      <w:start w:val="1"/>
      <w:numFmt w:val="bullet"/>
      <w:lvlText w:val="●"/>
      <w:lvlJc w:val="left"/>
      <w:pPr>
        <w:tabs>
          <w:tab w:val="left" w:pos="0"/>
        </w:tabs>
        <w:ind w:left="5040" w:hanging="360"/>
      </w:pPr>
      <w:rPr>
        <w:rFonts w:hint="default" w:ascii="Noto Sans Symbols" w:hAnsi="Noto Sans Symbols" w:cs="Noto Sans Symbols"/>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Noto Sans Symbols" w:hAnsi="Noto Sans Symbols" w:cs="Noto Sans Symbols"/>
      </w:rPr>
    </w:lvl>
  </w:abstractNum>
  <w:num w:numId="1">
    <w:abstractNumId w:val="7"/>
  </w:num>
  <w:num w:numId="2">
    <w:abstractNumId w:val="22"/>
  </w:num>
  <w:num w:numId="3">
    <w:abstractNumId w:val="18"/>
  </w:num>
  <w:num w:numId="4">
    <w:abstractNumId w:val="14"/>
  </w:num>
  <w:num w:numId="5">
    <w:abstractNumId w:val="11"/>
  </w:num>
  <w:num w:numId="6">
    <w:abstractNumId w:val="2"/>
  </w:num>
  <w:num w:numId="7">
    <w:abstractNumId w:val="19"/>
  </w:num>
  <w:num w:numId="8">
    <w:abstractNumId w:val="10"/>
  </w:num>
  <w:num w:numId="9">
    <w:abstractNumId w:val="0"/>
  </w:num>
  <w:num w:numId="10">
    <w:abstractNumId w:val="20"/>
  </w:num>
  <w:num w:numId="11">
    <w:abstractNumId w:val="4"/>
  </w:num>
  <w:num w:numId="12">
    <w:abstractNumId w:val="17"/>
  </w:num>
  <w:num w:numId="13">
    <w:abstractNumId w:val="8"/>
  </w:num>
  <w:num w:numId="14">
    <w:abstractNumId w:val="6"/>
  </w:num>
  <w:num w:numId="15">
    <w:abstractNumId w:val="16"/>
  </w:num>
  <w:num w:numId="16">
    <w:abstractNumId w:val="1"/>
  </w:num>
  <w:num w:numId="17">
    <w:abstractNumId w:val="5"/>
  </w:num>
  <w:num w:numId="18">
    <w:abstractNumId w:val="13"/>
  </w:num>
  <w:num w:numId="19">
    <w:abstractNumId w:val="9"/>
  </w:num>
  <w:num w:numId="20">
    <w:abstractNumId w:val="12"/>
  </w:num>
  <w:num w:numId="21">
    <w:abstractNumId w:val="21"/>
  </w:num>
  <w:num w:numId="22">
    <w:abstractNumId w:val="3"/>
  </w:num>
  <w:num w:numId="2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removePersonalInformation/>
  <w:embedTrueTypeFonts/>
  <w:documentProtection w:enforcement="0"/>
  <w:defaultTabStop w:val="720"/>
  <w:autoHyphenation/>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261B"/>
    <w:rsid w:val="000074C5"/>
    <w:rsid w:val="00060838"/>
    <w:rsid w:val="00091394"/>
    <w:rsid w:val="00436CD6"/>
    <w:rsid w:val="00474471"/>
    <w:rsid w:val="0050715F"/>
    <w:rsid w:val="005B2D23"/>
    <w:rsid w:val="00613C2C"/>
    <w:rsid w:val="0067143E"/>
    <w:rsid w:val="00A210FA"/>
    <w:rsid w:val="00B16803"/>
    <w:rsid w:val="00BA261B"/>
    <w:rsid w:val="00DA2F0F"/>
    <w:rsid w:val="00E84EBE"/>
    <w:rsid w:val="636A4ECD"/>
    <w:rsid w:val="7A0A1357"/>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0" w:semiHidden="0" w:name="heading 3"/>
    <w:lsdException w:qFormat="1" w:uiPriority="0" w:semiHidden="0" w:name="heading 4"/>
    <w:lsdException w:qFormat="1" w:uiPriority="0" w:semiHidden="0" w:name="heading 5"/>
    <w:lsdException w:qFormat="1" w:uiPriority="9" w:name="heading 6"/>
    <w:lsdException w:qFormat="1" w:uiPriority="9" w:semiHidden="0" w:name="heading 7"/>
    <w:lsdException w:qFormat="1" w:uiPriority="9"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unhideWhenUsed="0" w:uiPriority="39" w:semiHidden="0" w:name="toc 2"/>
    <w:lsdException w:qFormat="1" w:uiPriority="39" w:semiHidden="0" w:name="toc 3"/>
    <w:lsdException w:uiPriority="39" w:semiHidden="0" w:name="toc 4"/>
    <w:lsdException w:uiPriority="39" w:semiHidden="0" w:name="toc 5"/>
    <w:lsdException w:uiPriority="39" w:semiHidden="0" w:name="toc 6"/>
    <w:lsdException w:qFormat="1" w:uiPriority="39" w:semiHidden="0" w:name="toc 7"/>
    <w:lsdException w:uiPriority="39" w:semiHidden="0" w:name="toc 8"/>
    <w:lsdException w:uiPriority="39" w:semiHidden="0" w:name="toc 9"/>
    <w:lsdException w:uiPriority="99" w:name="Normal Indent"/>
    <w:lsdException w:qFormat="1" w:unhideWhenUsed="0" w:uiPriority="99" w:semiHidden="0" w:name="footnote text"/>
    <w:lsdException w:qFormat="1" w:uiPriority="0" w:semiHidden="0" w:name="annotation text"/>
    <w:lsdException w:qFormat="1" w:unhideWhenUsed="0" w:uiPriority="99" w:semiHidden="0" w:name="header"/>
    <w:lsdException w:qFormat="1" w:unhideWhenUsed="0" w:uiPriority="99" w:semiHidden="0" w:name="footer"/>
    <w:lsdException w:uiPriority="99" w:name="index heading"/>
    <w:lsdException w:qFormat="1" w:uiPriority="0" w:semiHidden="0" w:name="caption"/>
    <w:lsdException w:qFormat="1" w:uiPriority="99" w:semiHidden="0" w:name="table of figures"/>
    <w:lsdException w:uiPriority="99" w:name="envelope address"/>
    <w:lsdException w:uiPriority="99" w:name="envelope return"/>
    <w:lsdException w:uiPriority="99" w:name="footnote reference"/>
    <w:lsdException w:qFormat="1" w:uiPriority="0" w:semiHidden="0" w:name="annotation reference"/>
    <w:lsdException w:uiPriority="99" w:name="line number"/>
    <w:lsdException w:qFormat="1" w:unhideWhenUsed="0" w:uiPriority="99" w:semiHidden="0" w:name="page number"/>
    <w:lsdException w:uiPriority="99" w:name="endnote reference"/>
    <w:lsdException w:qFormat="1" w:uiPriority="99" w:semiHidden="0" w:name="endnote text"/>
    <w:lsdException w:uiPriority="99" w:name="table of authorities"/>
    <w:lsdException w:uiPriority="99" w:name="macro"/>
    <w:lsdException w:uiPriority="99" w:name="toa heading"/>
    <w:lsdException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qFormat="1" w:unhideWhenUsed="0" w:uiPriority="99" w:semiHidden="0" w:name="Body Text 2"/>
    <w:lsdException w:qFormat="1" w:unhideWhenUsed="0" w:uiPriority="99" w:semiHidden="0" w:name="Body Text 3"/>
    <w:lsdException w:qFormat="1" w:unhideWhenUsed="0" w:uiPriority="99" w:semiHidden="0"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uiPriority="99" w:name="Document Map"/>
    <w:lsdException w:qFormat="1" w:unhideWhenUsed="0" w:uiPriority="99" w:semiHidden="0"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qFormat="1" w:unhideWhenUsed="0" w:uiPriority="39" w:semiHidden="0" w:name="Table Grid"/>
    <w:lsdException w:uiPriority="99" w:name="Table Theme"/>
    <w:lsdException w:qFormat="1" w:unhideWhenUsed="0" w:uiPriority="0" w:semiHidden="0" w:name="No Spacing"/>
    <w:lsdException w:qFormat="1" w:unhideWhenUsed="0" w:uiPriority="34" w:semiHidden="0" w:name="List Paragraph"/>
    <w:lsdException w:qFormat="1" w:unhideWhenUsed="0" w:uiPriority="29" w:semiHidden="0" w:name="Quote"/>
    <w:lsdException w:qFormat="1" w:unhideWhenUsed="0" w:uiPriority="30" w:semiHidden="0" w:name="Intense Quote"/>
  </w:latentStyles>
  <w:style w:type="paragraph" w:default="1" w:styleId="1">
    <w:name w:val="Normal"/>
    <w:qFormat/>
    <w:uiPriority w:val="0"/>
    <w:pPr>
      <w:suppressAutoHyphens/>
    </w:pPr>
    <w:rPr>
      <w:rFonts w:ascii="Times New Roman" w:hAnsi="Times New Roman" w:eastAsia="Times New Roman" w:cs="Times New Roman"/>
      <w:lang w:val="pt-BR" w:eastAsia="en-US" w:bidi="ar-SA"/>
    </w:rPr>
  </w:style>
  <w:style w:type="paragraph" w:styleId="2">
    <w:name w:val="heading 1"/>
    <w:basedOn w:val="1"/>
    <w:next w:val="1"/>
    <w:link w:val="106"/>
    <w:qFormat/>
    <w:uiPriority w:val="9"/>
    <w:pPr>
      <w:keepNext/>
      <w:spacing w:before="240" w:after="60"/>
      <w:outlineLvl w:val="0"/>
    </w:pPr>
    <w:rPr>
      <w:rFonts w:ascii="Arial" w:hAnsi="Arial" w:cs="Arial"/>
      <w:b/>
      <w:bCs/>
      <w:sz w:val="32"/>
      <w:szCs w:val="32"/>
      <w:lang w:val="en-US"/>
    </w:rPr>
  </w:style>
  <w:style w:type="paragraph" w:styleId="3">
    <w:name w:val="heading 2"/>
    <w:basedOn w:val="1"/>
    <w:next w:val="1"/>
    <w:link w:val="79"/>
    <w:unhideWhenUsed/>
    <w:qFormat/>
    <w:uiPriority w:val="9"/>
    <w:pPr>
      <w:keepNext/>
      <w:widowControl w:val="0"/>
      <w:tabs>
        <w:tab w:val="left" w:pos="857"/>
        <w:tab w:val="left" w:pos="2714"/>
        <w:tab w:val="left" w:pos="6592"/>
        <w:tab w:val="left" w:pos="8576"/>
        <w:tab w:val="left" w:pos="10419"/>
      </w:tabs>
      <w:jc w:val="center"/>
      <w:outlineLvl w:val="1"/>
    </w:pPr>
    <w:rPr>
      <w:rFonts w:ascii="Arial" w:hAnsi="Arial"/>
      <w:b/>
      <w:color w:val="000000"/>
      <w:sz w:val="22"/>
    </w:rPr>
  </w:style>
  <w:style w:type="paragraph" w:styleId="4">
    <w:name w:val="heading 3"/>
    <w:basedOn w:val="1"/>
    <w:next w:val="1"/>
    <w:link w:val="107"/>
    <w:unhideWhenUsed/>
    <w:qFormat/>
    <w:uiPriority w:val="0"/>
    <w:pPr>
      <w:keepNext/>
      <w:spacing w:before="240" w:after="60"/>
      <w:outlineLvl w:val="2"/>
    </w:pPr>
    <w:rPr>
      <w:rFonts w:ascii="Arial" w:hAnsi="Arial" w:cs="Arial"/>
      <w:b/>
      <w:bCs/>
      <w:sz w:val="26"/>
      <w:szCs w:val="26"/>
    </w:rPr>
  </w:style>
  <w:style w:type="paragraph" w:styleId="5">
    <w:name w:val="heading 4"/>
    <w:basedOn w:val="1"/>
    <w:next w:val="1"/>
    <w:link w:val="108"/>
    <w:unhideWhenUsed/>
    <w:qFormat/>
    <w:uiPriority w:val="0"/>
    <w:pPr>
      <w:keepNext/>
      <w:spacing w:before="240" w:after="60"/>
      <w:outlineLvl w:val="3"/>
    </w:pPr>
    <w:rPr>
      <w:b/>
      <w:bCs/>
      <w:sz w:val="28"/>
      <w:szCs w:val="28"/>
    </w:rPr>
  </w:style>
  <w:style w:type="paragraph" w:styleId="6">
    <w:name w:val="heading 5"/>
    <w:basedOn w:val="1"/>
    <w:next w:val="1"/>
    <w:link w:val="109"/>
    <w:unhideWhenUsed/>
    <w:qFormat/>
    <w:uiPriority w:val="0"/>
    <w:pPr>
      <w:spacing w:before="240" w:after="60"/>
      <w:outlineLvl w:val="4"/>
    </w:pPr>
    <w:rPr>
      <w:b/>
      <w:bCs/>
      <w:i/>
      <w:iCs/>
      <w:sz w:val="26"/>
      <w:szCs w:val="26"/>
    </w:rPr>
  </w:style>
  <w:style w:type="paragraph" w:styleId="7">
    <w:name w:val="heading 6"/>
    <w:basedOn w:val="1"/>
    <w:next w:val="1"/>
    <w:link w:val="61"/>
    <w:semiHidden/>
    <w:unhideWhenUsed/>
    <w:qFormat/>
    <w:uiPriority w:val="9"/>
    <w:pPr>
      <w:keepNext/>
      <w:keepLines/>
      <w:spacing w:before="40"/>
      <w:outlineLvl w:val="5"/>
    </w:pPr>
    <w:rPr>
      <w:rFonts w:ascii="Arial" w:hAnsi="Arial" w:eastAsia="Arial" w:cs="Arial"/>
      <w:i/>
      <w:iCs/>
      <w:color w:val="595959" w:themeColor="text1" w:themeTint="A6"/>
      <w14:textFill>
        <w14:solidFill>
          <w14:schemeClr w14:val="tx1">
            <w14:lumMod w14:val="65000"/>
            <w14:lumOff w14:val="35000"/>
          </w14:schemeClr>
        </w14:solidFill>
      </w14:textFill>
    </w:rPr>
  </w:style>
  <w:style w:type="paragraph" w:styleId="8">
    <w:name w:val="heading 7"/>
    <w:basedOn w:val="1"/>
    <w:next w:val="1"/>
    <w:link w:val="62"/>
    <w:unhideWhenUsed/>
    <w:qFormat/>
    <w:uiPriority w:val="9"/>
    <w:pPr>
      <w:keepNext/>
      <w:keepLines/>
      <w:spacing w:before="40"/>
      <w:outlineLvl w:val="6"/>
    </w:pPr>
    <w:rPr>
      <w:rFonts w:ascii="Arial" w:hAnsi="Arial" w:eastAsia="Arial" w:cs="Arial"/>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63"/>
    <w:unhideWhenUsed/>
    <w:qFormat/>
    <w:uiPriority w:val="9"/>
    <w:pPr>
      <w:keepNext/>
      <w:keepLines/>
      <w:outlineLvl w:val="7"/>
    </w:pPr>
    <w:rPr>
      <w:rFonts w:ascii="Arial" w:hAnsi="Arial" w:eastAsia="Arial" w:cs="Arial"/>
      <w:i/>
      <w:iCs/>
      <w:color w:val="262626" w:themeColor="text1" w:themeTint="D9"/>
      <w14:textFill>
        <w14:solidFill>
          <w14:schemeClr w14:val="tx1">
            <w14:lumMod w14:val="85000"/>
            <w14:lumOff w14:val="15000"/>
          </w14:schemeClr>
        </w14:solidFill>
      </w14:textFill>
    </w:rPr>
  </w:style>
  <w:style w:type="paragraph" w:styleId="10">
    <w:name w:val="heading 9"/>
    <w:basedOn w:val="1"/>
    <w:next w:val="1"/>
    <w:link w:val="64"/>
    <w:unhideWhenUsed/>
    <w:qFormat/>
    <w:uiPriority w:val="9"/>
    <w:pPr>
      <w:keepNext/>
      <w:keepLines/>
      <w:outlineLvl w:val="8"/>
    </w:pPr>
    <w:rPr>
      <w:rFonts w:ascii="Arial" w:hAnsi="Arial" w:eastAsia="Arial" w:cs="Arial"/>
      <w:i/>
      <w:iCs/>
      <w:color w:val="262626" w:themeColor="text1" w:themeTint="D9"/>
      <w14:textFill>
        <w14:solidFill>
          <w14:schemeClr w14:val="tx1">
            <w14:lumMod w14:val="85000"/>
            <w14:lumOff w14:val="15000"/>
          </w14:schemeClr>
        </w14:solidFill>
      </w14:textFill>
    </w:rPr>
  </w:style>
  <w:style w:type="character" w:default="1" w:styleId="11">
    <w:name w:val="Default Paragraph Font"/>
    <w:semiHidden/>
    <w:unhideWhenUsed/>
    <w:uiPriority w:val="1"/>
  </w:style>
  <w:style w:type="table" w:default="1" w:styleId="12">
    <w:name w:val="Normal Table"/>
    <w:semiHidden/>
    <w:unhideWhenUsed/>
    <w:uiPriority w:val="99"/>
    <w:tblPr>
      <w:tblCellMar>
        <w:top w:w="0" w:type="dxa"/>
        <w:left w:w="108" w:type="dxa"/>
        <w:bottom w:w="0" w:type="dxa"/>
        <w:right w:w="108" w:type="dxa"/>
      </w:tblCellMar>
    </w:tblPr>
  </w:style>
  <w:style w:type="character" w:styleId="13">
    <w:name w:val="Strong"/>
    <w:qFormat/>
    <w:uiPriority w:val="0"/>
    <w:rPr>
      <w:b/>
      <w:bCs/>
    </w:rPr>
  </w:style>
  <w:style w:type="character" w:styleId="14">
    <w:name w:val="annotation reference"/>
    <w:unhideWhenUsed/>
    <w:qFormat/>
    <w:uiPriority w:val="0"/>
    <w:rPr>
      <w:sz w:val="16"/>
      <w:szCs w:val="16"/>
    </w:rPr>
  </w:style>
  <w:style w:type="character" w:styleId="15">
    <w:name w:val="FollowedHyperlink"/>
    <w:basedOn w:val="11"/>
    <w:qFormat/>
    <w:uiPriority w:val="0"/>
    <w:rPr>
      <w:color w:val="800080" w:themeColor="followedHyperlink"/>
      <w:u w:val="single"/>
      <w14:textFill>
        <w14:solidFill>
          <w14:schemeClr w14:val="folHlink"/>
        </w14:solidFill>
      </w14:textFill>
    </w:rPr>
  </w:style>
  <w:style w:type="character" w:styleId="16">
    <w:name w:val="Emphasis"/>
    <w:qFormat/>
    <w:uiPriority w:val="20"/>
    <w:rPr>
      <w:i/>
      <w:iCs/>
    </w:rPr>
  </w:style>
  <w:style w:type="character" w:styleId="17">
    <w:name w:val="HTML Cite"/>
    <w:unhideWhenUsed/>
    <w:qFormat/>
    <w:uiPriority w:val="99"/>
    <w:rPr>
      <w:i/>
      <w:iCs/>
    </w:rPr>
  </w:style>
  <w:style w:type="character" w:styleId="18">
    <w:name w:val="Hyperlink"/>
    <w:qFormat/>
    <w:uiPriority w:val="0"/>
    <w:rPr>
      <w:color w:val="000080"/>
      <w:u w:val="single"/>
    </w:rPr>
  </w:style>
  <w:style w:type="character" w:styleId="19">
    <w:name w:val="page number"/>
    <w:basedOn w:val="11"/>
    <w:qFormat/>
    <w:uiPriority w:val="99"/>
  </w:style>
  <w:style w:type="paragraph" w:styleId="20">
    <w:name w:val="toc 2"/>
    <w:basedOn w:val="1"/>
    <w:next w:val="1"/>
    <w:uiPriority w:val="39"/>
    <w:pPr>
      <w:ind w:left="200"/>
    </w:pPr>
  </w:style>
  <w:style w:type="paragraph" w:styleId="21">
    <w:name w:val="List"/>
    <w:basedOn w:val="22"/>
    <w:uiPriority w:val="0"/>
    <w:pPr>
      <w:spacing w:after="140" w:line="276" w:lineRule="auto"/>
    </w:pPr>
    <w:rPr>
      <w:rFonts w:cs="Arial"/>
    </w:rPr>
  </w:style>
  <w:style w:type="paragraph" w:styleId="22">
    <w:name w:val="Body Text"/>
    <w:basedOn w:val="1"/>
    <w:link w:val="110"/>
    <w:qFormat/>
    <w:uiPriority w:val="0"/>
    <w:pPr>
      <w:spacing w:after="120"/>
    </w:pPr>
  </w:style>
  <w:style w:type="paragraph" w:styleId="23">
    <w:name w:val="toc 9"/>
    <w:basedOn w:val="1"/>
    <w:next w:val="1"/>
    <w:unhideWhenUsed/>
    <w:uiPriority w:val="39"/>
    <w:pPr>
      <w:spacing w:after="100"/>
      <w:ind w:left="1760"/>
    </w:pPr>
  </w:style>
  <w:style w:type="paragraph" w:styleId="24">
    <w:name w:val="toc 6"/>
    <w:basedOn w:val="1"/>
    <w:next w:val="1"/>
    <w:unhideWhenUsed/>
    <w:uiPriority w:val="39"/>
    <w:pPr>
      <w:spacing w:after="100"/>
      <w:ind w:left="1100"/>
    </w:pPr>
  </w:style>
  <w:style w:type="paragraph" w:styleId="25">
    <w:name w:val="annotation text"/>
    <w:basedOn w:val="1"/>
    <w:link w:val="92"/>
    <w:unhideWhenUsed/>
    <w:qFormat/>
    <w:uiPriority w:val="0"/>
    <w:rPr>
      <w:rFonts w:ascii="Ecofont_Spranq_eco_Sans" w:hAnsi="Ecofont_Spranq_eco_Sans" w:eastAsia="MS Mincho" w:cs="Tahoma"/>
    </w:rPr>
  </w:style>
  <w:style w:type="paragraph" w:styleId="26">
    <w:name w:val="toc 5"/>
    <w:basedOn w:val="1"/>
    <w:next w:val="1"/>
    <w:unhideWhenUsed/>
    <w:uiPriority w:val="39"/>
    <w:pPr>
      <w:spacing w:after="100"/>
      <w:ind w:left="880"/>
    </w:pPr>
  </w:style>
  <w:style w:type="paragraph" w:styleId="27">
    <w:name w:val="Body Text Indent 2"/>
    <w:basedOn w:val="1"/>
    <w:link w:val="113"/>
    <w:qFormat/>
    <w:uiPriority w:val="99"/>
    <w:pPr>
      <w:spacing w:after="120" w:line="480" w:lineRule="auto"/>
      <w:ind w:left="283"/>
    </w:pPr>
  </w:style>
  <w:style w:type="paragraph" w:styleId="28">
    <w:name w:val="table of figures"/>
    <w:basedOn w:val="1"/>
    <w:next w:val="1"/>
    <w:unhideWhenUsed/>
    <w:qFormat/>
    <w:uiPriority w:val="99"/>
  </w:style>
  <w:style w:type="paragraph" w:styleId="29">
    <w:name w:val="Title"/>
    <w:basedOn w:val="1"/>
    <w:next w:val="22"/>
    <w:link w:val="119"/>
    <w:qFormat/>
    <w:uiPriority w:val="0"/>
    <w:pPr>
      <w:spacing w:before="240" w:after="60"/>
      <w:jc w:val="both"/>
      <w:outlineLvl w:val="0"/>
    </w:pPr>
    <w:rPr>
      <w:rFonts w:ascii="Arial" w:hAnsi="Arial" w:eastAsia="SimSun"/>
      <w:b/>
      <w:bCs/>
      <w:sz w:val="22"/>
      <w:szCs w:val="32"/>
    </w:rPr>
  </w:style>
  <w:style w:type="paragraph" w:styleId="30">
    <w:name w:val="endnote text"/>
    <w:basedOn w:val="1"/>
    <w:link w:val="124"/>
    <w:unhideWhenUsed/>
    <w:qFormat/>
    <w:uiPriority w:val="99"/>
    <w:rPr>
      <w:rFonts w:eastAsia="SimSun"/>
    </w:rPr>
  </w:style>
  <w:style w:type="paragraph" w:styleId="31">
    <w:name w:val="Normal (Web)"/>
    <w:basedOn w:val="1"/>
    <w:unhideWhenUsed/>
    <w:qFormat/>
    <w:uiPriority w:val="99"/>
    <w:pPr>
      <w:spacing w:beforeAutospacing="1" w:afterAutospacing="1"/>
    </w:pPr>
    <w:rPr>
      <w:sz w:val="24"/>
      <w:szCs w:val="24"/>
    </w:rPr>
  </w:style>
  <w:style w:type="paragraph" w:styleId="32">
    <w:name w:val="Plain Text"/>
    <w:basedOn w:val="1"/>
    <w:link w:val="80"/>
    <w:qFormat/>
    <w:uiPriority w:val="99"/>
    <w:rPr>
      <w:rFonts w:ascii="Courier New" w:hAnsi="Courier New"/>
    </w:rPr>
  </w:style>
  <w:style w:type="paragraph" w:styleId="33">
    <w:name w:val="toc 4"/>
    <w:basedOn w:val="1"/>
    <w:next w:val="1"/>
    <w:unhideWhenUsed/>
    <w:uiPriority w:val="39"/>
    <w:pPr>
      <w:spacing w:after="100"/>
      <w:ind w:left="660"/>
    </w:pPr>
  </w:style>
  <w:style w:type="paragraph" w:styleId="34">
    <w:name w:val="toc 8"/>
    <w:basedOn w:val="1"/>
    <w:next w:val="1"/>
    <w:unhideWhenUsed/>
    <w:uiPriority w:val="39"/>
    <w:pPr>
      <w:spacing w:after="100"/>
      <w:ind w:left="1540"/>
    </w:pPr>
  </w:style>
  <w:style w:type="paragraph" w:styleId="35">
    <w:name w:val="Body Text 3"/>
    <w:basedOn w:val="1"/>
    <w:link w:val="84"/>
    <w:qFormat/>
    <w:uiPriority w:val="99"/>
    <w:pPr>
      <w:widowControl w:val="0"/>
      <w:spacing w:after="120"/>
    </w:pPr>
    <w:rPr>
      <w:sz w:val="16"/>
      <w:szCs w:val="16"/>
      <w:lang w:val="en-US"/>
    </w:rPr>
  </w:style>
  <w:style w:type="paragraph" w:styleId="36">
    <w:name w:val="Body Text 2"/>
    <w:basedOn w:val="1"/>
    <w:link w:val="115"/>
    <w:qFormat/>
    <w:uiPriority w:val="99"/>
    <w:pPr>
      <w:spacing w:after="120" w:line="480" w:lineRule="auto"/>
    </w:pPr>
  </w:style>
  <w:style w:type="paragraph" w:styleId="37">
    <w:name w:val="header"/>
    <w:basedOn w:val="1"/>
    <w:link w:val="83"/>
    <w:qFormat/>
    <w:uiPriority w:val="99"/>
    <w:pPr>
      <w:widowControl w:val="0"/>
      <w:tabs>
        <w:tab w:val="center" w:pos="4419"/>
        <w:tab w:val="right" w:pos="8838"/>
      </w:tabs>
    </w:pPr>
    <w:rPr>
      <w:lang w:val="en-US"/>
    </w:rPr>
  </w:style>
  <w:style w:type="paragraph" w:styleId="38">
    <w:name w:val="annotation subject"/>
    <w:basedOn w:val="25"/>
    <w:next w:val="25"/>
    <w:link w:val="99"/>
    <w:qFormat/>
    <w:uiPriority w:val="0"/>
    <w:rPr>
      <w:rFonts w:ascii="Times New Roman" w:hAnsi="Times New Roman" w:eastAsia="Times New Roman" w:cs="Times New Roman"/>
      <w:b/>
      <w:bCs/>
    </w:rPr>
  </w:style>
  <w:style w:type="paragraph" w:styleId="39">
    <w:name w:val="footer"/>
    <w:basedOn w:val="1"/>
    <w:link w:val="87"/>
    <w:qFormat/>
    <w:uiPriority w:val="99"/>
    <w:pPr>
      <w:widowControl w:val="0"/>
      <w:tabs>
        <w:tab w:val="center" w:pos="4419"/>
        <w:tab w:val="right" w:pos="8838"/>
      </w:tabs>
    </w:pPr>
    <w:rPr>
      <w:lang w:val="en-US"/>
    </w:rPr>
  </w:style>
  <w:style w:type="paragraph" w:styleId="40">
    <w:name w:val="caption"/>
    <w:basedOn w:val="1"/>
    <w:next w:val="1"/>
    <w:unhideWhenUsed/>
    <w:qFormat/>
    <w:uiPriority w:val="0"/>
    <w:pPr>
      <w:spacing w:after="200"/>
    </w:pPr>
    <w:rPr>
      <w:i/>
      <w:iCs/>
      <w:color w:val="1F497D" w:themeColor="text2"/>
      <w:sz w:val="18"/>
      <w:szCs w:val="18"/>
      <w14:textFill>
        <w14:solidFill>
          <w14:schemeClr w14:val="tx2"/>
        </w14:solidFill>
      </w14:textFill>
    </w:rPr>
  </w:style>
  <w:style w:type="paragraph" w:styleId="41">
    <w:name w:val="toc 7"/>
    <w:basedOn w:val="1"/>
    <w:next w:val="1"/>
    <w:unhideWhenUsed/>
    <w:qFormat/>
    <w:uiPriority w:val="39"/>
    <w:pPr>
      <w:spacing w:after="100"/>
      <w:ind w:left="1320"/>
    </w:pPr>
  </w:style>
  <w:style w:type="paragraph" w:styleId="42">
    <w:name w:val="Body Text Indent 3"/>
    <w:basedOn w:val="1"/>
    <w:link w:val="112"/>
    <w:qFormat/>
    <w:uiPriority w:val="0"/>
    <w:pPr>
      <w:widowControl w:val="0"/>
      <w:ind w:left="1418"/>
      <w:jc w:val="both"/>
    </w:pPr>
    <w:rPr>
      <w:rFonts w:ascii="Arial" w:hAnsi="Arial" w:eastAsia="SimSun"/>
      <w:sz w:val="24"/>
      <w:lang w:val="en-US" w:eastAsia="ar-SA"/>
    </w:rPr>
  </w:style>
  <w:style w:type="paragraph" w:styleId="43">
    <w:name w:val="toc 3"/>
    <w:basedOn w:val="1"/>
    <w:next w:val="1"/>
    <w:unhideWhenUsed/>
    <w:qFormat/>
    <w:uiPriority w:val="39"/>
    <w:pPr>
      <w:spacing w:after="100"/>
      <w:ind w:left="440"/>
    </w:pPr>
  </w:style>
  <w:style w:type="paragraph" w:styleId="44">
    <w:name w:val="Balloon Text"/>
    <w:basedOn w:val="1"/>
    <w:link w:val="114"/>
    <w:semiHidden/>
    <w:qFormat/>
    <w:uiPriority w:val="99"/>
    <w:rPr>
      <w:rFonts w:ascii="Tahoma" w:hAnsi="Tahoma" w:cs="Tahoma"/>
      <w:sz w:val="16"/>
      <w:szCs w:val="16"/>
    </w:rPr>
  </w:style>
  <w:style w:type="paragraph" w:styleId="45">
    <w:name w:val="Subtitle"/>
    <w:basedOn w:val="1"/>
    <w:next w:val="1"/>
    <w:link w:val="66"/>
    <w:qFormat/>
    <w:uiPriority w:val="11"/>
    <w:rPr>
      <w:color w:val="595959"/>
      <w:sz w:val="28"/>
      <w:szCs w:val="28"/>
    </w:rPr>
  </w:style>
  <w:style w:type="paragraph" w:styleId="46">
    <w:name w:val="footnote text"/>
    <w:basedOn w:val="1"/>
    <w:link w:val="88"/>
    <w:qFormat/>
    <w:uiPriority w:val="99"/>
    <w:rPr>
      <w:rFonts w:eastAsia="SimSun"/>
    </w:rPr>
  </w:style>
  <w:style w:type="paragraph" w:styleId="47">
    <w:name w:val="toc 1"/>
    <w:basedOn w:val="1"/>
    <w:next w:val="1"/>
    <w:qFormat/>
    <w:uiPriority w:val="39"/>
    <w:pPr>
      <w:tabs>
        <w:tab w:val="right" w:leader="dot" w:pos="9771"/>
      </w:tabs>
      <w:spacing w:after="80"/>
      <w:jc w:val="center"/>
    </w:pPr>
    <w:rPr>
      <w:rFonts w:eastAsia="SimSun"/>
      <w:sz w:val="22"/>
      <w:szCs w:val="22"/>
    </w:rPr>
  </w:style>
  <w:style w:type="paragraph" w:styleId="48">
    <w:name w:val="Body Text Indent"/>
    <w:basedOn w:val="1"/>
    <w:link w:val="111"/>
    <w:qFormat/>
    <w:uiPriority w:val="0"/>
    <w:pPr>
      <w:spacing w:after="120"/>
      <w:ind w:left="283"/>
    </w:pPr>
    <w:rPr>
      <w:sz w:val="24"/>
      <w:szCs w:val="24"/>
      <w:lang w:val="en-US"/>
    </w:rPr>
  </w:style>
  <w:style w:type="table" w:styleId="49">
    <w:name w:val="Table Grid"/>
    <w:basedOn w:val="12"/>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customStyle="1" w:styleId="50">
    <w:name w:val="Âncora da nota de fim"/>
    <w:uiPriority w:val="0"/>
    <w:rPr>
      <w:rFonts w:cs="Times New Roman"/>
      <w:vertAlign w:val="superscript"/>
    </w:rPr>
  </w:style>
  <w:style w:type="character" w:customStyle="1" w:styleId="51">
    <w:name w:val="Endnote Characters"/>
    <w:unhideWhenUsed/>
    <w:qFormat/>
    <w:uiPriority w:val="99"/>
    <w:rPr>
      <w:rFonts w:cs="Times New Roman"/>
      <w:vertAlign w:val="superscript"/>
    </w:rPr>
  </w:style>
  <w:style w:type="character" w:customStyle="1" w:styleId="52">
    <w:name w:val="Link da internet visitado"/>
    <w:unhideWhenUsed/>
    <w:qFormat/>
    <w:uiPriority w:val="0"/>
    <w:rPr>
      <w:color w:val="954F72"/>
      <w:u w:val="single"/>
    </w:rPr>
  </w:style>
  <w:style w:type="character" w:customStyle="1" w:styleId="53">
    <w:name w:val="Âncora da nota de rodapé"/>
    <w:uiPriority w:val="0"/>
    <w:rPr>
      <w:rFonts w:cs="Times New Roman"/>
      <w:vertAlign w:val="superscript"/>
    </w:rPr>
  </w:style>
  <w:style w:type="character" w:customStyle="1" w:styleId="54">
    <w:name w:val="Footnote Characters"/>
    <w:qFormat/>
    <w:uiPriority w:val="99"/>
    <w:rPr>
      <w:rFonts w:cs="Times New Roman"/>
      <w:vertAlign w:val="superscript"/>
    </w:rPr>
  </w:style>
  <w:style w:type="character" w:customStyle="1" w:styleId="55">
    <w:name w:val="Link da Internet"/>
    <w:uiPriority w:val="99"/>
    <w:rPr>
      <w:color w:val="0000FF"/>
      <w:u w:val="single"/>
    </w:rPr>
  </w:style>
  <w:style w:type="character" w:customStyle="1" w:styleId="56">
    <w:name w:val="Heading 1 Char"/>
    <w:basedOn w:val="11"/>
    <w:qFormat/>
    <w:uiPriority w:val="9"/>
    <w:rPr>
      <w:rFonts w:ascii="Arial" w:hAnsi="Arial" w:eastAsia="Arial" w:cs="Arial"/>
      <w:color w:val="376092" w:themeColor="accent1" w:themeShade="BF"/>
      <w:sz w:val="40"/>
      <w:szCs w:val="40"/>
    </w:rPr>
  </w:style>
  <w:style w:type="character" w:customStyle="1" w:styleId="57">
    <w:name w:val="Heading 2 Char"/>
    <w:basedOn w:val="11"/>
    <w:qFormat/>
    <w:uiPriority w:val="9"/>
    <w:rPr>
      <w:rFonts w:ascii="Arial" w:hAnsi="Arial" w:eastAsia="Arial" w:cs="Arial"/>
      <w:color w:val="376092" w:themeColor="accent1" w:themeShade="BF"/>
      <w:sz w:val="32"/>
      <w:szCs w:val="32"/>
    </w:rPr>
  </w:style>
  <w:style w:type="character" w:customStyle="1" w:styleId="58">
    <w:name w:val="Heading 3 Char"/>
    <w:basedOn w:val="11"/>
    <w:qFormat/>
    <w:uiPriority w:val="9"/>
    <w:rPr>
      <w:rFonts w:ascii="Arial" w:hAnsi="Arial" w:eastAsia="Arial" w:cs="Arial"/>
      <w:color w:val="376092" w:themeColor="accent1" w:themeShade="BF"/>
      <w:sz w:val="28"/>
      <w:szCs w:val="28"/>
    </w:rPr>
  </w:style>
  <w:style w:type="character" w:customStyle="1" w:styleId="59">
    <w:name w:val="Heading 4 Char"/>
    <w:basedOn w:val="11"/>
    <w:qFormat/>
    <w:uiPriority w:val="9"/>
    <w:rPr>
      <w:rFonts w:ascii="Arial" w:hAnsi="Arial" w:eastAsia="Arial" w:cs="Arial"/>
      <w:i/>
      <w:iCs/>
      <w:color w:val="376092" w:themeColor="accent1" w:themeShade="BF"/>
    </w:rPr>
  </w:style>
  <w:style w:type="character" w:customStyle="1" w:styleId="60">
    <w:name w:val="Heading 5 Char"/>
    <w:basedOn w:val="11"/>
    <w:qFormat/>
    <w:uiPriority w:val="9"/>
    <w:rPr>
      <w:rFonts w:ascii="Arial" w:hAnsi="Arial" w:eastAsia="Arial" w:cs="Arial"/>
      <w:color w:val="376092" w:themeColor="accent1" w:themeShade="BF"/>
    </w:rPr>
  </w:style>
  <w:style w:type="character" w:customStyle="1" w:styleId="61">
    <w:name w:val="Título 6 Char"/>
    <w:basedOn w:val="11"/>
    <w:link w:val="7"/>
    <w:qFormat/>
    <w:uiPriority w:val="9"/>
    <w:rPr>
      <w:rFonts w:ascii="Arial" w:hAnsi="Arial" w:eastAsia="Arial" w:cs="Arial"/>
      <w:i/>
      <w:iCs/>
      <w:color w:val="595959" w:themeColor="text1" w:themeTint="A6"/>
      <w14:textFill>
        <w14:solidFill>
          <w14:schemeClr w14:val="tx1">
            <w14:lumMod w14:val="65000"/>
            <w14:lumOff w14:val="35000"/>
          </w14:schemeClr>
        </w14:solidFill>
      </w14:textFill>
    </w:rPr>
  </w:style>
  <w:style w:type="character" w:customStyle="1" w:styleId="62">
    <w:name w:val="Título 7 Char"/>
    <w:basedOn w:val="11"/>
    <w:link w:val="8"/>
    <w:qFormat/>
    <w:uiPriority w:val="9"/>
    <w:rPr>
      <w:rFonts w:ascii="Arial" w:hAnsi="Arial" w:eastAsia="Arial" w:cs="Arial"/>
      <w:color w:val="595959" w:themeColor="text1" w:themeTint="A6"/>
      <w14:textFill>
        <w14:solidFill>
          <w14:schemeClr w14:val="tx1">
            <w14:lumMod w14:val="65000"/>
            <w14:lumOff w14:val="35000"/>
          </w14:schemeClr>
        </w14:solidFill>
      </w14:textFill>
    </w:rPr>
  </w:style>
  <w:style w:type="character" w:customStyle="1" w:styleId="63">
    <w:name w:val="Título 8 Char"/>
    <w:basedOn w:val="11"/>
    <w:link w:val="9"/>
    <w:qFormat/>
    <w:uiPriority w:val="9"/>
    <w:rPr>
      <w:rFonts w:ascii="Arial" w:hAnsi="Arial" w:eastAsia="Arial" w:cs="Arial"/>
      <w:i/>
      <w:iCs/>
      <w:color w:val="262626" w:themeColor="text1" w:themeTint="D9"/>
      <w14:textFill>
        <w14:solidFill>
          <w14:schemeClr w14:val="tx1">
            <w14:lumMod w14:val="85000"/>
            <w14:lumOff w14:val="15000"/>
          </w14:schemeClr>
        </w14:solidFill>
      </w14:textFill>
    </w:rPr>
  </w:style>
  <w:style w:type="character" w:customStyle="1" w:styleId="64">
    <w:name w:val="Título 9 Char"/>
    <w:basedOn w:val="11"/>
    <w:link w:val="10"/>
    <w:qFormat/>
    <w:uiPriority w:val="9"/>
    <w:rPr>
      <w:rFonts w:ascii="Arial" w:hAnsi="Arial" w:eastAsia="Arial" w:cs="Arial"/>
      <w:i/>
      <w:iCs/>
      <w:color w:val="262626" w:themeColor="text1" w:themeTint="D9"/>
      <w14:textFill>
        <w14:solidFill>
          <w14:schemeClr w14:val="tx1">
            <w14:lumMod w14:val="85000"/>
            <w14:lumOff w14:val="15000"/>
          </w14:schemeClr>
        </w14:solidFill>
      </w14:textFill>
    </w:rPr>
  </w:style>
  <w:style w:type="character" w:customStyle="1" w:styleId="65">
    <w:name w:val="Title Char"/>
    <w:basedOn w:val="11"/>
    <w:qFormat/>
    <w:uiPriority w:val="10"/>
    <w:rPr>
      <w:rFonts w:ascii="Arial" w:hAnsi="Arial" w:eastAsia="Arial" w:cs="Arial"/>
      <w:spacing w:val="-10"/>
      <w:sz w:val="56"/>
      <w:szCs w:val="56"/>
    </w:rPr>
  </w:style>
  <w:style w:type="character" w:customStyle="1" w:styleId="66">
    <w:name w:val="Subtítulo Char"/>
    <w:basedOn w:val="11"/>
    <w:link w:val="45"/>
    <w:qFormat/>
    <w:uiPriority w:val="11"/>
    <w:rPr>
      <w:color w:val="595959" w:themeColor="text1" w:themeTint="A6"/>
      <w:spacing w:val="15"/>
      <w:sz w:val="28"/>
      <w:szCs w:val="28"/>
      <w14:textFill>
        <w14:solidFill>
          <w14:schemeClr w14:val="tx1">
            <w14:lumMod w14:val="65000"/>
            <w14:lumOff w14:val="35000"/>
          </w14:schemeClr>
        </w14:solidFill>
      </w14:textFill>
    </w:rPr>
  </w:style>
  <w:style w:type="character" w:customStyle="1" w:styleId="67">
    <w:name w:val="Quote Char"/>
    <w:basedOn w:val="11"/>
    <w:qFormat/>
    <w:uiPriority w:val="29"/>
    <w:rPr>
      <w:i/>
      <w:iCs/>
      <w:color w:val="404040" w:themeColor="text1" w:themeTint="BF"/>
      <w14:textFill>
        <w14:solidFill>
          <w14:schemeClr w14:val="tx1">
            <w14:lumMod w14:val="75000"/>
            <w14:lumOff w14:val="25000"/>
          </w14:schemeClr>
        </w14:solidFill>
      </w14:textFill>
    </w:rPr>
  </w:style>
  <w:style w:type="character" w:customStyle="1" w:styleId="68">
    <w:name w:val="Ênfase Intensa1"/>
    <w:basedOn w:val="11"/>
    <w:qFormat/>
    <w:uiPriority w:val="21"/>
    <w:rPr>
      <w:i/>
      <w:iCs/>
      <w:color w:val="376092" w:themeColor="accent1" w:themeShade="BF"/>
    </w:rPr>
  </w:style>
  <w:style w:type="character" w:customStyle="1" w:styleId="69">
    <w:name w:val="Citação Intensa Char"/>
    <w:basedOn w:val="11"/>
    <w:link w:val="70"/>
    <w:qFormat/>
    <w:uiPriority w:val="30"/>
    <w:rPr>
      <w:i/>
      <w:iCs/>
      <w:color w:val="376092" w:themeColor="accent1" w:themeShade="BF"/>
    </w:rPr>
  </w:style>
  <w:style w:type="paragraph" w:styleId="70">
    <w:name w:val="Intense Quote"/>
    <w:basedOn w:val="1"/>
    <w:next w:val="1"/>
    <w:link w:val="69"/>
    <w:qFormat/>
    <w:uiPriority w:val="30"/>
    <w:pPr>
      <w:pBdr>
        <w:top w:val="single" w:color="365F91" w:sz="4" w:space="10"/>
        <w:bottom w:val="single" w:color="365F91" w:sz="4" w:space="10"/>
      </w:pBdr>
      <w:spacing w:before="360" w:after="360"/>
      <w:ind w:left="864" w:right="864"/>
      <w:jc w:val="center"/>
    </w:pPr>
    <w:rPr>
      <w:i/>
      <w:iCs/>
      <w:color w:val="376092" w:themeColor="accent1" w:themeShade="BF"/>
    </w:rPr>
  </w:style>
  <w:style w:type="character" w:customStyle="1" w:styleId="71">
    <w:name w:val="Referência Intensa1"/>
    <w:basedOn w:val="11"/>
    <w:qFormat/>
    <w:uiPriority w:val="32"/>
    <w:rPr>
      <w:b/>
      <w:bCs/>
      <w:smallCaps/>
      <w:color w:val="376092" w:themeColor="accent1" w:themeShade="BF"/>
      <w:spacing w:val="5"/>
    </w:rPr>
  </w:style>
  <w:style w:type="character" w:customStyle="1" w:styleId="72">
    <w:name w:val="Ênfase Sutil1"/>
    <w:basedOn w:val="11"/>
    <w:qFormat/>
    <w:uiPriority w:val="19"/>
    <w:rPr>
      <w:i/>
      <w:iCs/>
      <w:color w:val="404040" w:themeColor="text1" w:themeTint="BF"/>
      <w14:textFill>
        <w14:solidFill>
          <w14:schemeClr w14:val="tx1">
            <w14:lumMod w14:val="75000"/>
            <w14:lumOff w14:val="25000"/>
          </w14:schemeClr>
        </w14:solidFill>
      </w14:textFill>
    </w:rPr>
  </w:style>
  <w:style w:type="character" w:customStyle="1" w:styleId="73">
    <w:name w:val="Referência Sutil1"/>
    <w:basedOn w:val="11"/>
    <w:qFormat/>
    <w:uiPriority w:val="31"/>
    <w:rPr>
      <w:smallCaps/>
      <w:color w:val="595959" w:themeColor="text1" w:themeTint="A6"/>
      <w14:textFill>
        <w14:solidFill>
          <w14:schemeClr w14:val="tx1">
            <w14:lumMod w14:val="65000"/>
            <w14:lumOff w14:val="35000"/>
          </w14:schemeClr>
        </w14:solidFill>
      </w14:textFill>
    </w:rPr>
  </w:style>
  <w:style w:type="character" w:customStyle="1" w:styleId="74">
    <w:name w:val="Título do Livro1"/>
    <w:basedOn w:val="11"/>
    <w:qFormat/>
    <w:uiPriority w:val="33"/>
    <w:rPr>
      <w:b/>
      <w:bCs/>
      <w:i/>
      <w:iCs/>
      <w:spacing w:val="5"/>
    </w:rPr>
  </w:style>
  <w:style w:type="character" w:customStyle="1" w:styleId="75">
    <w:name w:val="Header Char"/>
    <w:basedOn w:val="11"/>
    <w:qFormat/>
    <w:uiPriority w:val="99"/>
  </w:style>
  <w:style w:type="character" w:customStyle="1" w:styleId="76">
    <w:name w:val="Footer Char"/>
    <w:basedOn w:val="11"/>
    <w:qFormat/>
    <w:uiPriority w:val="99"/>
  </w:style>
  <w:style w:type="character" w:customStyle="1" w:styleId="77">
    <w:name w:val="Footnote Text Char"/>
    <w:basedOn w:val="11"/>
    <w:semiHidden/>
    <w:qFormat/>
    <w:uiPriority w:val="99"/>
    <w:rPr>
      <w:sz w:val="20"/>
      <w:szCs w:val="20"/>
    </w:rPr>
  </w:style>
  <w:style w:type="character" w:customStyle="1" w:styleId="78">
    <w:name w:val="Endnote Text Char"/>
    <w:basedOn w:val="11"/>
    <w:semiHidden/>
    <w:qFormat/>
    <w:uiPriority w:val="99"/>
    <w:rPr>
      <w:sz w:val="20"/>
      <w:szCs w:val="20"/>
    </w:rPr>
  </w:style>
  <w:style w:type="character" w:customStyle="1" w:styleId="79">
    <w:name w:val="Título 2 Char"/>
    <w:link w:val="3"/>
    <w:qFormat/>
    <w:uiPriority w:val="9"/>
    <w:rPr>
      <w:rFonts w:ascii="Arial" w:hAnsi="Arial" w:eastAsia="Times New Roman"/>
      <w:b/>
      <w:color w:val="000000"/>
      <w:sz w:val="22"/>
    </w:rPr>
  </w:style>
  <w:style w:type="character" w:customStyle="1" w:styleId="80">
    <w:name w:val="Texto sem Formatação Char"/>
    <w:link w:val="32"/>
    <w:qFormat/>
    <w:uiPriority w:val="99"/>
    <w:rPr>
      <w:rFonts w:ascii="Courier New" w:hAnsi="Courier New" w:eastAsia="Times New Roman"/>
    </w:rPr>
  </w:style>
  <w:style w:type="character" w:customStyle="1" w:styleId="81">
    <w:name w:val="paginarotulo"/>
    <w:basedOn w:val="11"/>
    <w:qFormat/>
    <w:uiPriority w:val="0"/>
  </w:style>
  <w:style w:type="character" w:customStyle="1" w:styleId="82">
    <w:name w:val="apple-converted-space"/>
    <w:qFormat/>
    <w:uiPriority w:val="0"/>
  </w:style>
  <w:style w:type="character" w:customStyle="1" w:styleId="83">
    <w:name w:val="Cabeçalho Char"/>
    <w:link w:val="37"/>
    <w:qFormat/>
    <w:uiPriority w:val="99"/>
    <w:rPr>
      <w:rFonts w:eastAsia="Times New Roman"/>
      <w:lang w:val="en-US"/>
    </w:rPr>
  </w:style>
  <w:style w:type="character" w:customStyle="1" w:styleId="84">
    <w:name w:val="Corpo de texto 3 Char"/>
    <w:link w:val="35"/>
    <w:qFormat/>
    <w:uiPriority w:val="99"/>
    <w:rPr>
      <w:rFonts w:eastAsia="Times New Roman"/>
      <w:sz w:val="16"/>
      <w:szCs w:val="16"/>
      <w:lang w:val="en-US"/>
    </w:rPr>
  </w:style>
  <w:style w:type="character" w:customStyle="1" w:styleId="85">
    <w:name w:val="Parágrafo da Lista Char"/>
    <w:link w:val="86"/>
    <w:qFormat/>
    <w:uiPriority w:val="34"/>
    <w:rPr>
      <w:rFonts w:ascii="Ecofont_Spranq_eco_Sans" w:hAnsi="Ecofont_Spranq_eco_Sans" w:eastAsia="Times New Roman" w:cs="Tahoma"/>
      <w:sz w:val="24"/>
      <w:szCs w:val="24"/>
    </w:rPr>
  </w:style>
  <w:style w:type="paragraph" w:styleId="86">
    <w:name w:val="List Paragraph"/>
    <w:basedOn w:val="1"/>
    <w:link w:val="85"/>
    <w:qFormat/>
    <w:uiPriority w:val="34"/>
    <w:pPr>
      <w:ind w:left="720"/>
      <w:contextualSpacing/>
    </w:pPr>
    <w:rPr>
      <w:rFonts w:ascii="Ecofont_Spranq_eco_Sans" w:hAnsi="Ecofont_Spranq_eco_Sans" w:cs="Tahoma"/>
      <w:sz w:val="24"/>
      <w:szCs w:val="24"/>
    </w:rPr>
  </w:style>
  <w:style w:type="character" w:customStyle="1" w:styleId="87">
    <w:name w:val="Rodapé Char"/>
    <w:link w:val="39"/>
    <w:qFormat/>
    <w:uiPriority w:val="99"/>
    <w:rPr>
      <w:rFonts w:eastAsia="Times New Roman"/>
      <w:lang w:val="en-US"/>
    </w:rPr>
  </w:style>
  <w:style w:type="character" w:customStyle="1" w:styleId="88">
    <w:name w:val="Texto de nota de rodapé Char"/>
    <w:basedOn w:val="11"/>
    <w:link w:val="46"/>
    <w:qFormat/>
    <w:uiPriority w:val="99"/>
  </w:style>
  <w:style w:type="character" w:customStyle="1" w:styleId="89">
    <w:name w:val="citação 2 Char"/>
    <w:qFormat/>
    <w:uiPriority w:val="0"/>
    <w:rPr>
      <w:rFonts w:ascii="Arial" w:hAnsi="Arial" w:eastAsia="Calibri" w:cs="Tahoma"/>
      <w:i/>
      <w:iCs/>
      <w:color w:val="000000"/>
      <w:shd w:val="clear" w:color="auto" w:fill="FFFFCC"/>
      <w:lang w:eastAsia="en-US"/>
    </w:rPr>
  </w:style>
  <w:style w:type="character" w:customStyle="1" w:styleId="90">
    <w:name w:val="Citação Char"/>
    <w:link w:val="91"/>
    <w:qFormat/>
    <w:uiPriority w:val="29"/>
    <w:rPr>
      <w:rFonts w:eastAsia="Times New Roman"/>
      <w:i/>
      <w:iCs/>
      <w:color w:val="404040"/>
    </w:rPr>
  </w:style>
  <w:style w:type="paragraph" w:styleId="91">
    <w:name w:val="Quote"/>
    <w:basedOn w:val="1"/>
    <w:next w:val="1"/>
    <w:link w:val="90"/>
    <w:qFormat/>
    <w:uiPriority w:val="29"/>
    <w:pPr>
      <w:spacing w:before="200" w:after="160"/>
      <w:ind w:left="864" w:right="864"/>
      <w:jc w:val="center"/>
    </w:pPr>
    <w:rPr>
      <w:i/>
      <w:iCs/>
      <w:color w:val="404040"/>
    </w:rPr>
  </w:style>
  <w:style w:type="character" w:customStyle="1" w:styleId="92">
    <w:name w:val="Texto de comentário Char"/>
    <w:link w:val="25"/>
    <w:qFormat/>
    <w:uiPriority w:val="0"/>
    <w:rPr>
      <w:rFonts w:ascii="Ecofont_Spranq_eco_Sans" w:hAnsi="Ecofont_Spranq_eco_Sans" w:eastAsia="MS Mincho" w:cs="Tahoma"/>
    </w:rPr>
  </w:style>
  <w:style w:type="character" w:customStyle="1" w:styleId="93">
    <w:name w:val="Nivel 2 Char"/>
    <w:link w:val="94"/>
    <w:qFormat/>
    <w:uiPriority w:val="0"/>
    <w:rPr>
      <w:rFonts w:ascii="Arial" w:hAnsi="Arial" w:eastAsia="MS Mincho" w:cs="Arial"/>
      <w:color w:val="000000"/>
    </w:rPr>
  </w:style>
  <w:style w:type="paragraph" w:customStyle="1" w:styleId="94">
    <w:name w:val="Nivel 2"/>
    <w:basedOn w:val="1"/>
    <w:link w:val="93"/>
    <w:qFormat/>
    <w:uiPriority w:val="0"/>
    <w:pPr>
      <w:spacing w:before="120" w:after="120" w:line="276" w:lineRule="auto"/>
      <w:jc w:val="both"/>
    </w:pPr>
    <w:rPr>
      <w:rFonts w:ascii="Arial" w:hAnsi="Arial" w:eastAsia="MS Mincho" w:cs="Arial"/>
      <w:color w:val="000000"/>
    </w:rPr>
  </w:style>
  <w:style w:type="character" w:customStyle="1" w:styleId="95">
    <w:name w:val="Nível 2 -Red Char"/>
    <w:qFormat/>
    <w:uiPriority w:val="0"/>
    <w:rPr>
      <w:rFonts w:ascii="Arial" w:hAnsi="Arial" w:eastAsia="MS Mincho" w:cs="Arial"/>
      <w:i/>
      <w:iCs/>
      <w:color w:val="FF0000"/>
    </w:rPr>
  </w:style>
  <w:style w:type="character" w:customStyle="1" w:styleId="96">
    <w:name w:val="Nivel 3 Char"/>
    <w:link w:val="97"/>
    <w:qFormat/>
    <w:uiPriority w:val="0"/>
    <w:rPr>
      <w:rFonts w:ascii="Arial" w:hAnsi="Arial" w:eastAsia="MS Mincho" w:cs="Arial"/>
      <w:color w:val="000000"/>
    </w:rPr>
  </w:style>
  <w:style w:type="paragraph" w:customStyle="1" w:styleId="97">
    <w:name w:val="Nivel 3"/>
    <w:basedOn w:val="1"/>
    <w:link w:val="96"/>
    <w:qFormat/>
    <w:uiPriority w:val="0"/>
    <w:pPr>
      <w:spacing w:before="120" w:after="120" w:line="276" w:lineRule="auto"/>
      <w:ind w:left="284"/>
      <w:jc w:val="both"/>
    </w:pPr>
    <w:rPr>
      <w:rFonts w:ascii="Arial" w:hAnsi="Arial" w:eastAsia="MS Mincho" w:cs="Arial"/>
      <w:color w:val="000000"/>
    </w:rPr>
  </w:style>
  <w:style w:type="character" w:customStyle="1" w:styleId="98">
    <w:name w:val="Nível 3-R Char"/>
    <w:qFormat/>
    <w:uiPriority w:val="0"/>
    <w:rPr>
      <w:rFonts w:ascii="Arial" w:hAnsi="Arial" w:eastAsia="MS Mincho" w:cs="Arial"/>
      <w:i/>
      <w:iCs/>
      <w:color w:val="FF0000"/>
    </w:rPr>
  </w:style>
  <w:style w:type="character" w:customStyle="1" w:styleId="99">
    <w:name w:val="Assunto do comentário Char"/>
    <w:link w:val="38"/>
    <w:qFormat/>
    <w:uiPriority w:val="0"/>
    <w:rPr>
      <w:rFonts w:ascii="Ecofont_Spranq_eco_Sans" w:hAnsi="Ecofont_Spranq_eco_Sans" w:eastAsia="Times New Roman" w:cs="Tahoma"/>
      <w:b/>
      <w:bCs/>
    </w:rPr>
  </w:style>
  <w:style w:type="character" w:customStyle="1" w:styleId="100">
    <w:name w:val="Nivel 01 Char"/>
    <w:link w:val="101"/>
    <w:qFormat/>
    <w:uiPriority w:val="0"/>
    <w:rPr>
      <w:rFonts w:ascii="Ecofont_Spranq_eco_Sans" w:hAnsi="Ecofont_Spranq_eco_Sans" w:eastAsia="MS Gothic"/>
      <w:b/>
      <w:bCs/>
      <w:color w:val="000000"/>
    </w:rPr>
  </w:style>
  <w:style w:type="paragraph" w:customStyle="1" w:styleId="101">
    <w:name w:val="Nivel 01"/>
    <w:basedOn w:val="2"/>
    <w:next w:val="1"/>
    <w:link w:val="100"/>
    <w:qFormat/>
    <w:uiPriority w:val="0"/>
    <w:pPr>
      <w:keepLines/>
      <w:tabs>
        <w:tab w:val="left" w:pos="567"/>
      </w:tabs>
      <w:spacing w:after="0"/>
      <w:ind w:left="720"/>
      <w:jc w:val="both"/>
      <w:outlineLvl w:val="9"/>
    </w:pPr>
    <w:rPr>
      <w:rFonts w:ascii="Ecofont_Spranq_eco_Sans" w:hAnsi="Ecofont_Spranq_eco_Sans" w:eastAsia="MS Gothic" w:cs="Times New Roman"/>
      <w:color w:val="000000"/>
      <w:sz w:val="20"/>
      <w:szCs w:val="20"/>
      <w:lang w:val="pt-BR"/>
    </w:rPr>
  </w:style>
  <w:style w:type="character" w:customStyle="1" w:styleId="102">
    <w:name w:val="normaltextrun"/>
    <w:qFormat/>
    <w:uiPriority w:val="0"/>
  </w:style>
  <w:style w:type="character" w:customStyle="1" w:styleId="103">
    <w:name w:val="eop"/>
    <w:qFormat/>
    <w:uiPriority w:val="0"/>
  </w:style>
  <w:style w:type="character" w:customStyle="1" w:styleId="104">
    <w:name w:val="Nivel 4 Char"/>
    <w:link w:val="105"/>
    <w:qFormat/>
    <w:uiPriority w:val="0"/>
    <w:rPr>
      <w:rFonts w:ascii="Arial" w:hAnsi="Arial" w:eastAsia="MS Mincho" w:cs="Arial"/>
    </w:rPr>
  </w:style>
  <w:style w:type="paragraph" w:customStyle="1" w:styleId="105">
    <w:name w:val="Nivel 4"/>
    <w:basedOn w:val="97"/>
    <w:link w:val="104"/>
    <w:qFormat/>
    <w:uiPriority w:val="0"/>
    <w:pPr>
      <w:ind w:left="567"/>
    </w:pPr>
    <w:rPr>
      <w:color w:val="auto"/>
    </w:rPr>
  </w:style>
  <w:style w:type="character" w:customStyle="1" w:styleId="106">
    <w:name w:val="Título 1 Char"/>
    <w:link w:val="2"/>
    <w:qFormat/>
    <w:uiPriority w:val="9"/>
    <w:rPr>
      <w:rFonts w:ascii="Arial" w:hAnsi="Arial" w:eastAsia="Times New Roman" w:cs="Arial"/>
      <w:b/>
      <w:bCs/>
      <w:sz w:val="32"/>
      <w:szCs w:val="32"/>
      <w:lang w:val="en-US"/>
    </w:rPr>
  </w:style>
  <w:style w:type="character" w:customStyle="1" w:styleId="107">
    <w:name w:val="Título 3 Char"/>
    <w:link w:val="4"/>
    <w:qFormat/>
    <w:uiPriority w:val="9"/>
    <w:rPr>
      <w:rFonts w:ascii="Arial" w:hAnsi="Arial" w:eastAsia="Times New Roman" w:cs="Arial"/>
      <w:b/>
      <w:bCs/>
      <w:sz w:val="26"/>
      <w:szCs w:val="26"/>
    </w:rPr>
  </w:style>
  <w:style w:type="character" w:customStyle="1" w:styleId="108">
    <w:name w:val="Título 4 Char"/>
    <w:link w:val="5"/>
    <w:qFormat/>
    <w:uiPriority w:val="9"/>
    <w:rPr>
      <w:rFonts w:eastAsia="Times New Roman"/>
      <w:b/>
      <w:bCs/>
      <w:sz w:val="28"/>
      <w:szCs w:val="28"/>
    </w:rPr>
  </w:style>
  <w:style w:type="character" w:customStyle="1" w:styleId="109">
    <w:name w:val="Título 5 Char"/>
    <w:link w:val="6"/>
    <w:qFormat/>
    <w:uiPriority w:val="9"/>
    <w:rPr>
      <w:rFonts w:eastAsia="Times New Roman"/>
      <w:b/>
      <w:bCs/>
      <w:i/>
      <w:iCs/>
      <w:sz w:val="26"/>
      <w:szCs w:val="26"/>
    </w:rPr>
  </w:style>
  <w:style w:type="character" w:customStyle="1" w:styleId="110">
    <w:name w:val="Corpo de texto Char"/>
    <w:link w:val="22"/>
    <w:qFormat/>
    <w:uiPriority w:val="99"/>
    <w:rPr>
      <w:rFonts w:eastAsia="Times New Roman"/>
    </w:rPr>
  </w:style>
  <w:style w:type="character" w:customStyle="1" w:styleId="111">
    <w:name w:val="Recuo de corpo de texto Char"/>
    <w:link w:val="48"/>
    <w:qFormat/>
    <w:uiPriority w:val="0"/>
    <w:rPr>
      <w:rFonts w:eastAsia="Times New Roman"/>
      <w:sz w:val="24"/>
      <w:szCs w:val="24"/>
      <w:lang w:val="en-US"/>
    </w:rPr>
  </w:style>
  <w:style w:type="character" w:customStyle="1" w:styleId="112">
    <w:name w:val="Recuo de corpo de texto 3 Char"/>
    <w:link w:val="42"/>
    <w:qFormat/>
    <w:uiPriority w:val="99"/>
    <w:rPr>
      <w:rFonts w:ascii="Arial" w:hAnsi="Arial"/>
      <w:sz w:val="24"/>
      <w:lang w:val="en-US" w:eastAsia="ar-SA"/>
    </w:rPr>
  </w:style>
  <w:style w:type="character" w:customStyle="1" w:styleId="113">
    <w:name w:val="Recuo de corpo de texto 2 Char"/>
    <w:link w:val="27"/>
    <w:qFormat/>
    <w:uiPriority w:val="99"/>
    <w:rPr>
      <w:rFonts w:eastAsia="Times New Roman"/>
    </w:rPr>
  </w:style>
  <w:style w:type="character" w:customStyle="1" w:styleId="114">
    <w:name w:val="Texto de balão Char"/>
    <w:link w:val="44"/>
    <w:semiHidden/>
    <w:qFormat/>
    <w:uiPriority w:val="99"/>
    <w:rPr>
      <w:rFonts w:ascii="Tahoma" w:hAnsi="Tahoma" w:eastAsia="Times New Roman" w:cs="Tahoma"/>
      <w:sz w:val="16"/>
      <w:szCs w:val="16"/>
    </w:rPr>
  </w:style>
  <w:style w:type="character" w:customStyle="1" w:styleId="115">
    <w:name w:val="Corpo de texto 2 Char"/>
    <w:link w:val="36"/>
    <w:qFormat/>
    <w:uiPriority w:val="99"/>
    <w:rPr>
      <w:rFonts w:eastAsia="Times New Roman"/>
    </w:rPr>
  </w:style>
  <w:style w:type="character" w:customStyle="1" w:styleId="116">
    <w:name w:val="lrzxr"/>
    <w:qFormat/>
    <w:uiPriority w:val="0"/>
  </w:style>
  <w:style w:type="character" w:customStyle="1" w:styleId="117">
    <w:name w:val="theme-text-color-4-3"/>
    <w:qFormat/>
    <w:uiPriority w:val="0"/>
  </w:style>
  <w:style w:type="character" w:customStyle="1" w:styleId="118">
    <w:name w:val="Título Char"/>
    <w:qFormat/>
    <w:uiPriority w:val="0"/>
    <w:rPr>
      <w:rFonts w:ascii="Calibri Light" w:hAnsi="Calibri Light" w:eastAsia="Times New Roman" w:cs="Times New Roman"/>
      <w:b/>
      <w:bCs/>
      <w:sz w:val="32"/>
      <w:szCs w:val="32"/>
    </w:rPr>
  </w:style>
  <w:style w:type="character" w:customStyle="1" w:styleId="119">
    <w:name w:val="Título Char1"/>
    <w:link w:val="29"/>
    <w:qFormat/>
    <w:uiPriority w:val="10"/>
    <w:rPr>
      <w:rFonts w:ascii="Arial" w:hAnsi="Arial"/>
      <w:b/>
      <w:bCs/>
      <w:sz w:val="22"/>
      <w:szCs w:val="32"/>
    </w:rPr>
  </w:style>
  <w:style w:type="character" w:customStyle="1" w:styleId="120">
    <w:name w:val="Hyperlink2"/>
    <w:qFormat/>
    <w:uiPriority w:val="0"/>
    <w:rPr>
      <w:rFonts w:cs="Times New Roman"/>
      <w:color w:val="0000FF"/>
      <w:u w:val="single"/>
    </w:rPr>
  </w:style>
  <w:style w:type="character" w:customStyle="1" w:styleId="121">
    <w:name w:val="vuuxrf"/>
    <w:qFormat/>
    <w:uiPriority w:val="0"/>
  </w:style>
  <w:style w:type="character" w:customStyle="1" w:styleId="122">
    <w:name w:val="ylgvce"/>
    <w:qFormat/>
    <w:uiPriority w:val="0"/>
  </w:style>
  <w:style w:type="character" w:customStyle="1" w:styleId="123">
    <w:name w:val="Fonte parág. padrão6"/>
    <w:qFormat/>
    <w:uiPriority w:val="0"/>
  </w:style>
  <w:style w:type="character" w:customStyle="1" w:styleId="124">
    <w:name w:val="Texto de nota de fim Char"/>
    <w:basedOn w:val="11"/>
    <w:link w:val="30"/>
    <w:qFormat/>
    <w:uiPriority w:val="99"/>
  </w:style>
  <w:style w:type="character" w:customStyle="1" w:styleId="125">
    <w:name w:val="st"/>
    <w:qFormat/>
    <w:uiPriority w:val="0"/>
  </w:style>
  <w:style w:type="character" w:customStyle="1" w:styleId="126">
    <w:name w:val="tex3"/>
    <w:qFormat/>
    <w:uiPriority w:val="0"/>
  </w:style>
  <w:style w:type="character" w:customStyle="1" w:styleId="127">
    <w:name w:val="spellingerror"/>
    <w:qFormat/>
    <w:uiPriority w:val="0"/>
  </w:style>
  <w:style w:type="character" w:customStyle="1" w:styleId="128">
    <w:name w:val="Fonte parág. padrão1"/>
    <w:qFormat/>
    <w:uiPriority w:val="0"/>
  </w:style>
  <w:style w:type="character" w:customStyle="1" w:styleId="129">
    <w:name w:val="_xdb"/>
    <w:qFormat/>
    <w:uiPriority w:val="0"/>
  </w:style>
  <w:style w:type="character" w:customStyle="1" w:styleId="130">
    <w:name w:val="_xbe"/>
    <w:qFormat/>
    <w:uiPriority w:val="0"/>
  </w:style>
  <w:style w:type="character" w:customStyle="1" w:styleId="131">
    <w:name w:val="_Style 163"/>
    <w:qFormat/>
    <w:uiPriority w:val="21"/>
    <w:rPr>
      <w:rFonts w:cs="Times New Roman"/>
      <w:b/>
      <w:bCs/>
      <w:i/>
      <w:iCs/>
      <w:color w:val="5B9BD5"/>
    </w:rPr>
  </w:style>
  <w:style w:type="character" w:customStyle="1" w:styleId="132">
    <w:name w:val="hgkelc"/>
    <w:qFormat/>
    <w:uiPriority w:val="0"/>
  </w:style>
  <w:style w:type="character" w:customStyle="1" w:styleId="133">
    <w:name w:val="textrun"/>
    <w:qFormat/>
    <w:uiPriority w:val="0"/>
  </w:style>
  <w:style w:type="character" w:customStyle="1" w:styleId="134">
    <w:name w:val="Hyperlink1"/>
    <w:basedOn w:val="11"/>
    <w:unhideWhenUsed/>
    <w:qFormat/>
    <w:uiPriority w:val="99"/>
    <w:rPr>
      <w:color w:val="0000FF" w:themeColor="hyperlink"/>
      <w:u w:val="single"/>
      <w14:textFill>
        <w14:solidFill>
          <w14:schemeClr w14:val="hlink"/>
        </w14:solidFill>
      </w14:textFill>
    </w:rPr>
  </w:style>
  <w:style w:type="character" w:customStyle="1" w:styleId="135">
    <w:name w:val="WW8Num2z0"/>
    <w:qFormat/>
    <w:uiPriority w:val="0"/>
    <w:rPr>
      <w:rFonts w:ascii="Calibri" w:hAnsi="Calibri" w:cs="Calibri"/>
      <w:color w:val="000000"/>
      <w:sz w:val="24"/>
      <w:szCs w:val="24"/>
    </w:rPr>
  </w:style>
  <w:style w:type="character" w:customStyle="1" w:styleId="136">
    <w:name w:val="WW8Num2z1"/>
    <w:qFormat/>
    <w:uiPriority w:val="0"/>
  </w:style>
  <w:style w:type="character" w:customStyle="1" w:styleId="137">
    <w:name w:val="WW8Num2z2"/>
    <w:qFormat/>
    <w:uiPriority w:val="0"/>
  </w:style>
  <w:style w:type="character" w:customStyle="1" w:styleId="138">
    <w:name w:val="WW8Num2z3"/>
    <w:qFormat/>
    <w:uiPriority w:val="0"/>
  </w:style>
  <w:style w:type="character" w:customStyle="1" w:styleId="139">
    <w:name w:val="WW8Num2z4"/>
    <w:qFormat/>
    <w:uiPriority w:val="0"/>
  </w:style>
  <w:style w:type="character" w:customStyle="1" w:styleId="140">
    <w:name w:val="WW8Num2z5"/>
    <w:qFormat/>
    <w:uiPriority w:val="0"/>
  </w:style>
  <w:style w:type="character" w:customStyle="1" w:styleId="141">
    <w:name w:val="WW8Num2z6"/>
    <w:qFormat/>
    <w:uiPriority w:val="0"/>
  </w:style>
  <w:style w:type="character" w:customStyle="1" w:styleId="142">
    <w:name w:val="WW8Num2z7"/>
    <w:qFormat/>
    <w:uiPriority w:val="0"/>
  </w:style>
  <w:style w:type="character" w:customStyle="1" w:styleId="143">
    <w:name w:val="WW8Num2z8"/>
    <w:qFormat/>
    <w:uiPriority w:val="0"/>
  </w:style>
  <w:style w:type="character" w:customStyle="1" w:styleId="144">
    <w:name w:val="Fonte parág. padrão7"/>
    <w:qFormat/>
    <w:uiPriority w:val="0"/>
  </w:style>
  <w:style w:type="character" w:customStyle="1" w:styleId="145">
    <w:name w:val="Símbolos de numeração"/>
    <w:qFormat/>
    <w:uiPriority w:val="0"/>
    <w:rPr>
      <w:rFonts w:ascii="Century Gothic" w:hAnsi="Century Gothic"/>
      <w:b/>
      <w:bCs/>
      <w:sz w:val="18"/>
      <w:szCs w:val="18"/>
    </w:rPr>
  </w:style>
  <w:style w:type="character" w:customStyle="1" w:styleId="146">
    <w:name w:val="Marcadores"/>
    <w:qFormat/>
    <w:uiPriority w:val="0"/>
    <w:rPr>
      <w:rFonts w:ascii="OpenSymbol" w:hAnsi="OpenSymbol" w:eastAsia="OpenSymbol" w:cs="OpenSymbol"/>
    </w:rPr>
  </w:style>
  <w:style w:type="character" w:customStyle="1" w:styleId="147">
    <w:name w:val="relative"/>
    <w:basedOn w:val="11"/>
    <w:qFormat/>
    <w:uiPriority w:val="0"/>
  </w:style>
  <w:style w:type="character" w:customStyle="1" w:styleId="148">
    <w:name w:val="Vínculo de índice"/>
    <w:qFormat/>
    <w:uiPriority w:val="0"/>
  </w:style>
  <w:style w:type="paragraph" w:customStyle="1" w:styleId="149">
    <w:name w:val="Índice"/>
    <w:basedOn w:val="1"/>
    <w:qFormat/>
    <w:uiPriority w:val="0"/>
    <w:pPr>
      <w:suppressLineNumbers/>
    </w:pPr>
    <w:rPr>
      <w:rFonts w:cs="Arial"/>
    </w:rPr>
  </w:style>
  <w:style w:type="paragraph" w:customStyle="1" w:styleId="150">
    <w:name w:val="Cabeçalho e Rodapé"/>
    <w:basedOn w:val="1"/>
    <w:qFormat/>
    <w:uiPriority w:val="0"/>
  </w:style>
  <w:style w:type="paragraph" w:customStyle="1" w:styleId="151">
    <w:name w:val="Cabeçalho do Sumário1"/>
    <w:unhideWhenUsed/>
    <w:qFormat/>
    <w:uiPriority w:val="39"/>
    <w:pPr>
      <w:suppressAutoHyphens/>
    </w:pPr>
    <w:rPr>
      <w:rFonts w:ascii="Times New Roman" w:hAnsi="Times New Roman" w:eastAsia="Times New Roman" w:cs="Times New Roman"/>
      <w:lang w:val="pt-BR" w:eastAsia="en-US" w:bidi="ar-SA"/>
    </w:rPr>
  </w:style>
  <w:style w:type="paragraph" w:customStyle="1" w:styleId="152">
    <w:name w:val="Recuo de corpo de texto 21"/>
    <w:basedOn w:val="1"/>
    <w:qFormat/>
    <w:uiPriority w:val="0"/>
    <w:pPr>
      <w:ind w:left="993" w:hanging="567"/>
      <w:jc w:val="both"/>
    </w:pPr>
    <w:rPr>
      <w:rFonts w:ascii="Arial" w:hAnsi="Arial"/>
      <w:sz w:val="24"/>
      <w:lang w:val="en-US" w:eastAsia="ar-SA"/>
    </w:rPr>
  </w:style>
  <w:style w:type="paragraph" w:customStyle="1" w:styleId="153">
    <w:name w:val="PADRAO"/>
    <w:qFormat/>
    <w:uiPriority w:val="0"/>
    <w:pPr>
      <w:suppressAutoHyphens/>
      <w:jc w:val="both"/>
    </w:pPr>
    <w:rPr>
      <w:rFonts w:ascii="Times New Roman" w:hAnsi="Times New Roman" w:eastAsia="Times New Roman" w:cs="Times New Roman"/>
      <w:color w:val="000000"/>
      <w:sz w:val="24"/>
      <w:lang w:val="pt-BR" w:eastAsia="ar-SA" w:bidi="ar-SA"/>
    </w:rPr>
  </w:style>
  <w:style w:type="paragraph" w:customStyle="1" w:styleId="154">
    <w:name w:val="Recuo de corpo de texto 31"/>
    <w:basedOn w:val="1"/>
    <w:qFormat/>
    <w:uiPriority w:val="99"/>
    <w:pPr>
      <w:ind w:left="567" w:hanging="567"/>
      <w:jc w:val="both"/>
    </w:pPr>
    <w:rPr>
      <w:rFonts w:ascii="Arial" w:hAnsi="Arial"/>
      <w:sz w:val="24"/>
      <w:lang w:val="en-US" w:eastAsia="ar-SA"/>
    </w:rPr>
  </w:style>
  <w:style w:type="paragraph" w:customStyle="1" w:styleId="155">
    <w:name w:val="_A010165"/>
    <w:qFormat/>
    <w:uiPriority w:val="99"/>
    <w:pPr>
      <w:tabs>
        <w:tab w:val="left" w:pos="584"/>
        <w:tab w:val="left" w:pos="6560"/>
        <w:tab w:val="left" w:pos="7133"/>
      </w:tabs>
      <w:suppressAutoHyphens/>
      <w:jc w:val="both"/>
    </w:pPr>
    <w:rPr>
      <w:rFonts w:ascii="Arial" w:hAnsi="Arial" w:eastAsia="Times New Roman" w:cs="Times New Roman"/>
      <w:color w:val="000000"/>
      <w:sz w:val="22"/>
      <w:lang w:val="pt-BR" w:eastAsia="ar-SA" w:bidi="ar-SA"/>
    </w:rPr>
  </w:style>
  <w:style w:type="paragraph" w:customStyle="1" w:styleId="156">
    <w:name w:val="Default"/>
    <w:qFormat/>
    <w:uiPriority w:val="0"/>
    <w:pPr>
      <w:suppressAutoHyphens/>
    </w:pPr>
    <w:rPr>
      <w:rFonts w:ascii="Arial" w:hAnsi="Arial" w:eastAsia="Times New Roman" w:cs="Arial"/>
      <w:color w:val="000000"/>
      <w:sz w:val="24"/>
      <w:szCs w:val="24"/>
      <w:lang w:val="pt-BR" w:eastAsia="en-US" w:bidi="ar-SA"/>
    </w:rPr>
  </w:style>
  <w:style w:type="paragraph" w:customStyle="1" w:styleId="157">
    <w:name w:val="tcu_-_rel/voto_-_demais_§§"/>
    <w:basedOn w:val="1"/>
    <w:qFormat/>
    <w:uiPriority w:val="0"/>
    <w:pPr>
      <w:spacing w:beforeAutospacing="1" w:afterAutospacing="1"/>
    </w:pPr>
    <w:rPr>
      <w:rFonts w:eastAsia="SimSun"/>
      <w:sz w:val="24"/>
      <w:szCs w:val="24"/>
    </w:rPr>
  </w:style>
  <w:style w:type="paragraph" w:customStyle="1" w:styleId="158">
    <w:name w:val="citação 2"/>
    <w:basedOn w:val="91"/>
    <w:qFormat/>
    <w:uiPriority w:val="0"/>
    <w:pPr>
      <w:pBdr>
        <w:top w:val="single" w:color="1F497D" w:sz="4" w:space="1"/>
        <w:left w:val="single" w:color="1F497D" w:sz="4" w:space="4"/>
        <w:bottom w:val="single" w:color="1F497D" w:sz="4" w:space="1"/>
        <w:right w:val="single" w:color="1F497D" w:sz="4" w:space="4"/>
      </w:pBdr>
      <w:shd w:val="clear" w:color="auto" w:fill="FFFFCC"/>
      <w:spacing w:before="120" w:after="0"/>
      <w:ind w:left="0" w:right="0"/>
      <w:jc w:val="both"/>
    </w:pPr>
    <w:rPr>
      <w:rFonts w:ascii="Arial" w:hAnsi="Arial" w:eastAsia="Calibri" w:cs="Tahoma"/>
      <w:color w:val="000000"/>
    </w:rPr>
  </w:style>
  <w:style w:type="paragraph" w:customStyle="1" w:styleId="159">
    <w:name w:val="Nivel 5"/>
    <w:basedOn w:val="105"/>
    <w:qFormat/>
    <w:uiPriority w:val="0"/>
    <w:pPr>
      <w:ind w:left="851"/>
    </w:pPr>
  </w:style>
  <w:style w:type="paragraph" w:customStyle="1" w:styleId="160">
    <w:name w:val="Nível 2 -Red"/>
    <w:basedOn w:val="94"/>
    <w:qFormat/>
    <w:uiPriority w:val="0"/>
    <w:rPr>
      <w:i/>
      <w:iCs/>
      <w:color w:val="FF0000"/>
    </w:rPr>
  </w:style>
  <w:style w:type="paragraph" w:customStyle="1" w:styleId="161">
    <w:name w:val="Nível 3-R"/>
    <w:basedOn w:val="97"/>
    <w:qFormat/>
    <w:uiPriority w:val="0"/>
    <w:rPr>
      <w:i/>
      <w:iCs/>
      <w:color w:val="FF0000"/>
    </w:rPr>
  </w:style>
  <w:style w:type="paragraph" w:customStyle="1" w:styleId="162">
    <w:name w:val="_Style 74"/>
    <w:basedOn w:val="2"/>
    <w:next w:val="1"/>
    <w:unhideWhenUsed/>
    <w:qFormat/>
    <w:uiPriority w:val="39"/>
    <w:pPr>
      <w:keepLines/>
      <w:spacing w:after="0" w:line="259" w:lineRule="auto"/>
      <w:outlineLvl w:val="9"/>
    </w:pPr>
    <w:rPr>
      <w:rFonts w:ascii="Calibri" w:hAnsi="Calibri" w:eastAsia="MS Gothic" w:cs="Times New Roman"/>
      <w:b w:val="0"/>
      <w:bCs w:val="0"/>
      <w:color w:val="365F91"/>
      <w:lang w:val="pt-BR"/>
    </w:rPr>
  </w:style>
  <w:style w:type="paragraph" w:customStyle="1" w:styleId="163">
    <w:name w:val="Standard"/>
    <w:qFormat/>
    <w:uiPriority w:val="0"/>
    <w:pPr>
      <w:suppressAutoHyphens/>
    </w:pPr>
    <w:rPr>
      <w:rFonts w:ascii="Liberation Serif" w:hAnsi="Liberation Serif" w:eastAsia="Times New Roman" w:cs="Liberation Serif"/>
      <w:sz w:val="24"/>
      <w:szCs w:val="24"/>
      <w:lang w:val="pt-BR" w:eastAsia="hi-IN" w:bidi="hi-IN"/>
    </w:rPr>
  </w:style>
  <w:style w:type="paragraph" w:customStyle="1" w:styleId="164">
    <w:name w:val="Conteúdo da tabela"/>
    <w:basedOn w:val="1"/>
    <w:qFormat/>
    <w:uiPriority w:val="0"/>
    <w:pPr>
      <w:suppressLineNumbers/>
    </w:pPr>
  </w:style>
  <w:style w:type="paragraph" w:customStyle="1" w:styleId="165">
    <w:name w:val="Table Paragraph"/>
    <w:basedOn w:val="163"/>
    <w:qFormat/>
    <w:uiPriority w:val="0"/>
    <w:rPr>
      <w:rFonts w:ascii="Times New Roman" w:hAnsi="Times New Roman" w:eastAsia="SimSun" w:cs="Times New Roman"/>
      <w:lang w:val="pt-PT" w:eastAsia="ar-SA" w:bidi="ar-SA"/>
    </w:rPr>
  </w:style>
  <w:style w:type="paragraph" w:customStyle="1" w:styleId="166">
    <w:name w:val="western"/>
    <w:basedOn w:val="1"/>
    <w:qFormat/>
    <w:uiPriority w:val="0"/>
    <w:pPr>
      <w:spacing w:beforeAutospacing="1" w:afterAutospacing="1"/>
    </w:pPr>
    <w:rPr>
      <w:sz w:val="24"/>
      <w:szCs w:val="24"/>
      <w:lang w:eastAsia="ja-JP"/>
    </w:rPr>
  </w:style>
  <w:style w:type="paragraph" w:styleId="167">
    <w:name w:val="No Spacing"/>
    <w:qFormat/>
    <w:uiPriority w:val="0"/>
    <w:pPr>
      <w:suppressAutoHyphens/>
    </w:pPr>
    <w:rPr>
      <w:rFonts w:ascii="Calibri" w:hAnsi="Calibri" w:eastAsia="Times New Roman" w:cs="Times New Roman"/>
      <w:sz w:val="22"/>
      <w:szCs w:val="22"/>
      <w:lang w:val="pt-BR" w:eastAsia="en-US" w:bidi="ar-SA"/>
    </w:rPr>
  </w:style>
  <w:style w:type="paragraph" w:customStyle="1" w:styleId="168">
    <w:name w:val="Sumário 11"/>
    <w:basedOn w:val="1"/>
    <w:next w:val="1"/>
    <w:qFormat/>
    <w:uiPriority w:val="0"/>
    <w:pPr>
      <w:widowControl w:val="0"/>
      <w:spacing w:after="100" w:line="100" w:lineRule="atLeast"/>
    </w:pPr>
    <w:rPr>
      <w:rFonts w:cs="Arial"/>
      <w:sz w:val="24"/>
      <w:szCs w:val="24"/>
      <w:lang w:eastAsia="ar-SA"/>
    </w:rPr>
  </w:style>
  <w:style w:type="paragraph" w:customStyle="1" w:styleId="169">
    <w:name w:val="Normal1"/>
    <w:qFormat/>
    <w:uiPriority w:val="0"/>
    <w:pPr>
      <w:suppressAutoHyphens/>
      <w:spacing w:line="100" w:lineRule="atLeast"/>
    </w:pPr>
    <w:rPr>
      <w:rFonts w:ascii="Times New Roman" w:hAnsi="Times New Roman" w:eastAsia="Times New Roman" w:cs="Times New Roman"/>
      <w:lang w:val="pt-BR" w:eastAsia="zh-CN" w:bidi="ar-SA"/>
    </w:rPr>
  </w:style>
  <w:style w:type="paragraph" w:customStyle="1" w:styleId="170">
    <w:name w:val="x_msoheader"/>
    <w:basedOn w:val="1"/>
    <w:qFormat/>
    <w:uiPriority w:val="99"/>
    <w:pPr>
      <w:spacing w:beforeAutospacing="1" w:afterAutospacing="1"/>
    </w:pPr>
    <w:rPr>
      <w:rFonts w:eastAsia="SimSun"/>
      <w:sz w:val="24"/>
      <w:szCs w:val="24"/>
    </w:rPr>
  </w:style>
  <w:style w:type="paragraph" w:customStyle="1" w:styleId="171">
    <w:name w:val="x_msobodytext"/>
    <w:basedOn w:val="1"/>
    <w:qFormat/>
    <w:uiPriority w:val="99"/>
    <w:pPr>
      <w:spacing w:beforeAutospacing="1" w:afterAutospacing="1"/>
    </w:pPr>
    <w:rPr>
      <w:rFonts w:eastAsia="SimSun"/>
      <w:sz w:val="24"/>
      <w:szCs w:val="24"/>
    </w:rPr>
  </w:style>
  <w:style w:type="paragraph" w:customStyle="1" w:styleId="172">
    <w:name w:val="x_msoheading9"/>
    <w:basedOn w:val="1"/>
    <w:qFormat/>
    <w:uiPriority w:val="99"/>
    <w:pPr>
      <w:spacing w:beforeAutospacing="1" w:afterAutospacing="1"/>
    </w:pPr>
    <w:rPr>
      <w:rFonts w:eastAsia="SimSun"/>
      <w:sz w:val="24"/>
      <w:szCs w:val="24"/>
    </w:rPr>
  </w:style>
  <w:style w:type="paragraph" w:customStyle="1" w:styleId="173">
    <w:name w:val="x_msoheading8"/>
    <w:basedOn w:val="1"/>
    <w:qFormat/>
    <w:uiPriority w:val="99"/>
    <w:pPr>
      <w:spacing w:beforeAutospacing="1" w:afterAutospacing="1"/>
    </w:pPr>
    <w:rPr>
      <w:rFonts w:eastAsia="SimSun"/>
      <w:sz w:val="24"/>
      <w:szCs w:val="24"/>
    </w:rPr>
  </w:style>
  <w:style w:type="paragraph" w:customStyle="1" w:styleId="174">
    <w:name w:val="x_msonormal"/>
    <w:basedOn w:val="1"/>
    <w:qFormat/>
    <w:uiPriority w:val="99"/>
    <w:pPr>
      <w:spacing w:beforeAutospacing="1" w:afterAutospacing="1"/>
    </w:pPr>
    <w:rPr>
      <w:rFonts w:eastAsia="SimSun"/>
      <w:sz w:val="24"/>
      <w:szCs w:val="24"/>
    </w:rPr>
  </w:style>
  <w:style w:type="paragraph" w:customStyle="1" w:styleId="175">
    <w:name w:val="04partenormativa"/>
    <w:basedOn w:val="1"/>
    <w:qFormat/>
    <w:uiPriority w:val="99"/>
    <w:pPr>
      <w:spacing w:beforeAutospacing="1" w:afterAutospacing="1"/>
    </w:pPr>
    <w:rPr>
      <w:rFonts w:eastAsia="SimSun"/>
      <w:sz w:val="24"/>
      <w:szCs w:val="24"/>
    </w:rPr>
  </w:style>
  <w:style w:type="paragraph" w:customStyle="1" w:styleId="176">
    <w:name w:val="paragraph"/>
    <w:basedOn w:val="1"/>
    <w:qFormat/>
    <w:uiPriority w:val="0"/>
    <w:pPr>
      <w:spacing w:beforeAutospacing="1" w:afterAutospacing="1"/>
    </w:pPr>
    <w:rPr>
      <w:sz w:val="24"/>
      <w:szCs w:val="24"/>
    </w:rPr>
  </w:style>
  <w:style w:type="paragraph" w:customStyle="1" w:styleId="177">
    <w:name w:val="xl76"/>
    <w:basedOn w:val="1"/>
    <w:qFormat/>
    <w:uiPriority w:val="0"/>
    <w:pPr>
      <w:pBdr>
        <w:right w:val="single" w:color="000000" w:sz="8" w:space="0"/>
      </w:pBdr>
      <w:spacing w:beforeAutospacing="1" w:afterAutospacing="1"/>
    </w:pPr>
    <w:rPr>
      <w:rFonts w:ascii="Arial" w:hAnsi="Arial" w:eastAsia="SimSun" w:cs="Arial"/>
    </w:rPr>
  </w:style>
  <w:style w:type="paragraph" w:customStyle="1" w:styleId="178">
    <w:name w:val="xl75"/>
    <w:basedOn w:val="1"/>
    <w:qFormat/>
    <w:uiPriority w:val="0"/>
    <w:pPr>
      <w:pBdr>
        <w:right w:val="single" w:color="000000" w:sz="8" w:space="0"/>
      </w:pBdr>
      <w:spacing w:beforeAutospacing="1" w:afterAutospacing="1"/>
      <w:jc w:val="center"/>
    </w:pPr>
    <w:rPr>
      <w:rFonts w:ascii="Arial" w:hAnsi="Arial" w:eastAsia="SimSun" w:cs="Arial"/>
    </w:rPr>
  </w:style>
  <w:style w:type="paragraph" w:customStyle="1" w:styleId="179">
    <w:name w:val="xl74"/>
    <w:basedOn w:val="1"/>
    <w:qFormat/>
    <w:uiPriority w:val="0"/>
    <w:pPr>
      <w:pBdr>
        <w:right w:val="single" w:color="000000" w:sz="8" w:space="0"/>
      </w:pBdr>
      <w:spacing w:beforeAutospacing="1" w:afterAutospacing="1"/>
    </w:pPr>
    <w:rPr>
      <w:rFonts w:ascii="Arial" w:hAnsi="Arial" w:eastAsia="SimSun" w:cs="Arial"/>
    </w:rPr>
  </w:style>
  <w:style w:type="paragraph" w:customStyle="1" w:styleId="180">
    <w:name w:val="xl73"/>
    <w:basedOn w:val="1"/>
    <w:qFormat/>
    <w:uiPriority w:val="0"/>
    <w:pPr>
      <w:pBdr>
        <w:right w:val="single" w:color="000000" w:sz="8" w:space="0"/>
      </w:pBdr>
      <w:spacing w:beforeAutospacing="1" w:afterAutospacing="1"/>
      <w:jc w:val="both"/>
    </w:pPr>
    <w:rPr>
      <w:rFonts w:ascii="Arial" w:hAnsi="Arial" w:eastAsia="SimSun" w:cs="Arial"/>
      <w:sz w:val="19"/>
      <w:szCs w:val="19"/>
    </w:rPr>
  </w:style>
  <w:style w:type="paragraph" w:customStyle="1" w:styleId="181">
    <w:name w:val="xl72"/>
    <w:basedOn w:val="1"/>
    <w:qFormat/>
    <w:uiPriority w:val="0"/>
    <w:pPr>
      <w:pBdr>
        <w:left w:val="single" w:color="000000" w:sz="8" w:space="0"/>
        <w:right w:val="single" w:color="000000" w:sz="8" w:space="0"/>
      </w:pBdr>
      <w:spacing w:beforeAutospacing="1" w:afterAutospacing="1"/>
    </w:pPr>
    <w:rPr>
      <w:rFonts w:ascii="Arial" w:hAnsi="Arial" w:eastAsia="SimSun" w:cs="Arial"/>
    </w:rPr>
  </w:style>
  <w:style w:type="paragraph" w:customStyle="1" w:styleId="182">
    <w:name w:val="xl71"/>
    <w:basedOn w:val="1"/>
    <w:qFormat/>
    <w:uiPriority w:val="0"/>
    <w:pPr>
      <w:pBdr>
        <w:bottom w:val="single" w:color="000000" w:sz="8" w:space="0"/>
        <w:right w:val="single" w:color="000000" w:sz="8" w:space="0"/>
      </w:pBdr>
      <w:spacing w:beforeAutospacing="1" w:afterAutospacing="1"/>
    </w:pPr>
    <w:rPr>
      <w:rFonts w:ascii="Arial" w:hAnsi="Arial" w:eastAsia="SimSun" w:cs="Arial"/>
    </w:rPr>
  </w:style>
  <w:style w:type="paragraph" w:customStyle="1" w:styleId="183">
    <w:name w:val="xl70"/>
    <w:basedOn w:val="1"/>
    <w:qFormat/>
    <w:uiPriority w:val="0"/>
    <w:pPr>
      <w:pBdr>
        <w:bottom w:val="single" w:color="000000" w:sz="8" w:space="0"/>
        <w:right w:val="single" w:color="000000" w:sz="8" w:space="0"/>
      </w:pBdr>
      <w:spacing w:beforeAutospacing="1" w:afterAutospacing="1"/>
      <w:jc w:val="both"/>
    </w:pPr>
    <w:rPr>
      <w:rFonts w:ascii="Arial" w:hAnsi="Arial" w:eastAsia="SimSun" w:cs="Arial"/>
      <w:b/>
      <w:bCs/>
      <w:sz w:val="19"/>
      <w:szCs w:val="19"/>
    </w:rPr>
  </w:style>
  <w:style w:type="paragraph" w:customStyle="1" w:styleId="184">
    <w:name w:val="xl69"/>
    <w:basedOn w:val="1"/>
    <w:qFormat/>
    <w:uiPriority w:val="0"/>
    <w:pPr>
      <w:pBdr>
        <w:bottom w:val="single" w:color="000000" w:sz="8" w:space="0"/>
        <w:right w:val="single" w:color="000000" w:sz="8" w:space="0"/>
      </w:pBdr>
      <w:spacing w:beforeAutospacing="1" w:afterAutospacing="1"/>
      <w:jc w:val="center"/>
    </w:pPr>
    <w:rPr>
      <w:rFonts w:ascii="Arial" w:hAnsi="Arial" w:eastAsia="SimSun" w:cs="Arial"/>
    </w:rPr>
  </w:style>
  <w:style w:type="paragraph" w:customStyle="1" w:styleId="185">
    <w:name w:val="xl68"/>
    <w:basedOn w:val="1"/>
    <w:qFormat/>
    <w:uiPriority w:val="0"/>
    <w:pPr>
      <w:pBdr>
        <w:bottom w:val="single" w:color="000000" w:sz="8" w:space="0"/>
        <w:right w:val="single" w:color="000000" w:sz="8" w:space="0"/>
      </w:pBdr>
      <w:spacing w:beforeAutospacing="1" w:afterAutospacing="1"/>
    </w:pPr>
    <w:rPr>
      <w:rFonts w:ascii="Arial" w:hAnsi="Arial" w:eastAsia="SimSun" w:cs="Arial"/>
    </w:rPr>
  </w:style>
  <w:style w:type="paragraph" w:customStyle="1" w:styleId="186">
    <w:name w:val="xl67"/>
    <w:basedOn w:val="1"/>
    <w:qFormat/>
    <w:uiPriority w:val="0"/>
    <w:pPr>
      <w:pBdr>
        <w:left w:val="single" w:color="000000" w:sz="8" w:space="0"/>
        <w:bottom w:val="single" w:color="000000" w:sz="8" w:space="0"/>
        <w:right w:val="single" w:color="000000" w:sz="8" w:space="0"/>
      </w:pBdr>
      <w:spacing w:beforeAutospacing="1" w:afterAutospacing="1"/>
    </w:pPr>
    <w:rPr>
      <w:rFonts w:ascii="Arial" w:hAnsi="Arial" w:eastAsia="SimSun" w:cs="Arial"/>
    </w:rPr>
  </w:style>
  <w:style w:type="paragraph" w:customStyle="1" w:styleId="187">
    <w:name w:val="xl66"/>
    <w:basedOn w:val="1"/>
    <w:qFormat/>
    <w:uiPriority w:val="0"/>
    <w:pPr>
      <w:spacing w:beforeAutospacing="1" w:afterAutospacing="1"/>
      <w:jc w:val="both"/>
    </w:pPr>
    <w:rPr>
      <w:rFonts w:ascii="Arial" w:hAnsi="Arial" w:eastAsia="SimSun" w:cs="Arial"/>
      <w:b/>
      <w:bCs/>
    </w:rPr>
  </w:style>
  <w:style w:type="paragraph" w:customStyle="1" w:styleId="188">
    <w:name w:val="xl65"/>
    <w:basedOn w:val="1"/>
    <w:qFormat/>
    <w:uiPriority w:val="0"/>
    <w:pPr>
      <w:spacing w:beforeAutospacing="1" w:afterAutospacing="1"/>
    </w:pPr>
    <w:rPr>
      <w:rFonts w:ascii="Arial" w:hAnsi="Arial" w:eastAsia="SimSun" w:cs="Arial"/>
      <w:b/>
      <w:bCs/>
    </w:rPr>
  </w:style>
  <w:style w:type="paragraph" w:customStyle="1" w:styleId="189">
    <w:name w:val="font8"/>
    <w:basedOn w:val="1"/>
    <w:qFormat/>
    <w:uiPriority w:val="0"/>
    <w:pPr>
      <w:spacing w:beforeAutospacing="1" w:afterAutospacing="1"/>
    </w:pPr>
    <w:rPr>
      <w:rFonts w:ascii="Arial" w:hAnsi="Arial" w:eastAsia="SimSun" w:cs="Arial"/>
      <w:color w:val="000000"/>
      <w:sz w:val="19"/>
      <w:szCs w:val="19"/>
    </w:rPr>
  </w:style>
  <w:style w:type="paragraph" w:customStyle="1" w:styleId="190">
    <w:name w:val="font7"/>
    <w:basedOn w:val="1"/>
    <w:qFormat/>
    <w:uiPriority w:val="0"/>
    <w:pPr>
      <w:spacing w:beforeAutospacing="1" w:afterAutospacing="1"/>
    </w:pPr>
    <w:rPr>
      <w:rFonts w:ascii="Arial" w:hAnsi="Arial" w:eastAsia="SimSun" w:cs="Arial"/>
      <w:b/>
      <w:bCs/>
      <w:color w:val="000000"/>
      <w:sz w:val="19"/>
      <w:szCs w:val="19"/>
    </w:rPr>
  </w:style>
  <w:style w:type="paragraph" w:customStyle="1" w:styleId="191">
    <w:name w:val="font6"/>
    <w:basedOn w:val="1"/>
    <w:qFormat/>
    <w:uiPriority w:val="0"/>
    <w:pPr>
      <w:spacing w:beforeAutospacing="1" w:afterAutospacing="1"/>
    </w:pPr>
    <w:rPr>
      <w:rFonts w:ascii="Arial" w:hAnsi="Arial" w:eastAsia="SimSun" w:cs="Arial"/>
      <w:color w:val="000000"/>
    </w:rPr>
  </w:style>
  <w:style w:type="paragraph" w:customStyle="1" w:styleId="192">
    <w:name w:val="font5"/>
    <w:basedOn w:val="1"/>
    <w:qFormat/>
    <w:uiPriority w:val="0"/>
    <w:pPr>
      <w:spacing w:beforeAutospacing="1" w:afterAutospacing="1"/>
    </w:pPr>
    <w:rPr>
      <w:rFonts w:ascii="Arial" w:hAnsi="Arial" w:eastAsia="SimSun" w:cs="Arial"/>
      <w:b/>
      <w:bCs/>
      <w:color w:val="000000"/>
    </w:rPr>
  </w:style>
  <w:style w:type="paragraph" w:customStyle="1" w:styleId="193">
    <w:name w:val="xl77"/>
    <w:basedOn w:val="1"/>
    <w:qFormat/>
    <w:uiPriority w:val="0"/>
    <w:pPr>
      <w:pBdr>
        <w:top w:val="single" w:color="000000" w:sz="4" w:space="0"/>
        <w:bottom w:val="single" w:color="000000" w:sz="4" w:space="0"/>
        <w:right w:val="single" w:color="000000" w:sz="4" w:space="0"/>
      </w:pBdr>
      <w:spacing w:beforeAutospacing="1" w:afterAutospacing="1"/>
    </w:pPr>
    <w:rPr>
      <w:rFonts w:ascii="Arial" w:hAnsi="Arial" w:eastAsia="SimSun" w:cs="Arial"/>
      <w:b/>
      <w:bCs/>
    </w:rPr>
  </w:style>
  <w:style w:type="paragraph" w:customStyle="1" w:styleId="194">
    <w:name w:val="xl78"/>
    <w:basedOn w:val="1"/>
    <w:qFormat/>
    <w:uiPriority w:val="0"/>
    <w:pPr>
      <w:pBdr>
        <w:bottom w:val="single" w:color="000000" w:sz="8" w:space="0"/>
        <w:right w:val="single" w:color="000000" w:sz="8" w:space="0"/>
      </w:pBdr>
      <w:spacing w:beforeAutospacing="1" w:afterAutospacing="1"/>
      <w:jc w:val="both"/>
    </w:pPr>
    <w:rPr>
      <w:rFonts w:ascii="Arial" w:hAnsi="Arial" w:eastAsia="SimSun" w:cs="Arial"/>
      <w:sz w:val="19"/>
      <w:szCs w:val="19"/>
    </w:rPr>
  </w:style>
  <w:style w:type="paragraph" w:customStyle="1" w:styleId="195">
    <w:name w:val="xl79"/>
    <w:basedOn w:val="1"/>
    <w:qFormat/>
    <w:uiPriority w:val="0"/>
    <w:pPr>
      <w:pBdr>
        <w:bottom w:val="single" w:color="000000" w:sz="8" w:space="0"/>
        <w:right w:val="single" w:color="000000" w:sz="8" w:space="0"/>
      </w:pBdr>
      <w:spacing w:beforeAutospacing="1" w:afterAutospacing="1"/>
      <w:jc w:val="both"/>
    </w:pPr>
    <w:rPr>
      <w:rFonts w:ascii="Arial" w:hAnsi="Arial" w:eastAsia="SimSun" w:cs="Arial"/>
    </w:rPr>
  </w:style>
  <w:style w:type="paragraph" w:customStyle="1" w:styleId="196">
    <w:name w:val="xl80"/>
    <w:basedOn w:val="1"/>
    <w:qFormat/>
    <w:uiPriority w:val="0"/>
    <w:pPr>
      <w:pBdr>
        <w:bottom w:val="single" w:color="000000" w:sz="8" w:space="0"/>
        <w:right w:val="single" w:color="000000" w:sz="8" w:space="0"/>
      </w:pBdr>
      <w:spacing w:beforeAutospacing="1" w:afterAutospacing="1"/>
    </w:pPr>
    <w:rPr>
      <w:rFonts w:ascii="Arial" w:hAnsi="Arial" w:eastAsia="SimSun" w:cs="Arial"/>
      <w:b/>
      <w:bCs/>
    </w:rPr>
  </w:style>
  <w:style w:type="paragraph" w:customStyle="1" w:styleId="197">
    <w:name w:val="xl81"/>
    <w:basedOn w:val="1"/>
    <w:qFormat/>
    <w:uiPriority w:val="0"/>
    <w:pPr>
      <w:spacing w:beforeAutospacing="1" w:afterAutospacing="1"/>
      <w:jc w:val="center"/>
    </w:pPr>
    <w:rPr>
      <w:rFonts w:ascii="Arial" w:hAnsi="Arial" w:eastAsia="SimSun" w:cs="Arial"/>
      <w:b/>
      <w:bCs/>
    </w:rPr>
  </w:style>
  <w:style w:type="paragraph" w:customStyle="1" w:styleId="198">
    <w:name w:val="xl82"/>
    <w:basedOn w:val="1"/>
    <w:qFormat/>
    <w:uiPriority w:val="0"/>
    <w:pPr>
      <w:spacing w:beforeAutospacing="1" w:afterAutospacing="1"/>
      <w:jc w:val="center"/>
    </w:pPr>
    <w:rPr>
      <w:rFonts w:ascii="Arial" w:hAnsi="Arial" w:eastAsia="SimSun" w:cs="Arial"/>
    </w:rPr>
  </w:style>
  <w:style w:type="paragraph" w:customStyle="1" w:styleId="199">
    <w:name w:val="xl83"/>
    <w:basedOn w:val="1"/>
    <w:qFormat/>
    <w:uiPriority w:val="0"/>
    <w:pPr>
      <w:spacing w:beforeAutospacing="1" w:afterAutospacing="1"/>
      <w:jc w:val="both"/>
    </w:pPr>
    <w:rPr>
      <w:rFonts w:ascii="Arial" w:hAnsi="Arial" w:eastAsia="SimSun" w:cs="Arial"/>
    </w:rPr>
  </w:style>
  <w:style w:type="paragraph" w:customStyle="1" w:styleId="200">
    <w:name w:val="xl84"/>
    <w:basedOn w:val="1"/>
    <w:qFormat/>
    <w:uiPriority w:val="0"/>
    <w:pPr>
      <w:spacing w:beforeAutospacing="1" w:afterAutospacing="1"/>
      <w:jc w:val="both"/>
    </w:pPr>
    <w:rPr>
      <w:rFonts w:ascii="Arial" w:hAnsi="Arial" w:eastAsia="SimSun" w:cs="Arial"/>
      <w:b/>
      <w:bCs/>
    </w:rPr>
  </w:style>
  <w:style w:type="paragraph" w:customStyle="1" w:styleId="201">
    <w:name w:val="xl85"/>
    <w:basedOn w:val="1"/>
    <w:qFormat/>
    <w:uiPriority w:val="0"/>
    <w:pPr>
      <w:pBdr>
        <w:bottom w:val="single" w:color="000000" w:sz="8" w:space="0"/>
      </w:pBdr>
      <w:spacing w:beforeAutospacing="1" w:afterAutospacing="1"/>
      <w:jc w:val="both"/>
    </w:pPr>
    <w:rPr>
      <w:rFonts w:ascii="Arial" w:hAnsi="Arial" w:eastAsia="SimSun" w:cs="Arial"/>
      <w:b/>
      <w:bCs/>
    </w:rPr>
  </w:style>
  <w:style w:type="paragraph" w:customStyle="1" w:styleId="202">
    <w:name w:val="xl86"/>
    <w:basedOn w:val="1"/>
    <w:qFormat/>
    <w:uiPriority w:val="0"/>
    <w:pPr>
      <w:pBdr>
        <w:top w:val="single" w:color="000000" w:sz="8" w:space="0"/>
        <w:left w:val="single" w:color="000000" w:sz="8" w:space="0"/>
        <w:bottom w:val="single" w:color="000000" w:sz="8" w:space="0"/>
      </w:pBdr>
      <w:spacing w:beforeAutospacing="1" w:afterAutospacing="1"/>
      <w:jc w:val="both"/>
    </w:pPr>
    <w:rPr>
      <w:rFonts w:ascii="Arial" w:hAnsi="Arial" w:eastAsia="SimSun" w:cs="Arial"/>
      <w:b/>
      <w:bCs/>
    </w:rPr>
  </w:style>
  <w:style w:type="paragraph" w:customStyle="1" w:styleId="203">
    <w:name w:val="xl87"/>
    <w:basedOn w:val="1"/>
    <w:qFormat/>
    <w:uiPriority w:val="0"/>
    <w:pPr>
      <w:pBdr>
        <w:top w:val="single" w:color="000000" w:sz="8" w:space="0"/>
        <w:bottom w:val="single" w:color="000000" w:sz="8" w:space="0"/>
      </w:pBdr>
      <w:spacing w:beforeAutospacing="1" w:afterAutospacing="1"/>
      <w:jc w:val="both"/>
    </w:pPr>
    <w:rPr>
      <w:rFonts w:ascii="Arial" w:hAnsi="Arial" w:eastAsia="SimSun" w:cs="Arial"/>
      <w:b/>
      <w:bCs/>
    </w:rPr>
  </w:style>
  <w:style w:type="paragraph" w:customStyle="1" w:styleId="204">
    <w:name w:val="xl88"/>
    <w:basedOn w:val="1"/>
    <w:qFormat/>
    <w:uiPriority w:val="0"/>
    <w:pPr>
      <w:pBdr>
        <w:top w:val="single" w:color="000000" w:sz="8" w:space="0"/>
        <w:bottom w:val="single" w:color="000000" w:sz="8" w:space="0"/>
        <w:right w:val="single" w:color="000000" w:sz="8" w:space="0"/>
      </w:pBdr>
      <w:spacing w:beforeAutospacing="1" w:afterAutospacing="1"/>
      <w:jc w:val="both"/>
    </w:pPr>
    <w:rPr>
      <w:rFonts w:ascii="Arial" w:hAnsi="Arial" w:eastAsia="SimSun" w:cs="Arial"/>
      <w:b/>
      <w:bCs/>
    </w:rPr>
  </w:style>
  <w:style w:type="paragraph" w:customStyle="1" w:styleId="205">
    <w:name w:val="xl89"/>
    <w:basedOn w:val="1"/>
    <w:qFormat/>
    <w:uiPriority w:val="0"/>
    <w:pPr>
      <w:pBdr>
        <w:top w:val="single" w:color="000000" w:sz="4" w:space="0"/>
        <w:left w:val="single" w:color="000000" w:sz="4" w:space="0"/>
        <w:bottom w:val="single" w:color="000000" w:sz="4" w:space="0"/>
      </w:pBdr>
      <w:spacing w:beforeAutospacing="1" w:afterAutospacing="1"/>
      <w:jc w:val="center"/>
    </w:pPr>
    <w:rPr>
      <w:rFonts w:eastAsia="SimSun"/>
      <w:b/>
      <w:bCs/>
      <w:sz w:val="24"/>
      <w:szCs w:val="24"/>
    </w:rPr>
  </w:style>
  <w:style w:type="paragraph" w:customStyle="1" w:styleId="206">
    <w:name w:val="xl90"/>
    <w:basedOn w:val="1"/>
    <w:qFormat/>
    <w:uiPriority w:val="0"/>
    <w:pPr>
      <w:pBdr>
        <w:top w:val="single" w:color="000000" w:sz="4" w:space="0"/>
        <w:bottom w:val="single" w:color="000000" w:sz="4" w:space="0"/>
      </w:pBdr>
      <w:spacing w:beforeAutospacing="1" w:afterAutospacing="1"/>
      <w:jc w:val="center"/>
    </w:pPr>
    <w:rPr>
      <w:rFonts w:eastAsia="SimSun"/>
      <w:b/>
      <w:bCs/>
      <w:sz w:val="24"/>
      <w:szCs w:val="24"/>
    </w:rPr>
  </w:style>
  <w:style w:type="paragraph" w:customStyle="1" w:styleId="207">
    <w:name w:val="xl91"/>
    <w:basedOn w:val="1"/>
    <w:qFormat/>
    <w:uiPriority w:val="0"/>
    <w:pPr>
      <w:pBdr>
        <w:top w:val="single" w:color="000000" w:sz="4" w:space="0"/>
        <w:bottom w:val="single" w:color="000000" w:sz="4" w:space="0"/>
        <w:right w:val="single" w:color="000000" w:sz="4" w:space="0"/>
      </w:pBdr>
      <w:spacing w:beforeAutospacing="1" w:afterAutospacing="1"/>
      <w:jc w:val="center"/>
    </w:pPr>
    <w:rPr>
      <w:rFonts w:eastAsia="SimSun"/>
      <w:b/>
      <w:bCs/>
      <w:sz w:val="24"/>
      <w:szCs w:val="24"/>
    </w:rPr>
  </w:style>
  <w:style w:type="paragraph" w:customStyle="1" w:styleId="208">
    <w:name w:val="xl92"/>
    <w:basedOn w:val="1"/>
    <w:qFormat/>
    <w:uiPriority w:val="0"/>
    <w:pPr>
      <w:pBdr>
        <w:top w:val="single" w:color="000000" w:sz="8" w:space="0"/>
        <w:left w:val="single" w:color="000000" w:sz="4" w:space="0"/>
        <w:bottom w:val="single" w:color="000000" w:sz="4" w:space="0"/>
      </w:pBdr>
      <w:spacing w:beforeAutospacing="1" w:afterAutospacing="1"/>
      <w:jc w:val="center"/>
    </w:pPr>
    <w:rPr>
      <w:rFonts w:eastAsia="SimSun"/>
      <w:b/>
      <w:bCs/>
      <w:sz w:val="24"/>
      <w:szCs w:val="24"/>
    </w:rPr>
  </w:style>
  <w:style w:type="paragraph" w:customStyle="1" w:styleId="209">
    <w:name w:val="xl93"/>
    <w:basedOn w:val="1"/>
    <w:qFormat/>
    <w:uiPriority w:val="0"/>
    <w:pPr>
      <w:pBdr>
        <w:top w:val="single" w:color="000000" w:sz="8" w:space="0"/>
        <w:bottom w:val="single" w:color="000000" w:sz="4" w:space="0"/>
      </w:pBdr>
      <w:spacing w:beforeAutospacing="1" w:afterAutospacing="1"/>
      <w:jc w:val="center"/>
    </w:pPr>
    <w:rPr>
      <w:rFonts w:eastAsia="SimSun"/>
      <w:b/>
      <w:bCs/>
      <w:sz w:val="24"/>
      <w:szCs w:val="24"/>
    </w:rPr>
  </w:style>
  <w:style w:type="paragraph" w:customStyle="1" w:styleId="210">
    <w:name w:val="xl94"/>
    <w:basedOn w:val="1"/>
    <w:qFormat/>
    <w:uiPriority w:val="0"/>
    <w:pPr>
      <w:pBdr>
        <w:top w:val="single" w:color="000000" w:sz="8" w:space="0"/>
        <w:bottom w:val="single" w:color="000000" w:sz="4" w:space="0"/>
        <w:right w:val="single" w:color="000000" w:sz="4" w:space="0"/>
      </w:pBdr>
      <w:spacing w:beforeAutospacing="1" w:afterAutospacing="1"/>
      <w:jc w:val="center"/>
    </w:pPr>
    <w:rPr>
      <w:rFonts w:eastAsia="SimSun"/>
      <w:b/>
      <w:bCs/>
      <w:sz w:val="24"/>
      <w:szCs w:val="24"/>
    </w:rPr>
  </w:style>
  <w:style w:type="paragraph" w:customStyle="1" w:styleId="211">
    <w:name w:val="xl95"/>
    <w:basedOn w:val="1"/>
    <w:qFormat/>
    <w:uiPriority w:val="0"/>
    <w:pPr>
      <w:pBdr>
        <w:top w:val="single" w:color="000000" w:sz="4" w:space="0"/>
        <w:bottom w:val="single" w:color="000000" w:sz="8" w:space="0"/>
      </w:pBdr>
      <w:spacing w:beforeAutospacing="1" w:afterAutospacing="1"/>
      <w:jc w:val="both"/>
    </w:pPr>
    <w:rPr>
      <w:rFonts w:ascii="Arial" w:hAnsi="Arial" w:eastAsia="SimSun" w:cs="Arial"/>
      <w:b/>
      <w:bCs/>
    </w:rPr>
  </w:style>
  <w:style w:type="paragraph" w:customStyle="1" w:styleId="212">
    <w:name w:val="xl96"/>
    <w:basedOn w:val="1"/>
    <w:qFormat/>
    <w:uiPriority w:val="0"/>
    <w:pPr>
      <w:pBdr>
        <w:top w:val="single" w:color="000000" w:sz="4" w:space="0"/>
        <w:bottom w:val="single" w:color="000000" w:sz="8" w:space="0"/>
      </w:pBdr>
      <w:spacing w:beforeAutospacing="1" w:afterAutospacing="1"/>
      <w:jc w:val="both"/>
    </w:pPr>
    <w:rPr>
      <w:rFonts w:ascii="Arial" w:hAnsi="Arial" w:eastAsia="SimSun" w:cs="Arial"/>
      <w:b/>
      <w:bCs/>
      <w:sz w:val="19"/>
      <w:szCs w:val="19"/>
    </w:rPr>
  </w:style>
  <w:style w:type="paragraph" w:customStyle="1" w:styleId="213">
    <w:name w:val="xl97"/>
    <w:basedOn w:val="1"/>
    <w:qFormat/>
    <w:uiPriority w:val="0"/>
    <w:pPr>
      <w:pBdr>
        <w:top w:val="single" w:color="000000" w:sz="8" w:space="0"/>
        <w:left w:val="single" w:color="000000" w:sz="8" w:space="0"/>
        <w:bottom w:val="single" w:color="000000" w:sz="8" w:space="0"/>
      </w:pBdr>
      <w:spacing w:beforeAutospacing="1" w:afterAutospacing="1"/>
      <w:jc w:val="both"/>
    </w:pPr>
    <w:rPr>
      <w:rFonts w:ascii="Arial" w:hAnsi="Arial" w:eastAsia="SimSun" w:cs="Arial"/>
      <w:b/>
      <w:bCs/>
      <w:sz w:val="19"/>
      <w:szCs w:val="19"/>
    </w:rPr>
  </w:style>
  <w:style w:type="paragraph" w:customStyle="1" w:styleId="214">
    <w:name w:val="xl98"/>
    <w:basedOn w:val="1"/>
    <w:qFormat/>
    <w:uiPriority w:val="0"/>
    <w:pPr>
      <w:pBdr>
        <w:top w:val="single" w:color="000000" w:sz="8" w:space="0"/>
        <w:bottom w:val="single" w:color="000000" w:sz="8" w:space="0"/>
      </w:pBdr>
      <w:spacing w:beforeAutospacing="1" w:afterAutospacing="1"/>
      <w:jc w:val="both"/>
    </w:pPr>
    <w:rPr>
      <w:rFonts w:ascii="Arial" w:hAnsi="Arial" w:eastAsia="SimSun" w:cs="Arial"/>
      <w:b/>
      <w:bCs/>
      <w:sz w:val="19"/>
      <w:szCs w:val="19"/>
    </w:rPr>
  </w:style>
  <w:style w:type="paragraph" w:customStyle="1" w:styleId="215">
    <w:name w:val="xl99"/>
    <w:basedOn w:val="1"/>
    <w:qFormat/>
    <w:uiPriority w:val="0"/>
    <w:pPr>
      <w:pBdr>
        <w:top w:val="single" w:color="000000" w:sz="8" w:space="0"/>
        <w:bottom w:val="single" w:color="000000" w:sz="8" w:space="0"/>
        <w:right w:val="single" w:color="000000" w:sz="8" w:space="0"/>
      </w:pBdr>
      <w:spacing w:beforeAutospacing="1" w:afterAutospacing="1"/>
      <w:jc w:val="both"/>
    </w:pPr>
    <w:rPr>
      <w:rFonts w:ascii="Arial" w:hAnsi="Arial" w:eastAsia="SimSun" w:cs="Arial"/>
      <w:b/>
      <w:bCs/>
      <w:sz w:val="19"/>
      <w:szCs w:val="19"/>
    </w:rPr>
  </w:style>
  <w:style w:type="paragraph" w:customStyle="1" w:styleId="216">
    <w:name w:val="xl100"/>
    <w:basedOn w:val="1"/>
    <w:qFormat/>
    <w:uiPriority w:val="0"/>
    <w:pPr>
      <w:spacing w:beforeAutospacing="1" w:afterAutospacing="1"/>
      <w:jc w:val="center"/>
    </w:pPr>
    <w:rPr>
      <w:rFonts w:ascii="Arial" w:hAnsi="Arial" w:eastAsia="SimSun" w:cs="Arial"/>
      <w:b/>
      <w:bCs/>
    </w:rPr>
  </w:style>
  <w:style w:type="paragraph" w:customStyle="1" w:styleId="217">
    <w:name w:val="xl101"/>
    <w:basedOn w:val="1"/>
    <w:qFormat/>
    <w:uiPriority w:val="0"/>
    <w:pPr>
      <w:pBdr>
        <w:top w:val="single" w:color="000000" w:sz="8" w:space="0"/>
        <w:left w:val="single" w:color="000000" w:sz="8" w:space="0"/>
        <w:bottom w:val="single" w:color="000000" w:sz="8" w:space="0"/>
      </w:pBdr>
      <w:spacing w:beforeAutospacing="1" w:afterAutospacing="1"/>
      <w:jc w:val="center"/>
    </w:pPr>
    <w:rPr>
      <w:rFonts w:eastAsia="SimSun"/>
      <w:b/>
      <w:bCs/>
      <w:sz w:val="24"/>
      <w:szCs w:val="24"/>
    </w:rPr>
  </w:style>
  <w:style w:type="paragraph" w:customStyle="1" w:styleId="218">
    <w:name w:val="xl102"/>
    <w:basedOn w:val="1"/>
    <w:qFormat/>
    <w:uiPriority w:val="0"/>
    <w:pPr>
      <w:pBdr>
        <w:top w:val="single" w:color="000000" w:sz="8" w:space="0"/>
        <w:bottom w:val="single" w:color="000000" w:sz="8" w:space="0"/>
      </w:pBdr>
      <w:spacing w:beforeAutospacing="1" w:afterAutospacing="1"/>
      <w:jc w:val="center"/>
    </w:pPr>
    <w:rPr>
      <w:rFonts w:eastAsia="SimSun"/>
      <w:b/>
      <w:bCs/>
      <w:sz w:val="24"/>
      <w:szCs w:val="24"/>
    </w:rPr>
  </w:style>
  <w:style w:type="paragraph" w:customStyle="1" w:styleId="219">
    <w:name w:val="xl103"/>
    <w:basedOn w:val="1"/>
    <w:qFormat/>
    <w:uiPriority w:val="0"/>
    <w:pPr>
      <w:pBdr>
        <w:top w:val="single" w:color="000000" w:sz="8" w:space="0"/>
        <w:bottom w:val="single" w:color="000000" w:sz="8" w:space="0"/>
        <w:right w:val="single" w:color="000000" w:sz="4" w:space="0"/>
      </w:pBdr>
      <w:spacing w:beforeAutospacing="1" w:afterAutospacing="1"/>
      <w:jc w:val="center"/>
    </w:pPr>
    <w:rPr>
      <w:rFonts w:eastAsia="SimSun"/>
      <w:b/>
      <w:bCs/>
      <w:sz w:val="24"/>
      <w:szCs w:val="24"/>
    </w:rPr>
  </w:style>
  <w:style w:type="paragraph" w:customStyle="1" w:styleId="220">
    <w:name w:val="xl104"/>
    <w:basedOn w:val="1"/>
    <w:qFormat/>
    <w:uiPriority w:val="0"/>
    <w:pPr>
      <w:pBdr>
        <w:top w:val="single" w:color="000000" w:sz="8" w:space="0"/>
        <w:bottom w:val="single" w:color="000000" w:sz="8" w:space="0"/>
      </w:pBdr>
      <w:spacing w:beforeAutospacing="1" w:afterAutospacing="1"/>
      <w:jc w:val="both"/>
    </w:pPr>
    <w:rPr>
      <w:rFonts w:ascii="Arial" w:hAnsi="Arial" w:eastAsia="SimSun" w:cs="Arial"/>
      <w:b/>
      <w:bCs/>
    </w:rPr>
  </w:style>
  <w:style w:type="paragraph" w:customStyle="1" w:styleId="221">
    <w:name w:val="xl105"/>
    <w:basedOn w:val="1"/>
    <w:qFormat/>
    <w:uiPriority w:val="0"/>
    <w:pPr>
      <w:pBdr>
        <w:top w:val="single" w:color="000000" w:sz="8" w:space="0"/>
        <w:bottom w:val="single" w:color="000000" w:sz="8" w:space="0"/>
      </w:pBdr>
      <w:spacing w:beforeAutospacing="1" w:afterAutospacing="1"/>
      <w:jc w:val="both"/>
    </w:pPr>
    <w:rPr>
      <w:rFonts w:ascii="Arial" w:hAnsi="Arial" w:eastAsia="SimSun" w:cs="Arial"/>
      <w:b/>
      <w:bCs/>
      <w:sz w:val="19"/>
      <w:szCs w:val="19"/>
    </w:rPr>
  </w:style>
  <w:style w:type="paragraph" w:customStyle="1" w:styleId="222">
    <w:name w:val="xl106"/>
    <w:basedOn w:val="1"/>
    <w:qFormat/>
    <w:uiPriority w:val="0"/>
    <w:pPr>
      <w:pBdr>
        <w:top w:val="single" w:color="000000" w:sz="8" w:space="0"/>
        <w:bottom w:val="single" w:color="000000" w:sz="8" w:space="0"/>
        <w:right w:val="single" w:color="000000" w:sz="4" w:space="0"/>
      </w:pBdr>
      <w:spacing w:beforeAutospacing="1" w:afterAutospacing="1"/>
      <w:jc w:val="center"/>
    </w:pPr>
    <w:rPr>
      <w:rFonts w:eastAsia="SimSun"/>
      <w:b/>
      <w:bCs/>
      <w:sz w:val="24"/>
      <w:szCs w:val="24"/>
    </w:rPr>
  </w:style>
  <w:style w:type="paragraph" w:customStyle="1" w:styleId="223">
    <w:name w:val="xl107"/>
    <w:basedOn w:val="1"/>
    <w:qFormat/>
    <w:uiPriority w:val="0"/>
    <w:pPr>
      <w:pBdr>
        <w:top w:val="single" w:color="000000" w:sz="8" w:space="0"/>
      </w:pBdr>
      <w:spacing w:beforeAutospacing="1" w:afterAutospacing="1"/>
      <w:jc w:val="both"/>
    </w:pPr>
    <w:rPr>
      <w:rFonts w:ascii="Arial" w:hAnsi="Arial" w:eastAsia="SimSun" w:cs="Arial"/>
    </w:rPr>
  </w:style>
  <w:style w:type="paragraph" w:customStyle="1" w:styleId="224">
    <w:name w:val="Texto sem Formatação2"/>
    <w:basedOn w:val="1"/>
    <w:qFormat/>
    <w:uiPriority w:val="0"/>
    <w:pPr>
      <w:jc w:val="both"/>
    </w:pPr>
    <w:rPr>
      <w:rFonts w:ascii="Courier New" w:hAnsi="Courier New" w:eastAsia="SimSun" w:cs="Courier New"/>
      <w:lang w:eastAsia="zh-CN"/>
    </w:rPr>
  </w:style>
  <w:style w:type="paragraph" w:customStyle="1" w:styleId="225">
    <w:name w:val="Texto préformatado"/>
    <w:basedOn w:val="1"/>
    <w:qFormat/>
    <w:uiPriority w:val="0"/>
    <w:rPr>
      <w:rFonts w:ascii="Liberation Mono;Courier New" w:hAnsi="Liberation Mono;Courier New" w:eastAsia="NSimSun" w:cs="Liberation Mono;Courier New"/>
    </w:rPr>
  </w:style>
  <w:style w:type="paragraph" w:customStyle="1" w:styleId="226">
    <w:name w:val="Conteúdo do quadro"/>
    <w:basedOn w:val="1"/>
    <w:qFormat/>
    <w:uiPriority w:val="0"/>
  </w:style>
  <w:style w:type="paragraph" w:customStyle="1" w:styleId="227">
    <w:name w:val="Título de tabela"/>
    <w:basedOn w:val="164"/>
    <w:qFormat/>
    <w:uiPriority w:val="0"/>
    <w:pPr>
      <w:jc w:val="center"/>
    </w:pPr>
    <w:rPr>
      <w:b/>
      <w:bCs/>
    </w:rPr>
  </w:style>
  <w:style w:type="paragraph" w:customStyle="1" w:styleId="228">
    <w:name w:val="Título e Conteúdo~LT~Gliederung 1"/>
    <w:qFormat/>
    <w:uiPriority w:val="0"/>
    <w:pPr>
      <w:suppressAutoHyphens/>
      <w:spacing w:before="283" w:line="216" w:lineRule="auto"/>
    </w:pPr>
    <w:rPr>
      <w:rFonts w:ascii="Arial" w:hAnsi="Arial" w:eastAsia="Tahoma" w:cs="Calibri"/>
      <w:color w:val="000000"/>
      <w:kern w:val="2"/>
      <w:sz w:val="56"/>
      <w:szCs w:val="24"/>
      <w:lang w:val="pt-BR" w:eastAsia="zh-CN" w:bidi="hi-IN"/>
    </w:rPr>
  </w:style>
  <w:style w:type="paragraph" w:customStyle="1" w:styleId="229">
    <w:name w:val="Título e Conteúdo~LT~Titel"/>
    <w:qFormat/>
    <w:uiPriority w:val="0"/>
    <w:pPr>
      <w:suppressAutoHyphens/>
      <w:spacing w:line="200" w:lineRule="atLeast"/>
    </w:pPr>
    <w:rPr>
      <w:rFonts w:ascii="Arial" w:hAnsi="Arial" w:eastAsia="Tahoma" w:cs="Noto Sans"/>
      <w:color w:val="000000"/>
      <w:kern w:val="2"/>
      <w:sz w:val="36"/>
      <w:szCs w:val="24"/>
      <w:lang w:val="pt-BR" w:eastAsia="zh-CN" w:bidi="hi-IN"/>
    </w:rPr>
  </w:style>
  <w:style w:type="paragraph" w:customStyle="1" w:styleId="230">
    <w:name w:val="Linha horizontal"/>
    <w:basedOn w:val="1"/>
    <w:next w:val="22"/>
    <w:qFormat/>
    <w:uiPriority w:val="0"/>
    <w:pPr>
      <w:suppressLineNumbers/>
      <w:pBdr>
        <w:bottom w:val="double" w:color="808080" w:sz="2" w:space="0"/>
      </w:pBdr>
      <w:spacing w:after="283"/>
    </w:pPr>
    <w:rPr>
      <w:sz w:val="12"/>
      <w:szCs w:val="12"/>
    </w:rPr>
  </w:style>
  <w:style w:type="paragraph" w:customStyle="1" w:styleId="231">
    <w:name w:val="Título6"/>
    <w:basedOn w:val="169"/>
    <w:next w:val="169"/>
    <w:qFormat/>
    <w:uiPriority w:val="0"/>
    <w:pPr>
      <w:spacing w:before="240" w:after="60"/>
      <w:jc w:val="both"/>
      <w:textAlignment w:val="baseline"/>
    </w:pPr>
    <w:rPr>
      <w:rFonts w:ascii="Arial" w:hAnsi="Arial" w:eastAsia="SimSun;宋体" w:cs="Arial"/>
      <w:b/>
      <w:bCs/>
      <w:kern w:val="2"/>
      <w:sz w:val="22"/>
      <w:szCs w:val="32"/>
      <w:lang w:eastAsia="en-US"/>
    </w:rPr>
  </w:style>
  <w:style w:type="paragraph" w:customStyle="1" w:styleId="232">
    <w:name w:val="LO-normal"/>
    <w:qFormat/>
    <w:uiPriority w:val="0"/>
    <w:pPr>
      <w:widowControl w:val="0"/>
      <w:suppressAutoHyphens/>
    </w:pPr>
    <w:rPr>
      <w:rFonts w:asciiTheme="minorHAnsi" w:hAnsiTheme="minorHAnsi" w:eastAsiaTheme="minorHAnsi" w:cstheme="minorBidi"/>
      <w:szCs w:val="22"/>
      <w:lang w:val="pt-BR" w:eastAsia="en-US" w:bidi="ar-SA"/>
    </w:rPr>
  </w:style>
  <w:style w:type="paragraph" w:customStyle="1" w:styleId="233">
    <w:name w:val="LO-normal0"/>
    <w:qFormat/>
    <w:uiPriority w:val="0"/>
    <w:pPr>
      <w:widowControl w:val="0"/>
      <w:suppressAutoHyphens/>
    </w:pPr>
    <w:rPr>
      <w:rFonts w:asciiTheme="minorHAnsi" w:hAnsiTheme="minorHAnsi" w:eastAsiaTheme="minorHAnsi" w:cstheme="minorBidi"/>
      <w:szCs w:val="22"/>
      <w:lang w:val="pt-BR" w:eastAsia="en-US" w:bidi="ar-SA"/>
    </w:rPr>
  </w:style>
  <w:style w:type="paragraph" w:customStyle="1" w:styleId="234">
    <w:name w:val="LO-normal1"/>
    <w:qFormat/>
    <w:uiPriority w:val="0"/>
    <w:pPr>
      <w:widowControl w:val="0"/>
      <w:suppressAutoHyphens/>
    </w:pPr>
    <w:rPr>
      <w:rFonts w:asciiTheme="minorHAnsi" w:hAnsiTheme="minorHAnsi" w:eastAsiaTheme="minorHAnsi" w:cstheme="minorBidi"/>
      <w:szCs w:val="22"/>
      <w:lang w:val="pt-BR" w:eastAsia="en-US" w:bidi="ar-SA"/>
    </w:rPr>
  </w:style>
  <w:style w:type="table" w:customStyle="1" w:styleId="235">
    <w:name w:val="Table Normal"/>
    <w:qFormat/>
    <w:uiPriority w:val="0"/>
    <w:tblPr>
      <w:tblCellMar>
        <w:top w:w="0" w:type="dxa"/>
        <w:left w:w="0" w:type="dxa"/>
        <w:bottom w:w="0" w:type="dxa"/>
        <w:right w:w="0" w:type="dxa"/>
      </w:tblCellMar>
    </w:tblPr>
  </w:style>
  <w:style w:type="table" w:customStyle="1" w:styleId="236">
    <w:name w:val="Table Grid Light"/>
    <w:basedOn w:val="12"/>
    <w:qFormat/>
    <w:uiPriority w:val="59"/>
    <w:tblPr>
      <w:tblBorders>
        <w:top w:val="single" w:color="AEAEAE" w:themeColor="text1" w:themeTint="50" w:sz="4" w:space="0"/>
        <w:left w:val="single" w:color="AEAEAE" w:themeColor="text1" w:themeTint="50" w:sz="4" w:space="0"/>
        <w:bottom w:val="single" w:color="AEAEAE" w:themeColor="text1" w:themeTint="50" w:sz="4" w:space="0"/>
        <w:right w:val="single" w:color="AEAEAE" w:themeColor="text1" w:themeTint="50" w:sz="4" w:space="0"/>
        <w:insideH w:val="single" w:color="AEAEAE" w:themeColor="text1" w:themeTint="50" w:sz="4" w:space="0"/>
        <w:insideV w:val="single" w:color="AEAEAE" w:themeColor="text1" w:themeTint="50" w:sz="4" w:space="0"/>
      </w:tblBorders>
      <w:tblCellMar>
        <w:top w:w="0" w:type="dxa"/>
        <w:left w:w="108" w:type="dxa"/>
        <w:bottom w:w="0" w:type="dxa"/>
        <w:right w:w="108" w:type="dxa"/>
      </w:tblCellMar>
    </w:tblPr>
  </w:style>
  <w:style w:type="table" w:customStyle="1" w:styleId="237">
    <w:name w:val="Tabela Simples 11"/>
    <w:basedOn w:val="12"/>
    <w:qFormat/>
    <w:uiPriority w:val="59"/>
    <w:tblPr>
      <w:tblBorders>
        <w:top w:val="single" w:color="AEAEAE" w:themeColor="text1" w:themeTint="50" w:sz="4" w:space="0"/>
        <w:left w:val="single" w:color="AEAEAE" w:themeColor="text1" w:themeTint="50" w:sz="4" w:space="0"/>
        <w:bottom w:val="single" w:color="AEAEAE" w:themeColor="text1" w:themeTint="50" w:sz="4" w:space="0"/>
        <w:right w:val="single" w:color="AEAEAE" w:themeColor="text1" w:themeTint="50" w:sz="4" w:space="0"/>
        <w:insideH w:val="single" w:color="AEAEAE" w:themeColor="text1" w:themeTint="50" w:sz="4" w:space="0"/>
        <w:insideV w:val="single" w:color="AEAEAE" w:themeColor="text1" w:themeTint="50" w:sz="4" w:space="0"/>
      </w:tblBorders>
      <w:tblCellMar>
        <w:top w:w="0" w:type="dxa"/>
        <w:left w:w="108" w:type="dxa"/>
        <w:bottom w:w="0" w:type="dxa"/>
        <w:right w:w="108" w:type="dxa"/>
      </w:tblCellMar>
    </w:tblPr>
    <w:tblStylePr w:type="firstRow">
      <w:rPr>
        <w:b/>
        <w:color w:val="404040"/>
        <w:sz w:val="22"/>
      </w:rPr>
    </w:tblStylePr>
    <w:tblStylePr w:type="lastRow">
      <w:rPr>
        <w:b/>
        <w:color w:val="404040"/>
        <w:sz w:val="22"/>
      </w:rPr>
    </w:tblStylePr>
    <w:tblStylePr w:type="firstCol">
      <w:rPr>
        <w:b/>
        <w:color w:val="404040"/>
        <w:sz w:val="22"/>
      </w:rPr>
    </w:tblStylePr>
    <w:tblStylePr w:type="lastCol">
      <w:rPr>
        <w:b/>
        <w:color w:val="404040"/>
        <w:sz w:val="22"/>
      </w:rPr>
    </w:tblStylePr>
    <w:tblStylePr w:type="band1Vert">
      <w:tcPr>
        <w:shd w:val="clear" w:color="F2F2F2" w:fill="F1F1F1" w:themeFill="text1" w:themeFillTint="0D"/>
      </w:tcPr>
    </w:tblStylePr>
    <w:tblStylePr w:type="band1Horz">
      <w:tcPr>
        <w:shd w:val="clear" w:color="F2F2F2" w:fill="F1F1F1" w:themeFill="text1" w:themeFillTint="0D"/>
      </w:tcPr>
    </w:tblStylePr>
  </w:style>
  <w:style w:type="table" w:customStyle="1" w:styleId="238">
    <w:name w:val="Tabela Simples 21"/>
    <w:basedOn w:val="12"/>
    <w:qFormat/>
    <w:uiPriority w:val="59"/>
    <w:tblPr>
      <w:tblBorders>
        <w:top w:val="single" w:color="000000" w:themeColor="text1" w:sz="4" w:space="0"/>
        <w:left w:val="none" w:color="000000" w:themeColor="text1" w:sz="4" w:space="0"/>
        <w:bottom w:val="single" w:color="000000" w:themeColor="text1" w:sz="4" w:space="0"/>
        <w:right w:val="none" w:color="000000" w:themeColor="text1" w:sz="4" w:space="0"/>
      </w:tblBorders>
      <w:tblCellMar>
        <w:top w:w="0" w:type="dxa"/>
        <w:left w:w="108" w:type="dxa"/>
        <w:bottom w:w="0" w:type="dxa"/>
        <w:right w:w="108" w:type="dxa"/>
      </w:tblCellMar>
    </w:tblPr>
    <w:tblStylePr w:type="firstRow">
      <w:rPr>
        <w:b/>
        <w:color w:val="404040"/>
        <w:sz w:val="22"/>
      </w:rPr>
      <w:tcPr>
        <w:tcBorders>
          <w:top w:val="single" w:color="000000" w:themeColor="text1" w:sz="4" w:space="0"/>
          <w:bottom w:val="single" w:color="000000" w:themeColor="text1" w:sz="4" w:space="0"/>
        </w:tcBorders>
      </w:tcPr>
    </w:tblStylePr>
    <w:tblStylePr w:type="lastRow">
      <w:rPr>
        <w:b/>
        <w:color w:val="404040"/>
        <w:sz w:val="22"/>
      </w:rPr>
    </w:tblStylePr>
    <w:tblStylePr w:type="firstCol">
      <w:rPr>
        <w:b/>
        <w:color w:val="404040"/>
        <w:sz w:val="22"/>
      </w:rPr>
    </w:tblStylePr>
    <w:tblStylePr w:type="lastCol">
      <w:rPr>
        <w:b/>
        <w:color w:val="404040"/>
        <w:sz w:val="22"/>
      </w:r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band1Horz">
      <w:tcPr>
        <w:tcBorders>
          <w:top w:val="single" w:color="000000" w:themeColor="text1" w:sz="4" w:space="0"/>
          <w:bottom w:val="single" w:color="000000" w:themeColor="text1" w:sz="4" w:space="0"/>
        </w:tcBorders>
      </w:tcPr>
    </w:tblStylePr>
  </w:style>
  <w:style w:type="table" w:customStyle="1" w:styleId="239">
    <w:name w:val="Tabela Simples 31"/>
    <w:basedOn w:val="12"/>
    <w:qFormat/>
    <w:uiPriority w:val="99"/>
    <w:tblPr>
      <w:tblCellMar>
        <w:top w:w="0" w:type="dxa"/>
        <w:left w:w="108" w:type="dxa"/>
        <w:bottom w:w="0" w:type="dxa"/>
        <w:right w:w="108" w:type="dxa"/>
      </w:tblCellMar>
    </w:tblPr>
    <w:tblStylePr w:type="firstRow">
      <w:rPr>
        <w:b/>
        <w:caps/>
        <w:color w:val="404040"/>
      </w:rPr>
      <w:tcPr>
        <w:tcBorders>
          <w:top w:val="nil"/>
          <w:left w:val="nil"/>
          <w:bottom w:val="single" w:color="404040" w:sz="4" w:space="0"/>
          <w:right w:val="nil"/>
        </w:tcBorders>
      </w:tcPr>
    </w:tblStylePr>
    <w:tblStylePr w:type="lastRow">
      <w:rPr>
        <w:b/>
        <w:caps/>
        <w:color w:val="404040"/>
      </w:rPr>
    </w:tblStylePr>
    <w:tblStylePr w:type="firstCol">
      <w:rPr>
        <w:b/>
        <w:caps/>
        <w:color w:val="404040"/>
      </w:rPr>
      <w:tcPr>
        <w:tcBorders>
          <w:top w:val="nil"/>
          <w:left w:val="nil"/>
          <w:bottom w:val="nil"/>
          <w:right w:val="single" w:color="404040" w:sz="4" w:space="0"/>
        </w:tcBorders>
      </w:tcPr>
    </w:tblStylePr>
    <w:tblStylePr w:type="lastCol">
      <w:rPr>
        <w:b/>
        <w:caps/>
        <w:color w:val="404040"/>
      </w:rPr>
    </w:tblStylePr>
    <w:tblStylePr w:type="band1Vert">
      <w:rPr>
        <w:color w:val="404040"/>
        <w:sz w:val="22"/>
      </w:rPr>
      <w:tcPr>
        <w:shd w:val="clear" w:color="F2F2F2" w:fill="F1F1F1" w:themeFill="text1" w:themeFillTint="0D"/>
      </w:tcPr>
    </w:tblStylePr>
    <w:tblStylePr w:type="band1Horz">
      <w:rPr>
        <w:color w:val="404040"/>
        <w:sz w:val="22"/>
      </w:rPr>
      <w:tcPr>
        <w:shd w:val="clear" w:color="F2F2F2" w:fill="F1F1F1" w:themeFill="text1" w:themeFillTint="0D"/>
      </w:tcPr>
    </w:tblStylePr>
  </w:style>
  <w:style w:type="table" w:customStyle="1" w:styleId="240">
    <w:name w:val="Tabela Simples 41"/>
    <w:basedOn w:val="12"/>
    <w:qFormat/>
    <w:uiPriority w:val="99"/>
    <w:tblPr>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cPr>
        <w:shd w:val="clear" w:color="F2F2F2" w:fill="F1F1F1" w:themeFill="text1" w:themeFillTint="0D"/>
      </w:tcPr>
    </w:tblStylePr>
    <w:tblStylePr w:type="band1Horz">
      <w:rPr>
        <w:color w:val="404040"/>
        <w:sz w:val="22"/>
      </w:rPr>
      <w:tcPr>
        <w:shd w:val="clear" w:color="F2F2F2" w:fill="F1F1F1" w:themeFill="text1" w:themeFillTint="0D"/>
      </w:tcPr>
    </w:tblStylePr>
  </w:style>
  <w:style w:type="table" w:customStyle="1" w:styleId="241">
    <w:name w:val="Tabela Simples 51"/>
    <w:basedOn w:val="12"/>
    <w:qFormat/>
    <w:uiPriority w:val="99"/>
    <w:tblPr>
      <w:tblCellMar>
        <w:top w:w="0" w:type="dxa"/>
        <w:left w:w="108" w:type="dxa"/>
        <w:bottom w:w="0" w:type="dxa"/>
        <w:right w:w="108" w:type="dxa"/>
      </w:tblCellMar>
    </w:tblPr>
    <w:tblStylePr w:type="firstRow">
      <w:rPr>
        <w:i/>
        <w:color w:val="404040"/>
      </w:rPr>
      <w:tcPr>
        <w:tcBorders>
          <w:left w:val="nil"/>
          <w:bottom w:val="single" w:color="404040" w:sz="4" w:space="0"/>
          <w:right w:val="nil"/>
        </w:tcBorders>
        <w:shd w:val="clear" w:color="FFFFFF" w:fill="auto"/>
      </w:tcPr>
    </w:tblStylePr>
    <w:tblStylePr w:type="lastRow">
      <w:rPr>
        <w:i/>
        <w:color w:val="404040"/>
      </w:rPr>
      <w:tcPr>
        <w:tcBorders>
          <w:top w:val="single" w:color="404040" w:sz="4" w:space="0"/>
          <w:left w:val="nil"/>
          <w:right w:val="nil"/>
        </w:tcBorders>
        <w:shd w:val="clear" w:color="FFFFFF" w:fill="auto"/>
      </w:tcPr>
    </w:tblStylePr>
    <w:tblStylePr w:type="firstCol">
      <w:pPr>
        <w:jc w:val="right"/>
      </w:pPr>
      <w:rPr>
        <w:i/>
        <w:color w:val="404040"/>
      </w:rPr>
      <w:tcPr>
        <w:tcBorders>
          <w:right w:val="single" w:color="404040" w:sz="4" w:space="0"/>
        </w:tcBorders>
        <w:shd w:val="clear" w:color="FFFFFF" w:fill="auto"/>
      </w:tcPr>
    </w:tblStylePr>
    <w:tblStylePr w:type="lastCol">
      <w:rPr>
        <w:i/>
        <w:color w:val="404040"/>
      </w:rPr>
      <w:tcPr>
        <w:tcBorders>
          <w:left w:val="single" w:color="404040" w:sz="4" w:space="0"/>
        </w:tcBorders>
        <w:shd w:val="clear" w:color="FFFFFF" w:fill="auto"/>
      </w:tcPr>
    </w:tblStylePr>
    <w:tblStylePr w:type="band1Vert">
      <w:rPr>
        <w:color w:val="404040"/>
        <w:sz w:val="22"/>
      </w:rPr>
      <w:tcPr>
        <w:shd w:val="clear" w:color="F2F2F2" w:fill="F1F1F1" w:themeFill="text1" w:themeFillTint="0D"/>
      </w:tcPr>
    </w:tblStylePr>
    <w:tblStylePr w:type="band1Horz">
      <w:rPr>
        <w:color w:val="404040"/>
        <w:sz w:val="22"/>
      </w:rPr>
      <w:tcPr>
        <w:shd w:val="clear" w:color="F2F2F2" w:fill="F1F1F1" w:themeFill="text1" w:themeFillTint="0D"/>
      </w:tcPr>
    </w:tblStylePr>
  </w:style>
  <w:style w:type="table" w:customStyle="1" w:styleId="242">
    <w:name w:val="Tabela de Grade 1 Clara1"/>
    <w:basedOn w:val="12"/>
    <w:qFormat/>
    <w:uiPriority w:val="99"/>
    <w:tblPr>
      <w:tblBorders>
        <w:top w:val="single" w:color="979797" w:themeColor="text1" w:themeTint="67" w:sz="4" w:space="0"/>
        <w:left w:val="single" w:color="979797" w:themeColor="text1" w:themeTint="67" w:sz="4" w:space="0"/>
        <w:bottom w:val="single" w:color="979797" w:themeColor="text1" w:themeTint="67" w:sz="4" w:space="0"/>
        <w:right w:val="single" w:color="979797" w:themeColor="text1" w:themeTint="67" w:sz="4" w:space="0"/>
        <w:insideH w:val="single" w:color="979797" w:themeColor="text1" w:themeTint="67" w:sz="4" w:space="0"/>
        <w:insideV w:val="single" w:color="979797" w:themeColor="text1" w:themeTint="67" w:sz="4" w:space="0"/>
      </w:tblBorders>
      <w:tblCellMar>
        <w:top w:w="0" w:type="dxa"/>
        <w:left w:w="108" w:type="dxa"/>
        <w:bottom w:w="0" w:type="dxa"/>
        <w:right w:w="108" w:type="dxa"/>
      </w:tblCellMar>
    </w:tblPr>
    <w:tblStylePr w:type="firstRow">
      <w:rPr>
        <w:b/>
        <w:color w:val="404040"/>
      </w:rPr>
      <w:tcPr>
        <w:tcBorders>
          <w:bottom w:val="single" w:color="000000" w:themeColor="text1"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cPr>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style>
  <w:style w:type="table" w:customStyle="1" w:styleId="243">
    <w:name w:val="Grid Table 1 Light - Accent 1"/>
    <w:basedOn w:val="12"/>
    <w:qFormat/>
    <w:uiPriority w:val="99"/>
    <w:tblPr>
      <w:tblBorders>
        <w:top w:val="single" w:color="B7CCE4" w:themeColor="accent1" w:themeTint="67" w:sz="4" w:space="0"/>
        <w:left w:val="single" w:color="B7CCE4" w:themeColor="accent1" w:themeTint="67" w:sz="4" w:space="0"/>
        <w:bottom w:val="single" w:color="B7CCE4" w:themeColor="accent1" w:themeTint="67" w:sz="4" w:space="0"/>
        <w:right w:val="single" w:color="B7CCE4" w:themeColor="accent1" w:themeTint="67" w:sz="4" w:space="0"/>
        <w:insideH w:val="single" w:color="B7CCE4" w:themeColor="accent1" w:themeTint="67" w:sz="4" w:space="0"/>
        <w:insideV w:val="single" w:color="B7CCE4" w:themeColor="accent1" w:themeTint="67" w:sz="4" w:space="0"/>
      </w:tblBorders>
      <w:tblCellMar>
        <w:top w:w="0" w:type="dxa"/>
        <w:left w:w="108" w:type="dxa"/>
        <w:bottom w:w="0" w:type="dxa"/>
        <w:right w:w="108" w:type="dxa"/>
      </w:tblCellMar>
    </w:tblPr>
    <w:tblStylePr w:type="firstRow">
      <w:rPr>
        <w:b/>
        <w:color w:val="404040"/>
      </w:rPr>
      <w:tcPr>
        <w:tcBorders>
          <w:bottom w:val="single" w:color="4F81BD" w:themeColor="accent1"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cPr>
        <w:tcBorders>
          <w:top w:val="single" w:color="4F81BD" w:themeColor="accent1" w:sz="4" w:space="0"/>
          <w:left w:val="single" w:color="4F81BD" w:themeColor="accent1" w:sz="4" w:space="0"/>
          <w:bottom w:val="single" w:color="4F81BD" w:themeColor="accent1" w:sz="4" w:space="0"/>
          <w:right w:val="single" w:color="4F81BD" w:themeColor="accent1" w:sz="4" w:space="0"/>
        </w:tcBorders>
      </w:tcPr>
    </w:tblStylePr>
  </w:style>
  <w:style w:type="table" w:customStyle="1" w:styleId="244">
    <w:name w:val="Grid Table 1 Light - Accent 2"/>
    <w:basedOn w:val="12"/>
    <w:qFormat/>
    <w:uiPriority w:val="99"/>
    <w:tblPr>
      <w:tblBorders>
        <w:top w:val="single" w:color="E5B8B7" w:themeColor="accent2" w:themeTint="67" w:sz="4" w:space="0"/>
        <w:left w:val="single" w:color="E5B8B7" w:themeColor="accent2" w:themeTint="67" w:sz="4" w:space="0"/>
        <w:bottom w:val="single" w:color="E5B8B7" w:themeColor="accent2" w:themeTint="67" w:sz="4" w:space="0"/>
        <w:right w:val="single" w:color="E5B8B7" w:themeColor="accent2" w:themeTint="67" w:sz="4" w:space="0"/>
        <w:insideH w:val="single" w:color="E5B8B7" w:themeColor="accent2" w:themeTint="67" w:sz="4" w:space="0"/>
        <w:insideV w:val="single" w:color="E5B8B7" w:themeColor="accent2" w:themeTint="67" w:sz="4" w:space="0"/>
      </w:tblBorders>
      <w:tblCellMar>
        <w:top w:w="0" w:type="dxa"/>
        <w:left w:w="108" w:type="dxa"/>
        <w:bottom w:w="0" w:type="dxa"/>
        <w:right w:w="108" w:type="dxa"/>
      </w:tblCellMar>
    </w:tblPr>
    <w:tblStylePr w:type="firstRow">
      <w:rPr>
        <w:b/>
        <w:color w:val="404040"/>
      </w:rPr>
      <w:tcPr>
        <w:tcBorders>
          <w:bottom w:val="single" w:color="C0504D" w:themeColor="accent2"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cPr>
        <w:tcBorders>
          <w:top w:val="single" w:color="C0504D" w:themeColor="accent2" w:sz="4" w:space="0"/>
          <w:left w:val="single" w:color="C0504D" w:themeColor="accent2" w:sz="4" w:space="0"/>
          <w:bottom w:val="single" w:color="C0504D" w:themeColor="accent2" w:sz="4" w:space="0"/>
          <w:right w:val="single" w:color="C0504D" w:themeColor="accent2" w:sz="4" w:space="0"/>
        </w:tcBorders>
      </w:tcPr>
    </w:tblStylePr>
  </w:style>
  <w:style w:type="table" w:customStyle="1" w:styleId="245">
    <w:name w:val="Grid Table 1 Light - Accent 3"/>
    <w:basedOn w:val="12"/>
    <w:qFormat/>
    <w:uiPriority w:val="99"/>
    <w:tblPr>
      <w:tblBorders>
        <w:top w:val="single" w:color="D6E3BB" w:themeColor="accent3" w:themeTint="67" w:sz="4" w:space="0"/>
        <w:left w:val="single" w:color="D6E3BB" w:themeColor="accent3" w:themeTint="67" w:sz="4" w:space="0"/>
        <w:bottom w:val="single" w:color="D6E3BB" w:themeColor="accent3" w:themeTint="67" w:sz="4" w:space="0"/>
        <w:right w:val="single" w:color="D6E3BB" w:themeColor="accent3" w:themeTint="67" w:sz="4" w:space="0"/>
        <w:insideH w:val="single" w:color="D6E3BB" w:themeColor="accent3" w:themeTint="67" w:sz="4" w:space="0"/>
        <w:insideV w:val="single" w:color="D6E3BB" w:themeColor="accent3" w:themeTint="67" w:sz="4" w:space="0"/>
      </w:tblBorders>
      <w:tblCellMar>
        <w:top w:w="0" w:type="dxa"/>
        <w:left w:w="108" w:type="dxa"/>
        <w:bottom w:w="0" w:type="dxa"/>
        <w:right w:w="108" w:type="dxa"/>
      </w:tblCellMar>
    </w:tblPr>
    <w:tblStylePr w:type="firstRow">
      <w:rPr>
        <w:b/>
        <w:color w:val="404040"/>
      </w:rPr>
      <w:tcPr>
        <w:tcBorders>
          <w:bottom w:val="single" w:color="9BBB59" w:themeColor="accent3"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cPr>
        <w:tcBorders>
          <w:top w:val="single" w:color="9BBB59" w:themeColor="accent3" w:sz="4" w:space="0"/>
          <w:left w:val="single" w:color="9BBB59" w:themeColor="accent3" w:sz="4" w:space="0"/>
          <w:bottom w:val="single" w:color="9BBB59" w:themeColor="accent3" w:sz="4" w:space="0"/>
          <w:right w:val="single" w:color="9BBB59" w:themeColor="accent3" w:sz="4" w:space="0"/>
        </w:tcBorders>
      </w:tcPr>
    </w:tblStylePr>
  </w:style>
  <w:style w:type="table" w:customStyle="1" w:styleId="246">
    <w:name w:val="Grid Table 1 Light - Accent 4"/>
    <w:basedOn w:val="12"/>
    <w:qFormat/>
    <w:uiPriority w:val="99"/>
    <w:tblPr>
      <w:tblBorders>
        <w:top w:val="single" w:color="CBC0D9" w:themeColor="accent4" w:themeTint="67" w:sz="4" w:space="0"/>
        <w:left w:val="single" w:color="CBC0D9" w:themeColor="accent4" w:themeTint="67" w:sz="4" w:space="0"/>
        <w:bottom w:val="single" w:color="CBC0D9" w:themeColor="accent4" w:themeTint="67" w:sz="4" w:space="0"/>
        <w:right w:val="single" w:color="CBC0D9" w:themeColor="accent4" w:themeTint="67" w:sz="4" w:space="0"/>
        <w:insideH w:val="single" w:color="CBC0D9" w:themeColor="accent4" w:themeTint="67" w:sz="4" w:space="0"/>
        <w:insideV w:val="single" w:color="CBC0D9" w:themeColor="accent4" w:themeTint="67" w:sz="4" w:space="0"/>
      </w:tblBorders>
      <w:tblCellMar>
        <w:top w:w="0" w:type="dxa"/>
        <w:left w:w="108" w:type="dxa"/>
        <w:bottom w:w="0" w:type="dxa"/>
        <w:right w:w="108" w:type="dxa"/>
      </w:tblCellMar>
    </w:tblPr>
    <w:tblStylePr w:type="firstRow">
      <w:rPr>
        <w:b/>
        <w:color w:val="404040"/>
      </w:rPr>
      <w:tcPr>
        <w:tcBorders>
          <w:bottom w:val="single" w:color="8064A2" w:themeColor="accent4"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cPr>
        <w:tcBorders>
          <w:top w:val="single" w:color="8064A2" w:themeColor="accent4" w:sz="4" w:space="0"/>
          <w:left w:val="single" w:color="8064A2" w:themeColor="accent4" w:sz="4" w:space="0"/>
          <w:bottom w:val="single" w:color="8064A2" w:themeColor="accent4" w:sz="4" w:space="0"/>
          <w:right w:val="single" w:color="8064A2" w:themeColor="accent4" w:sz="4" w:space="0"/>
        </w:tcBorders>
      </w:tcPr>
    </w:tblStylePr>
  </w:style>
  <w:style w:type="table" w:customStyle="1" w:styleId="247">
    <w:name w:val="Grid Table 1 Light - Accent 5"/>
    <w:basedOn w:val="12"/>
    <w:qFormat/>
    <w:uiPriority w:val="99"/>
    <w:tblPr>
      <w:tblBorders>
        <w:top w:val="single" w:color="B6DDE7" w:themeColor="accent5" w:themeTint="67" w:sz="4" w:space="0"/>
        <w:left w:val="single" w:color="B6DDE7" w:themeColor="accent5" w:themeTint="67" w:sz="4" w:space="0"/>
        <w:bottom w:val="single" w:color="B6DDE7" w:themeColor="accent5" w:themeTint="67" w:sz="4" w:space="0"/>
        <w:right w:val="single" w:color="B6DDE7" w:themeColor="accent5" w:themeTint="67" w:sz="4" w:space="0"/>
        <w:insideH w:val="single" w:color="B6DDE7" w:themeColor="accent5" w:themeTint="67" w:sz="4" w:space="0"/>
        <w:insideV w:val="single" w:color="B6DDE7" w:themeColor="accent5" w:themeTint="67" w:sz="4" w:space="0"/>
      </w:tblBorders>
      <w:tblCellMar>
        <w:top w:w="0" w:type="dxa"/>
        <w:left w:w="108" w:type="dxa"/>
        <w:bottom w:w="0" w:type="dxa"/>
        <w:right w:w="108" w:type="dxa"/>
      </w:tblCellMar>
    </w:tblPr>
    <w:tblStylePr w:type="firstRow">
      <w:rPr>
        <w:b/>
        <w:color w:val="404040"/>
      </w:rPr>
      <w:tcPr>
        <w:tcBorders>
          <w:bottom w:val="single" w:color="4BACC6" w:themeColor="accent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cPr>
        <w:tcBorders>
          <w:top w:val="single" w:color="4BACC6" w:themeColor="accent5" w:sz="4" w:space="0"/>
          <w:left w:val="single" w:color="4BACC6" w:themeColor="accent5" w:sz="4" w:space="0"/>
          <w:bottom w:val="single" w:color="4BACC6" w:themeColor="accent5" w:sz="4" w:space="0"/>
          <w:right w:val="single" w:color="4BACC6" w:themeColor="accent5" w:sz="4" w:space="0"/>
        </w:tcBorders>
      </w:tcPr>
    </w:tblStylePr>
  </w:style>
  <w:style w:type="table" w:customStyle="1" w:styleId="248">
    <w:name w:val="Grid Table 1 Light - Accent 6"/>
    <w:basedOn w:val="12"/>
    <w:qFormat/>
    <w:uiPriority w:val="99"/>
    <w:tblPr>
      <w:tblBorders>
        <w:top w:val="single" w:color="FBD4B4" w:themeColor="accent6" w:themeTint="67" w:sz="4" w:space="0"/>
        <w:left w:val="single" w:color="FBD4B4" w:themeColor="accent6" w:themeTint="67" w:sz="4" w:space="0"/>
        <w:bottom w:val="single" w:color="FBD4B4" w:themeColor="accent6" w:themeTint="67" w:sz="4" w:space="0"/>
        <w:right w:val="single" w:color="FBD4B4" w:themeColor="accent6" w:themeTint="67" w:sz="4" w:space="0"/>
        <w:insideH w:val="single" w:color="FBD4B4" w:themeColor="accent6" w:themeTint="67" w:sz="4" w:space="0"/>
        <w:insideV w:val="single" w:color="FBD4B4" w:themeColor="accent6" w:themeTint="67" w:sz="4" w:space="0"/>
      </w:tblBorders>
      <w:tblCellMar>
        <w:top w:w="0" w:type="dxa"/>
        <w:left w:w="108" w:type="dxa"/>
        <w:bottom w:w="0" w:type="dxa"/>
        <w:right w:w="108" w:type="dxa"/>
      </w:tblCellMar>
    </w:tblPr>
    <w:tblStylePr w:type="firstRow">
      <w:rPr>
        <w:b/>
        <w:color w:val="404040"/>
      </w:rPr>
      <w:tcPr>
        <w:tcBorders>
          <w:bottom w:val="single" w:color="F79646" w:themeColor="accent6"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cPr>
        <w:tcBorders>
          <w:top w:val="single" w:color="F79646" w:themeColor="accent6" w:sz="4" w:space="0"/>
          <w:left w:val="single" w:color="F79646" w:themeColor="accent6" w:sz="4" w:space="0"/>
          <w:bottom w:val="single" w:color="F79646" w:themeColor="accent6" w:sz="4" w:space="0"/>
          <w:right w:val="single" w:color="F79646" w:themeColor="accent6" w:sz="4" w:space="0"/>
        </w:tcBorders>
      </w:tcPr>
    </w:tblStylePr>
  </w:style>
  <w:style w:type="table" w:customStyle="1" w:styleId="249">
    <w:name w:val="Tabela de Grade 21"/>
    <w:basedOn w:val="12"/>
    <w:qFormat/>
    <w:uiPriority w:val="99"/>
    <w:tblPr>
      <w:tblBorders>
        <w:bottom w:val="single" w:color="696969" w:themeColor="text1" w:themeTint="95" w:sz="4" w:space="0"/>
        <w:insideH w:val="single" w:color="696969" w:themeColor="text1" w:themeTint="95" w:sz="4" w:space="0"/>
        <w:insideV w:val="single" w:color="696969" w:themeColor="text1" w:themeTint="95" w:sz="4" w:space="0"/>
      </w:tblBorders>
      <w:tblCellMar>
        <w:top w:w="0" w:type="dxa"/>
        <w:left w:w="108" w:type="dxa"/>
        <w:bottom w:w="0" w:type="dxa"/>
        <w:right w:w="108" w:type="dxa"/>
      </w:tblCellMar>
    </w:tblPr>
    <w:tblStylePr w:type="firstRow">
      <w:rPr>
        <w:b/>
        <w:color w:val="404040"/>
      </w:rPr>
      <w:tcPr>
        <w:tcBorders>
          <w:top w:val="nil"/>
          <w:left w:val="nil"/>
          <w:bottom w:val="single" w:color="000000" w:themeColor="text1" w:sz="12" w:space="0"/>
          <w:right w:val="nil"/>
        </w:tcBorders>
        <w:shd w:val="clear" w:color="FFFFFF" w:fill="auto"/>
      </w:tcPr>
    </w:tblStylePr>
    <w:tblStylePr w:type="lastRow">
      <w:rPr>
        <w:b/>
        <w:color w:val="404040"/>
      </w:rPr>
      <w:tcPr>
        <w:tcBorders>
          <w:top w:val="single" w:color="000000" w:themeColor="text1"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color w:val="404040"/>
        <w:sz w:val="22"/>
      </w:rPr>
      <w:tcPr>
        <w:shd w:val="clear" w:color="CBCBCB" w:fill="CACACA" w:themeFill="text1" w:themeFillTint="34"/>
      </w:tcPr>
    </w:tblStylePr>
    <w:tblStylePr w:type="band1Horz">
      <w:rPr>
        <w:color w:val="404040"/>
        <w:sz w:val="22"/>
      </w:rPr>
      <w:tcPr>
        <w:shd w:val="clear" w:color="CBCBCB" w:fill="CACACA" w:themeFill="text1" w:themeFillTint="34"/>
      </w:tcPr>
    </w:tblStylePr>
  </w:style>
  <w:style w:type="table" w:customStyle="1" w:styleId="250">
    <w:name w:val="Grid Table 2 - Accent 1"/>
    <w:basedOn w:val="12"/>
    <w:qFormat/>
    <w:uiPriority w:val="99"/>
    <w:tblPr>
      <w:tblBorders>
        <w:bottom w:val="single" w:color="5D8BC2" w:themeColor="accent1" w:themeTint="EA" w:sz="4" w:space="0"/>
        <w:insideH w:val="single" w:color="5D8BC2" w:themeColor="accent1" w:themeTint="EA" w:sz="4" w:space="0"/>
        <w:insideV w:val="single" w:color="5D8BC2" w:themeColor="accent1" w:themeTint="EA" w:sz="4" w:space="0"/>
      </w:tblBorders>
      <w:tblCellMar>
        <w:top w:w="0" w:type="dxa"/>
        <w:left w:w="108" w:type="dxa"/>
        <w:bottom w:w="0" w:type="dxa"/>
        <w:right w:w="108" w:type="dxa"/>
      </w:tblCellMar>
    </w:tblPr>
    <w:tblStylePr w:type="firstRow">
      <w:rPr>
        <w:b/>
        <w:color w:val="404040"/>
      </w:rPr>
      <w:tcPr>
        <w:tcBorders>
          <w:top w:val="nil"/>
          <w:left w:val="nil"/>
          <w:bottom w:val="single" w:color="4F81BD" w:themeColor="accent1" w:sz="12" w:space="0"/>
          <w:right w:val="nil"/>
        </w:tcBorders>
        <w:shd w:val="clear" w:color="FFFFFF" w:fill="auto"/>
      </w:tcPr>
    </w:tblStylePr>
    <w:tblStylePr w:type="lastRow">
      <w:rPr>
        <w:b/>
        <w:color w:val="404040"/>
      </w:rPr>
      <w:tcPr>
        <w:tcBorders>
          <w:top w:val="single" w:color="4F81BD" w:themeColor="accent1"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color w:val="404040"/>
        <w:sz w:val="22"/>
      </w:rPr>
      <w:tcPr>
        <w:shd w:val="clear" w:color="DAE5F1" w:fill="DBE5F1" w:themeFill="accent1" w:themeFillTint="34"/>
      </w:tcPr>
    </w:tblStylePr>
    <w:tblStylePr w:type="band1Horz">
      <w:rPr>
        <w:color w:val="404040"/>
        <w:sz w:val="22"/>
      </w:rPr>
      <w:tcPr>
        <w:shd w:val="clear" w:color="DAE5F1" w:fill="DBE5F1" w:themeFill="accent1" w:themeFillTint="34"/>
      </w:tcPr>
    </w:tblStylePr>
  </w:style>
  <w:style w:type="table" w:customStyle="1" w:styleId="251">
    <w:name w:val="Grid Table 2 - Accent 2"/>
    <w:basedOn w:val="12"/>
    <w:qFormat/>
    <w:uiPriority w:val="99"/>
    <w:tblPr>
      <w:tblBorders>
        <w:bottom w:val="single" w:color="D99795" w:themeColor="accent2" w:themeTint="97" w:sz="4" w:space="0"/>
        <w:insideH w:val="single" w:color="D99795" w:themeColor="accent2" w:themeTint="97" w:sz="4" w:space="0"/>
        <w:insideV w:val="single" w:color="D99795" w:themeColor="accent2" w:themeTint="97" w:sz="4" w:space="0"/>
      </w:tblBorders>
      <w:tblCellMar>
        <w:top w:w="0" w:type="dxa"/>
        <w:left w:w="108" w:type="dxa"/>
        <w:bottom w:w="0" w:type="dxa"/>
        <w:right w:w="108" w:type="dxa"/>
      </w:tblCellMar>
    </w:tblPr>
    <w:tblStylePr w:type="firstRow">
      <w:rPr>
        <w:b/>
        <w:color w:val="404040"/>
      </w:rPr>
      <w:tcPr>
        <w:tcBorders>
          <w:top w:val="nil"/>
          <w:left w:val="nil"/>
          <w:bottom w:val="single" w:color="C0504D" w:themeColor="accent2" w:sz="12" w:space="0"/>
          <w:right w:val="nil"/>
        </w:tcBorders>
        <w:shd w:val="clear" w:color="FFFFFF" w:fill="auto"/>
      </w:tcPr>
    </w:tblStylePr>
    <w:tblStylePr w:type="lastRow">
      <w:rPr>
        <w:b/>
        <w:color w:val="404040"/>
      </w:rPr>
      <w:tcPr>
        <w:tcBorders>
          <w:top w:val="single" w:color="C0504D" w:themeColor="accent2"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color w:val="404040"/>
        <w:sz w:val="22"/>
      </w:rPr>
      <w:tcPr>
        <w:shd w:val="clear" w:color="F2DCDC" w:fill="F2DCDC" w:themeFill="accent2" w:themeFillTint="32"/>
      </w:tcPr>
    </w:tblStylePr>
    <w:tblStylePr w:type="band1Horz">
      <w:rPr>
        <w:color w:val="404040"/>
        <w:sz w:val="22"/>
      </w:rPr>
      <w:tcPr>
        <w:shd w:val="clear" w:color="F2DCDC" w:fill="F2DCDC" w:themeFill="accent2" w:themeFillTint="32"/>
      </w:tcPr>
    </w:tblStylePr>
  </w:style>
  <w:style w:type="table" w:customStyle="1" w:styleId="252">
    <w:name w:val="Grid Table 2 - Accent 3"/>
    <w:basedOn w:val="12"/>
    <w:qFormat/>
    <w:uiPriority w:val="99"/>
    <w:tblPr>
      <w:tblBorders>
        <w:bottom w:val="single" w:color="9BBB59" w:themeColor="accent3" w:themeTint="FE" w:sz="4" w:space="0"/>
        <w:insideH w:val="single" w:color="9BBB59" w:themeColor="accent3" w:themeTint="FE" w:sz="4" w:space="0"/>
        <w:insideV w:val="single" w:color="9BBB59" w:themeColor="accent3" w:themeTint="FE" w:sz="4" w:space="0"/>
      </w:tblBorders>
      <w:tblCellMar>
        <w:top w:w="0" w:type="dxa"/>
        <w:left w:w="108" w:type="dxa"/>
        <w:bottom w:w="0" w:type="dxa"/>
        <w:right w:w="108" w:type="dxa"/>
      </w:tblCellMar>
    </w:tblPr>
    <w:tblStylePr w:type="firstRow">
      <w:rPr>
        <w:b/>
        <w:color w:val="404040"/>
      </w:rPr>
      <w:tcPr>
        <w:tcBorders>
          <w:top w:val="nil"/>
          <w:left w:val="nil"/>
          <w:bottom w:val="single" w:color="9BBB59" w:themeColor="accent3" w:sz="12" w:space="0"/>
          <w:right w:val="nil"/>
        </w:tcBorders>
        <w:shd w:val="clear" w:color="FFFFFF" w:fill="auto"/>
      </w:tcPr>
    </w:tblStylePr>
    <w:tblStylePr w:type="lastRow">
      <w:rPr>
        <w:b/>
        <w:color w:val="404040"/>
      </w:rPr>
      <w:tcPr>
        <w:tcBorders>
          <w:top w:val="single" w:color="9BBB59" w:themeColor="accent3"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color w:val="404040"/>
        <w:sz w:val="22"/>
      </w:rPr>
      <w:tcPr>
        <w:shd w:val="clear" w:color="EAF1DC" w:fill="EAF1DD" w:themeFill="accent3" w:themeFillTint="34"/>
      </w:tcPr>
    </w:tblStylePr>
    <w:tblStylePr w:type="band1Horz">
      <w:rPr>
        <w:color w:val="404040"/>
        <w:sz w:val="22"/>
      </w:rPr>
      <w:tcPr>
        <w:shd w:val="clear" w:color="EAF1DC" w:fill="EAF1DD" w:themeFill="accent3" w:themeFillTint="34"/>
      </w:tcPr>
    </w:tblStylePr>
  </w:style>
  <w:style w:type="table" w:customStyle="1" w:styleId="253">
    <w:name w:val="Grid Table 2 - Accent 4"/>
    <w:basedOn w:val="12"/>
    <w:qFormat/>
    <w:uiPriority w:val="99"/>
    <w:tblPr>
      <w:tblBorders>
        <w:bottom w:val="single" w:color="B2A1C6" w:themeColor="accent4" w:themeTint="9A" w:sz="4" w:space="0"/>
        <w:insideH w:val="single" w:color="B2A1C6" w:themeColor="accent4" w:themeTint="9A" w:sz="4" w:space="0"/>
        <w:insideV w:val="single" w:color="B2A1C6" w:themeColor="accent4" w:themeTint="9A" w:sz="4" w:space="0"/>
      </w:tblBorders>
      <w:tblCellMar>
        <w:top w:w="0" w:type="dxa"/>
        <w:left w:w="108" w:type="dxa"/>
        <w:bottom w:w="0" w:type="dxa"/>
        <w:right w:w="108" w:type="dxa"/>
      </w:tblCellMar>
    </w:tblPr>
    <w:tblStylePr w:type="firstRow">
      <w:rPr>
        <w:b/>
        <w:color w:val="404040"/>
      </w:rPr>
      <w:tcPr>
        <w:tcBorders>
          <w:top w:val="nil"/>
          <w:left w:val="nil"/>
          <w:bottom w:val="single" w:color="8064A2" w:themeColor="accent4" w:sz="12" w:space="0"/>
          <w:right w:val="nil"/>
        </w:tcBorders>
        <w:shd w:val="clear" w:color="FFFFFF" w:fill="auto"/>
      </w:tcPr>
    </w:tblStylePr>
    <w:tblStylePr w:type="lastRow">
      <w:rPr>
        <w:b/>
        <w:color w:val="404040"/>
      </w:rPr>
      <w:tcPr>
        <w:tcBorders>
          <w:top w:val="single" w:color="8064A2" w:themeColor="accent4"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color w:val="404040"/>
        <w:sz w:val="22"/>
      </w:rPr>
      <w:tcPr>
        <w:shd w:val="clear" w:color="E5DFEC" w:fill="E5DFEC" w:themeFill="accent4" w:themeFillTint="34"/>
      </w:tcPr>
    </w:tblStylePr>
    <w:tblStylePr w:type="band1Horz">
      <w:rPr>
        <w:color w:val="404040"/>
        <w:sz w:val="22"/>
      </w:rPr>
      <w:tcPr>
        <w:shd w:val="clear" w:color="E5DFEC" w:fill="E5DFEC" w:themeFill="accent4" w:themeFillTint="34"/>
      </w:tcPr>
    </w:tblStylePr>
  </w:style>
  <w:style w:type="table" w:customStyle="1" w:styleId="254">
    <w:name w:val="Grid Table 2 - Accent 5"/>
    <w:basedOn w:val="12"/>
    <w:qFormat/>
    <w:uiPriority w:val="99"/>
    <w:tblPr>
      <w:tblBorders>
        <w:bottom w:val="single" w:color="4BACC6" w:themeColor="accent5" w:sz="4" w:space="0"/>
        <w:insideH w:val="single" w:color="4BACC6" w:themeColor="accent5" w:sz="4" w:space="0"/>
        <w:insideV w:val="single" w:color="4BACC6" w:themeColor="accent5" w:sz="4" w:space="0"/>
      </w:tblBorders>
      <w:tblCellMar>
        <w:top w:w="0" w:type="dxa"/>
        <w:left w:w="108" w:type="dxa"/>
        <w:bottom w:w="0" w:type="dxa"/>
        <w:right w:w="108" w:type="dxa"/>
      </w:tblCellMar>
    </w:tblPr>
    <w:tblStylePr w:type="firstRow">
      <w:rPr>
        <w:b/>
        <w:color w:val="404040"/>
      </w:rPr>
      <w:tcPr>
        <w:tcBorders>
          <w:top w:val="nil"/>
          <w:left w:val="nil"/>
          <w:bottom w:val="single" w:color="4BACC6" w:themeColor="accent5" w:sz="12" w:space="0"/>
          <w:right w:val="nil"/>
        </w:tcBorders>
        <w:shd w:val="clear" w:color="FFFFFF" w:fill="auto"/>
      </w:tcPr>
    </w:tblStylePr>
    <w:tblStylePr w:type="lastRow">
      <w:rPr>
        <w:b/>
        <w:color w:val="404040"/>
      </w:rPr>
      <w:tcPr>
        <w:tcBorders>
          <w:top w:val="single" w:color="4BACC6" w:themeColor="accent5"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color w:val="404040"/>
        <w:sz w:val="22"/>
      </w:rPr>
      <w:tcPr>
        <w:shd w:val="clear" w:color="DAEEF3" w:fill="DAEEF3" w:themeFill="accent5" w:themeFillTint="34"/>
      </w:tcPr>
    </w:tblStylePr>
    <w:tblStylePr w:type="band1Horz">
      <w:rPr>
        <w:color w:val="404040"/>
        <w:sz w:val="22"/>
      </w:rPr>
      <w:tcPr>
        <w:shd w:val="clear" w:color="DAEEF3" w:fill="DAEEF3" w:themeFill="accent5" w:themeFillTint="34"/>
      </w:tcPr>
    </w:tblStylePr>
  </w:style>
  <w:style w:type="table" w:customStyle="1" w:styleId="255">
    <w:name w:val="Grid Table 2 - Accent 6"/>
    <w:basedOn w:val="12"/>
    <w:qFormat/>
    <w:uiPriority w:val="99"/>
    <w:tblPr>
      <w:tblBorders>
        <w:bottom w:val="single" w:color="F79646" w:themeColor="accent6" w:sz="4" w:space="0"/>
        <w:insideH w:val="single" w:color="F79646" w:themeColor="accent6" w:sz="4" w:space="0"/>
        <w:insideV w:val="single" w:color="F79646" w:themeColor="accent6" w:sz="4" w:space="0"/>
      </w:tblBorders>
      <w:tblCellMar>
        <w:top w:w="0" w:type="dxa"/>
        <w:left w:w="108" w:type="dxa"/>
        <w:bottom w:w="0" w:type="dxa"/>
        <w:right w:w="108" w:type="dxa"/>
      </w:tblCellMar>
    </w:tblPr>
    <w:tblStylePr w:type="firstRow">
      <w:rPr>
        <w:b/>
        <w:color w:val="404040"/>
      </w:rPr>
      <w:tcPr>
        <w:tcBorders>
          <w:top w:val="nil"/>
          <w:left w:val="nil"/>
          <w:bottom w:val="single" w:color="F79646" w:themeColor="accent6" w:sz="12" w:space="0"/>
          <w:right w:val="nil"/>
        </w:tcBorders>
        <w:shd w:val="clear" w:color="FFFFFF" w:fill="auto"/>
      </w:tcPr>
    </w:tblStylePr>
    <w:tblStylePr w:type="lastRow">
      <w:rPr>
        <w:b/>
        <w:color w:val="404040"/>
      </w:rPr>
      <w:tcPr>
        <w:tcBorders>
          <w:top w:val="single" w:color="F79646" w:themeColor="accent6"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color w:val="404040"/>
        <w:sz w:val="22"/>
      </w:rPr>
      <w:tcPr>
        <w:shd w:val="clear" w:color="FDE9D8" w:fill="FDE9D9" w:themeFill="accent6" w:themeFillTint="34"/>
      </w:tcPr>
    </w:tblStylePr>
    <w:tblStylePr w:type="band1Horz">
      <w:rPr>
        <w:color w:val="404040"/>
        <w:sz w:val="22"/>
      </w:rPr>
      <w:tcPr>
        <w:shd w:val="clear" w:color="FDE9D8" w:fill="FDE9D9" w:themeFill="accent6" w:themeFillTint="34"/>
      </w:tcPr>
    </w:tblStylePr>
  </w:style>
  <w:style w:type="table" w:customStyle="1" w:styleId="256">
    <w:name w:val="Tabela de Grade 31"/>
    <w:basedOn w:val="12"/>
    <w:qFormat/>
    <w:uiPriority w:val="99"/>
    <w:tblPr>
      <w:tblBorders>
        <w:bottom w:val="single" w:color="696969" w:themeColor="text1" w:themeTint="95" w:sz="4" w:space="0"/>
        <w:insideH w:val="single" w:color="696969" w:themeColor="text1" w:themeTint="95" w:sz="4" w:space="0"/>
        <w:insideV w:val="single" w:color="696969" w:themeColor="text1" w:themeTint="95" w:sz="4" w:space="0"/>
      </w:tblBorders>
      <w:tblCellMar>
        <w:top w:w="0" w:type="dxa"/>
        <w:left w:w="108" w:type="dxa"/>
        <w:bottom w:w="0" w:type="dxa"/>
        <w:right w:w="108" w:type="dxa"/>
      </w:tblCellMar>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color w:val="404040"/>
        <w:sz w:val="22"/>
      </w:rPr>
      <w:tcPr>
        <w:shd w:val="clear" w:color="CBCBCB" w:fill="CACACA" w:themeFill="text1" w:themeFillTint="34"/>
      </w:tcPr>
    </w:tblStylePr>
    <w:tblStylePr w:type="band1Horz">
      <w:rPr>
        <w:color w:val="404040"/>
        <w:sz w:val="22"/>
      </w:rPr>
      <w:tcPr>
        <w:shd w:val="clear" w:color="CBCBCB" w:fill="CACACA" w:themeFill="text1" w:themeFillTint="34"/>
      </w:tcPr>
    </w:tblStylePr>
  </w:style>
  <w:style w:type="table" w:customStyle="1" w:styleId="257">
    <w:name w:val="Grid Table 3 - Accent 1"/>
    <w:basedOn w:val="12"/>
    <w:qFormat/>
    <w:uiPriority w:val="99"/>
    <w:tblPr>
      <w:tblBorders>
        <w:bottom w:val="single" w:color="5D8BC2" w:themeColor="accent1" w:themeTint="EA" w:sz="4" w:space="0"/>
        <w:insideH w:val="single" w:color="5D8BC2" w:themeColor="accent1" w:themeTint="EA" w:sz="4" w:space="0"/>
        <w:insideV w:val="single" w:color="5D8BC2" w:themeColor="accent1" w:themeTint="EA" w:sz="4" w:space="0"/>
      </w:tblBorders>
      <w:tblCellMar>
        <w:top w:w="0" w:type="dxa"/>
        <w:left w:w="108" w:type="dxa"/>
        <w:bottom w:w="0" w:type="dxa"/>
        <w:right w:w="108" w:type="dxa"/>
      </w:tblCellMar>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color w:val="404040"/>
        <w:sz w:val="22"/>
      </w:rPr>
      <w:tcPr>
        <w:shd w:val="clear" w:color="DAE5F1" w:fill="DBE5F1" w:themeFill="accent1" w:themeFillTint="34"/>
      </w:tcPr>
    </w:tblStylePr>
    <w:tblStylePr w:type="band1Horz">
      <w:rPr>
        <w:color w:val="404040"/>
        <w:sz w:val="22"/>
      </w:rPr>
      <w:tcPr>
        <w:shd w:val="clear" w:color="DAE5F1" w:fill="DBE5F1" w:themeFill="accent1" w:themeFillTint="34"/>
      </w:tcPr>
    </w:tblStylePr>
  </w:style>
  <w:style w:type="table" w:customStyle="1" w:styleId="258">
    <w:name w:val="Grid Table 3 - Accent 2"/>
    <w:basedOn w:val="12"/>
    <w:qFormat/>
    <w:uiPriority w:val="99"/>
    <w:tblPr>
      <w:tblBorders>
        <w:bottom w:val="single" w:color="D99795" w:themeColor="accent2" w:themeTint="97" w:sz="4" w:space="0"/>
        <w:insideH w:val="single" w:color="D99795" w:themeColor="accent2" w:themeTint="97" w:sz="4" w:space="0"/>
        <w:insideV w:val="single" w:color="D99795" w:themeColor="accent2" w:themeTint="97" w:sz="4" w:space="0"/>
      </w:tblBorders>
      <w:tblCellMar>
        <w:top w:w="0" w:type="dxa"/>
        <w:left w:w="108" w:type="dxa"/>
        <w:bottom w:w="0" w:type="dxa"/>
        <w:right w:w="108" w:type="dxa"/>
      </w:tblCellMar>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color w:val="404040"/>
        <w:sz w:val="22"/>
      </w:rPr>
      <w:tcPr>
        <w:shd w:val="clear" w:color="F2DCDC" w:fill="F2DCDC" w:themeFill="accent2" w:themeFillTint="32"/>
      </w:tcPr>
    </w:tblStylePr>
    <w:tblStylePr w:type="band1Horz">
      <w:rPr>
        <w:color w:val="404040"/>
        <w:sz w:val="22"/>
      </w:rPr>
      <w:tcPr>
        <w:shd w:val="clear" w:color="F2DCDC" w:fill="F2DCDC" w:themeFill="accent2" w:themeFillTint="32"/>
      </w:tcPr>
    </w:tblStylePr>
  </w:style>
  <w:style w:type="table" w:customStyle="1" w:styleId="259">
    <w:name w:val="Grid Table 3 - Accent 3"/>
    <w:basedOn w:val="12"/>
    <w:qFormat/>
    <w:uiPriority w:val="99"/>
    <w:tblPr>
      <w:tblBorders>
        <w:bottom w:val="single" w:color="9BBB59" w:themeColor="accent3" w:themeTint="FE" w:sz="4" w:space="0"/>
        <w:insideH w:val="single" w:color="9BBB59" w:themeColor="accent3" w:themeTint="FE" w:sz="4" w:space="0"/>
        <w:insideV w:val="single" w:color="9BBB59" w:themeColor="accent3" w:themeTint="FE" w:sz="4" w:space="0"/>
      </w:tblBorders>
      <w:tblCellMar>
        <w:top w:w="0" w:type="dxa"/>
        <w:left w:w="108" w:type="dxa"/>
        <w:bottom w:w="0" w:type="dxa"/>
        <w:right w:w="108" w:type="dxa"/>
      </w:tblCellMar>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color w:val="404040"/>
        <w:sz w:val="22"/>
      </w:rPr>
      <w:tcPr>
        <w:shd w:val="clear" w:color="EAF1DC" w:fill="EAF1DD" w:themeFill="accent3" w:themeFillTint="34"/>
      </w:tcPr>
    </w:tblStylePr>
    <w:tblStylePr w:type="band1Horz">
      <w:rPr>
        <w:color w:val="404040"/>
        <w:sz w:val="22"/>
      </w:rPr>
      <w:tcPr>
        <w:shd w:val="clear" w:color="EAF1DC" w:fill="EAF1DD" w:themeFill="accent3" w:themeFillTint="34"/>
      </w:tcPr>
    </w:tblStylePr>
  </w:style>
  <w:style w:type="table" w:customStyle="1" w:styleId="260">
    <w:name w:val="Grid Table 3 - Accent 4"/>
    <w:basedOn w:val="12"/>
    <w:qFormat/>
    <w:uiPriority w:val="99"/>
    <w:tblPr>
      <w:tblBorders>
        <w:bottom w:val="single" w:color="B2A1C6" w:themeColor="accent4" w:themeTint="9A" w:sz="4" w:space="0"/>
        <w:insideH w:val="single" w:color="B2A1C6" w:themeColor="accent4" w:themeTint="9A" w:sz="4" w:space="0"/>
        <w:insideV w:val="single" w:color="B2A1C6" w:themeColor="accent4" w:themeTint="9A" w:sz="4" w:space="0"/>
      </w:tblBorders>
      <w:tblCellMar>
        <w:top w:w="0" w:type="dxa"/>
        <w:left w:w="108" w:type="dxa"/>
        <w:bottom w:w="0" w:type="dxa"/>
        <w:right w:w="108" w:type="dxa"/>
      </w:tblCellMar>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color w:val="404040"/>
        <w:sz w:val="22"/>
      </w:rPr>
      <w:tcPr>
        <w:shd w:val="clear" w:color="E5DFEC" w:fill="E5DFEC" w:themeFill="accent4" w:themeFillTint="34"/>
      </w:tcPr>
    </w:tblStylePr>
    <w:tblStylePr w:type="band1Horz">
      <w:rPr>
        <w:color w:val="404040"/>
        <w:sz w:val="22"/>
      </w:rPr>
      <w:tcPr>
        <w:shd w:val="clear" w:color="E5DFEC" w:fill="E5DFEC" w:themeFill="accent4" w:themeFillTint="34"/>
      </w:tcPr>
    </w:tblStylePr>
  </w:style>
  <w:style w:type="table" w:customStyle="1" w:styleId="261">
    <w:name w:val="Grid Table 3 - Accent 5"/>
    <w:basedOn w:val="12"/>
    <w:qFormat/>
    <w:uiPriority w:val="99"/>
    <w:tblPr>
      <w:tblBorders>
        <w:bottom w:val="single" w:color="4BACC6" w:themeColor="accent5" w:sz="4" w:space="0"/>
        <w:insideH w:val="single" w:color="4BACC6" w:themeColor="accent5" w:sz="4" w:space="0"/>
        <w:insideV w:val="single" w:color="4BACC6" w:themeColor="accent5" w:sz="4" w:space="0"/>
      </w:tblBorders>
      <w:tblCellMar>
        <w:top w:w="0" w:type="dxa"/>
        <w:left w:w="108" w:type="dxa"/>
        <w:bottom w:w="0" w:type="dxa"/>
        <w:right w:w="108" w:type="dxa"/>
      </w:tblCellMar>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color w:val="404040"/>
        <w:sz w:val="22"/>
      </w:rPr>
      <w:tcPr>
        <w:shd w:val="clear" w:color="DAEEF3" w:fill="DAEEF3" w:themeFill="accent5" w:themeFillTint="34"/>
      </w:tcPr>
    </w:tblStylePr>
    <w:tblStylePr w:type="band1Horz">
      <w:rPr>
        <w:color w:val="404040"/>
        <w:sz w:val="22"/>
      </w:rPr>
      <w:tcPr>
        <w:shd w:val="clear" w:color="DAEEF3" w:fill="DAEEF3" w:themeFill="accent5" w:themeFillTint="34"/>
      </w:tcPr>
    </w:tblStylePr>
  </w:style>
  <w:style w:type="table" w:customStyle="1" w:styleId="262">
    <w:name w:val="Grid Table 3 - Accent 6"/>
    <w:basedOn w:val="12"/>
    <w:qFormat/>
    <w:uiPriority w:val="99"/>
    <w:tblPr>
      <w:tblBorders>
        <w:bottom w:val="single" w:color="F79646" w:themeColor="accent6" w:sz="4" w:space="0"/>
        <w:insideH w:val="single" w:color="F79646" w:themeColor="accent6" w:sz="4" w:space="0"/>
        <w:insideV w:val="single" w:color="F79646" w:themeColor="accent6" w:sz="4" w:space="0"/>
      </w:tblBorders>
      <w:tblCellMar>
        <w:top w:w="0" w:type="dxa"/>
        <w:left w:w="108" w:type="dxa"/>
        <w:bottom w:w="0" w:type="dxa"/>
        <w:right w:w="108" w:type="dxa"/>
      </w:tblCellMar>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color w:val="404040"/>
        <w:sz w:val="22"/>
      </w:rPr>
      <w:tcPr>
        <w:shd w:val="clear" w:color="FDE9D8" w:fill="FDE9D9" w:themeFill="accent6" w:themeFillTint="34"/>
      </w:tcPr>
    </w:tblStylePr>
    <w:tblStylePr w:type="band1Horz">
      <w:rPr>
        <w:color w:val="404040"/>
        <w:sz w:val="22"/>
      </w:rPr>
      <w:tcPr>
        <w:shd w:val="clear" w:color="FDE9D8" w:fill="FDE9D9" w:themeFill="accent6" w:themeFillTint="34"/>
      </w:tcPr>
    </w:tblStylePr>
  </w:style>
  <w:style w:type="table" w:customStyle="1" w:styleId="263">
    <w:name w:val="Tabela de Grade 41"/>
    <w:basedOn w:val="12"/>
    <w:qFormat/>
    <w:uiPriority w:val="59"/>
    <w:tblPr>
      <w:tblBorders>
        <w:top w:val="single" w:color="6E6E6E" w:themeColor="text1" w:themeTint="90" w:sz="4" w:space="0"/>
        <w:left w:val="single" w:color="6E6E6E" w:themeColor="text1" w:themeTint="90" w:sz="4" w:space="0"/>
        <w:bottom w:val="single" w:color="6E6E6E" w:themeColor="text1" w:themeTint="90" w:sz="4" w:space="0"/>
        <w:right w:val="single" w:color="6E6E6E" w:themeColor="text1" w:themeTint="90" w:sz="4" w:space="0"/>
        <w:insideH w:val="single" w:color="6E6E6E" w:themeColor="text1" w:themeTint="90" w:sz="4" w:space="0"/>
        <w:insideV w:val="single" w:color="6E6E6E" w:themeColor="text1" w:themeTint="90" w:sz="4" w:space="0"/>
      </w:tblBorders>
      <w:tblCellMar>
        <w:top w:w="0" w:type="dxa"/>
        <w:left w:w="108" w:type="dxa"/>
        <w:bottom w:w="0" w:type="dxa"/>
        <w:right w:w="108" w:type="dxa"/>
      </w:tblCellMar>
    </w:tblPr>
    <w:tblStylePr w:type="firstRow">
      <w:rPr>
        <w:b/>
        <w:color w:val="FFFFFF"/>
        <w:sz w:val="22"/>
      </w:rPr>
      <w:tcPr>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000000" w:fill="000000" w:themeFill="text1"/>
      </w:tcPr>
    </w:tblStylePr>
    <w:tblStylePr w:type="lastRow">
      <w:rPr>
        <w:b/>
        <w:color w:val="404040"/>
      </w:rPr>
      <w:tcPr>
        <w:tcBorders>
          <w:top w:val="single" w:color="000000" w:themeColor="text1" w:sz="4" w:space="0"/>
        </w:tcBorders>
      </w:tcPr>
    </w:tblStylePr>
    <w:tblStylePr w:type="firstCol">
      <w:rPr>
        <w:b/>
        <w:color w:val="404040"/>
      </w:rPr>
    </w:tblStylePr>
    <w:tblStylePr w:type="lastCol">
      <w:rPr>
        <w:b/>
        <w:color w:val="404040"/>
      </w:rPr>
    </w:tblStylePr>
    <w:tblStylePr w:type="band1Vert">
      <w:rPr>
        <w:color w:val="404040"/>
        <w:sz w:val="22"/>
      </w:rPr>
      <w:tcPr>
        <w:shd w:val="clear" w:color="CBCBCB" w:fill="CACACA" w:themeFill="text1" w:themeFillTint="34"/>
      </w:tcPr>
    </w:tblStylePr>
    <w:tblStylePr w:type="band1Horz">
      <w:rPr>
        <w:color w:val="404040"/>
        <w:sz w:val="22"/>
      </w:rPr>
      <w:tcPr>
        <w:shd w:val="clear" w:color="CBCBCB" w:fill="CACACA" w:themeFill="text1" w:themeFillTint="34"/>
      </w:tcPr>
    </w:tblStylePr>
  </w:style>
  <w:style w:type="table" w:customStyle="1" w:styleId="264">
    <w:name w:val="Grid Table 4 - Accent 1"/>
    <w:basedOn w:val="12"/>
    <w:qFormat/>
    <w:uiPriority w:val="59"/>
    <w:tblPr>
      <w:tblBorders>
        <w:top w:val="single" w:color="9BB7D9" w:themeColor="accent1" w:themeTint="90" w:sz="4" w:space="0"/>
        <w:left w:val="single" w:color="9BB7D9" w:themeColor="accent1" w:themeTint="90" w:sz="4" w:space="0"/>
        <w:bottom w:val="single" w:color="9BB7D9" w:themeColor="accent1" w:themeTint="90" w:sz="4" w:space="0"/>
        <w:right w:val="single" w:color="9BB7D9" w:themeColor="accent1" w:themeTint="90" w:sz="4" w:space="0"/>
        <w:insideH w:val="single" w:color="9BB7D9" w:themeColor="accent1" w:themeTint="90" w:sz="4" w:space="0"/>
        <w:insideV w:val="single" w:color="9BB7D9" w:themeColor="accent1" w:themeTint="90" w:sz="4" w:space="0"/>
      </w:tblBorders>
      <w:tblCellMar>
        <w:top w:w="0" w:type="dxa"/>
        <w:left w:w="108" w:type="dxa"/>
        <w:bottom w:w="0" w:type="dxa"/>
        <w:right w:w="108" w:type="dxa"/>
      </w:tblCellMar>
    </w:tblPr>
    <w:tblStylePr w:type="firstRow">
      <w:rPr>
        <w:b/>
        <w:color w:val="FFFFFF"/>
        <w:sz w:val="22"/>
      </w:rPr>
      <w:tcPr>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5D8AC2" w:fill="5D8BC2" w:themeFill="accent1" w:themeFillTint="EA"/>
      </w:tcPr>
    </w:tblStylePr>
    <w:tblStylePr w:type="lastRow">
      <w:rPr>
        <w:b/>
        <w:color w:val="404040"/>
      </w:rPr>
      <w:tcPr>
        <w:tcBorders>
          <w:top w:val="single" w:color="4F81BD" w:themeColor="accent1" w:sz="4" w:space="0"/>
        </w:tcBorders>
      </w:tcPr>
    </w:tblStylePr>
    <w:tblStylePr w:type="firstCol">
      <w:rPr>
        <w:b/>
        <w:color w:val="404040"/>
      </w:rPr>
    </w:tblStylePr>
    <w:tblStylePr w:type="lastCol">
      <w:rPr>
        <w:b/>
        <w:color w:val="404040"/>
      </w:rPr>
    </w:tblStylePr>
    <w:tblStylePr w:type="band1Vert">
      <w:rPr>
        <w:color w:val="404040"/>
        <w:sz w:val="22"/>
      </w:rPr>
      <w:tcPr>
        <w:shd w:val="clear" w:color="DCE6F2" w:fill="DCE6F2" w:themeFill="accent1" w:themeFillTint="32"/>
      </w:tcPr>
    </w:tblStylePr>
    <w:tblStylePr w:type="band1Horz">
      <w:rPr>
        <w:color w:val="404040"/>
        <w:sz w:val="22"/>
      </w:rPr>
      <w:tcPr>
        <w:shd w:val="clear" w:color="DCE6F2" w:fill="DCE6F2" w:themeFill="accent1" w:themeFillTint="32"/>
      </w:tcPr>
    </w:tblStylePr>
  </w:style>
  <w:style w:type="table" w:customStyle="1" w:styleId="265">
    <w:name w:val="Grid Table 4 - Accent 2"/>
    <w:basedOn w:val="12"/>
    <w:qFormat/>
    <w:uiPriority w:val="59"/>
    <w:tblPr>
      <w:tblBorders>
        <w:top w:val="single" w:color="DB9C9A" w:themeColor="accent2" w:themeTint="90" w:sz="4" w:space="0"/>
        <w:left w:val="single" w:color="DB9C9A" w:themeColor="accent2" w:themeTint="90" w:sz="4" w:space="0"/>
        <w:bottom w:val="single" w:color="DB9C9A" w:themeColor="accent2" w:themeTint="90" w:sz="4" w:space="0"/>
        <w:right w:val="single" w:color="DB9C9A" w:themeColor="accent2" w:themeTint="90" w:sz="4" w:space="0"/>
        <w:insideH w:val="single" w:color="DB9C9A" w:themeColor="accent2" w:themeTint="90" w:sz="4" w:space="0"/>
        <w:insideV w:val="single" w:color="DB9C9A" w:themeColor="accent2" w:themeTint="90" w:sz="4" w:space="0"/>
      </w:tblBorders>
      <w:tblCellMar>
        <w:top w:w="0" w:type="dxa"/>
        <w:left w:w="108" w:type="dxa"/>
        <w:bottom w:w="0" w:type="dxa"/>
        <w:right w:w="108" w:type="dxa"/>
      </w:tblCellMar>
    </w:tblPr>
    <w:tblStylePr w:type="firstRow">
      <w:rPr>
        <w:b/>
        <w:color w:val="FFFFFF"/>
        <w:sz w:val="22"/>
      </w:rPr>
      <w:tcPr>
        <w:tcBorders>
          <w:top w:val="single" w:color="C0504D" w:themeColor="accent2" w:sz="4" w:space="0"/>
          <w:left w:val="single" w:color="C0504D" w:themeColor="accent2" w:sz="4" w:space="0"/>
          <w:bottom w:val="single" w:color="C0504D" w:themeColor="accent2" w:sz="4" w:space="0"/>
          <w:right w:val="single" w:color="C0504D" w:themeColor="accent2" w:sz="4" w:space="0"/>
        </w:tcBorders>
        <w:shd w:val="clear" w:color="D99695" w:fill="D99795" w:themeFill="accent2" w:themeFillTint="97"/>
      </w:tcPr>
    </w:tblStylePr>
    <w:tblStylePr w:type="lastRow">
      <w:rPr>
        <w:b/>
        <w:color w:val="404040"/>
      </w:rPr>
      <w:tcPr>
        <w:tcBorders>
          <w:top w:val="single" w:color="C0504D" w:themeColor="accent2" w:sz="4" w:space="0"/>
        </w:tcBorders>
      </w:tcPr>
    </w:tblStylePr>
    <w:tblStylePr w:type="firstCol">
      <w:rPr>
        <w:b/>
        <w:color w:val="404040"/>
      </w:rPr>
    </w:tblStylePr>
    <w:tblStylePr w:type="lastCol">
      <w:rPr>
        <w:b/>
        <w:color w:val="404040"/>
      </w:rPr>
    </w:tblStylePr>
    <w:tblStylePr w:type="band1Vert">
      <w:rPr>
        <w:color w:val="404040"/>
        <w:sz w:val="22"/>
      </w:rPr>
      <w:tcPr>
        <w:shd w:val="clear" w:color="F2DCDC" w:fill="F2DCDC" w:themeFill="accent2" w:themeFillTint="32"/>
      </w:tcPr>
    </w:tblStylePr>
    <w:tblStylePr w:type="band1Horz">
      <w:rPr>
        <w:color w:val="404040"/>
        <w:sz w:val="22"/>
      </w:rPr>
      <w:tcPr>
        <w:shd w:val="clear" w:color="F2DCDC" w:fill="F2DCDC" w:themeFill="accent2" w:themeFillTint="32"/>
      </w:tcPr>
    </w:tblStylePr>
  </w:style>
  <w:style w:type="table" w:customStyle="1" w:styleId="266">
    <w:name w:val="Grid Table 4 - Accent 3"/>
    <w:basedOn w:val="12"/>
    <w:qFormat/>
    <w:uiPriority w:val="59"/>
    <w:tblPr>
      <w:tblBorders>
        <w:top w:val="single" w:color="C6D8A1" w:themeColor="accent3" w:themeTint="90" w:sz="4" w:space="0"/>
        <w:left w:val="single" w:color="C6D8A1" w:themeColor="accent3" w:themeTint="90" w:sz="4" w:space="0"/>
        <w:bottom w:val="single" w:color="C6D8A1" w:themeColor="accent3" w:themeTint="90" w:sz="4" w:space="0"/>
        <w:right w:val="single" w:color="C6D8A1" w:themeColor="accent3" w:themeTint="90" w:sz="4" w:space="0"/>
        <w:insideH w:val="single" w:color="C6D8A1" w:themeColor="accent3" w:themeTint="90" w:sz="4" w:space="0"/>
        <w:insideV w:val="single" w:color="C6D8A1" w:themeColor="accent3" w:themeTint="90" w:sz="4" w:space="0"/>
      </w:tblBorders>
      <w:tblCellMar>
        <w:top w:w="0" w:type="dxa"/>
        <w:left w:w="108" w:type="dxa"/>
        <w:bottom w:w="0" w:type="dxa"/>
        <w:right w:w="108" w:type="dxa"/>
      </w:tblCellMar>
    </w:tblPr>
    <w:tblStylePr w:type="firstRow">
      <w:rPr>
        <w:b/>
        <w:color w:val="FFFFFF"/>
        <w:sz w:val="22"/>
      </w:rPr>
      <w:tcPr>
        <w:tcBorders>
          <w:top w:val="single" w:color="9BBB59" w:themeColor="accent3" w:sz="4" w:space="0"/>
          <w:left w:val="single" w:color="9BBB59" w:themeColor="accent3" w:sz="4" w:space="0"/>
          <w:bottom w:val="single" w:color="9BBB59" w:themeColor="accent3" w:sz="4" w:space="0"/>
          <w:right w:val="single" w:color="9BBB59" w:themeColor="accent3" w:sz="4" w:space="0"/>
        </w:tcBorders>
        <w:shd w:val="clear" w:color="9ABB59" w:fill="9BBB59" w:themeFill="accent3" w:themeFillTint="FE"/>
      </w:tcPr>
    </w:tblStylePr>
    <w:tblStylePr w:type="lastRow">
      <w:rPr>
        <w:b/>
        <w:color w:val="404040"/>
      </w:rPr>
      <w:tcPr>
        <w:tcBorders>
          <w:top w:val="single" w:color="9BBB59" w:themeColor="accent3" w:sz="4" w:space="0"/>
        </w:tcBorders>
      </w:tcPr>
    </w:tblStylePr>
    <w:tblStylePr w:type="firstCol">
      <w:rPr>
        <w:b/>
        <w:color w:val="404040"/>
      </w:rPr>
    </w:tblStylePr>
    <w:tblStylePr w:type="lastCol">
      <w:rPr>
        <w:b/>
        <w:color w:val="404040"/>
      </w:rPr>
    </w:tblStylePr>
    <w:tblStylePr w:type="band1Vert">
      <w:rPr>
        <w:color w:val="404040"/>
        <w:sz w:val="22"/>
      </w:rPr>
      <w:tcPr>
        <w:shd w:val="clear" w:color="EAF1DC" w:fill="EAF1DD" w:themeFill="accent3" w:themeFillTint="34"/>
      </w:tcPr>
    </w:tblStylePr>
    <w:tblStylePr w:type="band1Horz">
      <w:rPr>
        <w:color w:val="404040"/>
        <w:sz w:val="22"/>
      </w:rPr>
      <w:tcPr>
        <w:shd w:val="clear" w:color="EAF1DC" w:fill="EAF1DD" w:themeFill="accent3" w:themeFillTint="34"/>
      </w:tcPr>
    </w:tblStylePr>
  </w:style>
  <w:style w:type="table" w:customStyle="1" w:styleId="267">
    <w:name w:val="Grid Table 4 - Accent 4"/>
    <w:basedOn w:val="12"/>
    <w:qFormat/>
    <w:uiPriority w:val="59"/>
    <w:tblPr>
      <w:tblBorders>
        <w:top w:val="single" w:color="B7A7CA" w:themeColor="accent4" w:themeTint="90" w:sz="4" w:space="0"/>
        <w:left w:val="single" w:color="B7A7CA" w:themeColor="accent4" w:themeTint="90" w:sz="4" w:space="0"/>
        <w:bottom w:val="single" w:color="B7A7CA" w:themeColor="accent4" w:themeTint="90" w:sz="4" w:space="0"/>
        <w:right w:val="single" w:color="B7A7CA" w:themeColor="accent4" w:themeTint="90" w:sz="4" w:space="0"/>
        <w:insideH w:val="single" w:color="B7A7CA" w:themeColor="accent4" w:themeTint="90" w:sz="4" w:space="0"/>
        <w:insideV w:val="single" w:color="B7A7CA" w:themeColor="accent4" w:themeTint="90" w:sz="4" w:space="0"/>
      </w:tblBorders>
      <w:tblCellMar>
        <w:top w:w="0" w:type="dxa"/>
        <w:left w:w="108" w:type="dxa"/>
        <w:bottom w:w="0" w:type="dxa"/>
        <w:right w:w="108" w:type="dxa"/>
      </w:tblCellMar>
    </w:tblPr>
    <w:tblStylePr w:type="firstRow">
      <w:rPr>
        <w:b/>
        <w:color w:val="FFFFFF"/>
        <w:sz w:val="22"/>
      </w:rPr>
      <w:tcPr>
        <w:tcBorders>
          <w:top w:val="single" w:color="8064A2" w:themeColor="accent4" w:sz="4" w:space="0"/>
          <w:left w:val="single" w:color="8064A2" w:themeColor="accent4" w:sz="4" w:space="0"/>
          <w:bottom w:val="single" w:color="8064A2" w:themeColor="accent4" w:sz="4" w:space="0"/>
          <w:right w:val="single" w:color="8064A2" w:themeColor="accent4" w:sz="4" w:space="0"/>
        </w:tcBorders>
        <w:shd w:val="clear" w:color="B2A1C6" w:fill="B2A1C6" w:themeFill="accent4" w:themeFillTint="9A"/>
      </w:tcPr>
    </w:tblStylePr>
    <w:tblStylePr w:type="lastRow">
      <w:rPr>
        <w:b/>
        <w:color w:val="404040"/>
      </w:rPr>
      <w:tcPr>
        <w:tcBorders>
          <w:top w:val="single" w:color="8064A2" w:themeColor="accent4" w:sz="4" w:space="0"/>
        </w:tcBorders>
      </w:tcPr>
    </w:tblStylePr>
    <w:tblStylePr w:type="firstCol">
      <w:rPr>
        <w:b/>
        <w:color w:val="404040"/>
      </w:rPr>
    </w:tblStylePr>
    <w:tblStylePr w:type="lastCol">
      <w:rPr>
        <w:b/>
        <w:color w:val="404040"/>
      </w:rPr>
    </w:tblStylePr>
    <w:tblStylePr w:type="band1Vert">
      <w:rPr>
        <w:color w:val="404040"/>
        <w:sz w:val="22"/>
      </w:rPr>
      <w:tcPr>
        <w:shd w:val="clear" w:color="E5DFEC" w:fill="E5DFEC" w:themeFill="accent4" w:themeFillTint="34"/>
      </w:tcPr>
    </w:tblStylePr>
    <w:tblStylePr w:type="band1Horz">
      <w:rPr>
        <w:color w:val="404040"/>
        <w:sz w:val="22"/>
      </w:rPr>
      <w:tcPr>
        <w:shd w:val="clear" w:color="E5DFEC" w:fill="E5DFEC" w:themeFill="accent4" w:themeFillTint="34"/>
      </w:tcPr>
    </w:tblStylePr>
  </w:style>
  <w:style w:type="table" w:customStyle="1" w:styleId="268">
    <w:name w:val="Grid Table 4 - Accent 5"/>
    <w:basedOn w:val="12"/>
    <w:qFormat/>
    <w:uiPriority w:val="59"/>
    <w:tblPr>
      <w:tblBorders>
        <w:top w:val="single" w:color="99D0DE" w:themeColor="accent5" w:themeTint="90" w:sz="4" w:space="0"/>
        <w:left w:val="single" w:color="99D0DE" w:themeColor="accent5" w:themeTint="90" w:sz="4" w:space="0"/>
        <w:bottom w:val="single" w:color="99D0DE" w:themeColor="accent5" w:themeTint="90" w:sz="4" w:space="0"/>
        <w:right w:val="single" w:color="99D0DE" w:themeColor="accent5" w:themeTint="90" w:sz="4" w:space="0"/>
        <w:insideH w:val="single" w:color="99D0DE" w:themeColor="accent5" w:themeTint="90" w:sz="4" w:space="0"/>
        <w:insideV w:val="single" w:color="99D0DE" w:themeColor="accent5" w:themeTint="90" w:sz="4" w:space="0"/>
      </w:tblBorders>
      <w:tblCellMar>
        <w:top w:w="0" w:type="dxa"/>
        <w:left w:w="108" w:type="dxa"/>
        <w:bottom w:w="0" w:type="dxa"/>
        <w:right w:w="108" w:type="dxa"/>
      </w:tblCellMar>
    </w:tblPr>
    <w:tblStylePr w:type="firstRow">
      <w:rPr>
        <w:b/>
        <w:color w:val="FFFFFF"/>
        <w:sz w:val="22"/>
      </w:rPr>
      <w:tcPr>
        <w:tcBorders>
          <w:top w:val="single" w:color="4BACC6" w:themeColor="accent5" w:sz="4" w:space="0"/>
          <w:left w:val="single" w:color="4BACC6" w:themeColor="accent5" w:sz="4" w:space="0"/>
          <w:bottom w:val="single" w:color="4BACC6" w:themeColor="accent5" w:sz="4" w:space="0"/>
          <w:right w:val="single" w:color="4BACC6" w:themeColor="accent5" w:sz="4" w:space="0"/>
        </w:tcBorders>
        <w:shd w:val="clear" w:color="4BACC6" w:fill="4BACC6" w:themeFill="accent5"/>
      </w:tcPr>
    </w:tblStylePr>
    <w:tblStylePr w:type="lastRow">
      <w:rPr>
        <w:b/>
        <w:color w:val="404040"/>
      </w:rPr>
      <w:tcPr>
        <w:tcBorders>
          <w:top w:val="single" w:color="4BACC6" w:themeColor="accent5" w:sz="4" w:space="0"/>
        </w:tcBorders>
      </w:tcPr>
    </w:tblStylePr>
    <w:tblStylePr w:type="firstCol">
      <w:rPr>
        <w:b/>
        <w:color w:val="404040"/>
      </w:rPr>
    </w:tblStylePr>
    <w:tblStylePr w:type="lastCol">
      <w:rPr>
        <w:b/>
        <w:color w:val="404040"/>
      </w:rPr>
    </w:tblStylePr>
    <w:tblStylePr w:type="band1Vert">
      <w:rPr>
        <w:color w:val="404040"/>
        <w:sz w:val="22"/>
      </w:rPr>
      <w:tcPr>
        <w:shd w:val="clear" w:color="DAEEF3" w:fill="DAEEF3" w:themeFill="accent5" w:themeFillTint="34"/>
      </w:tcPr>
    </w:tblStylePr>
    <w:tblStylePr w:type="band1Horz">
      <w:rPr>
        <w:color w:val="404040"/>
        <w:sz w:val="22"/>
      </w:rPr>
      <w:tcPr>
        <w:shd w:val="clear" w:color="DAEEF3" w:fill="DAEEF3" w:themeFill="accent5" w:themeFillTint="34"/>
      </w:tcPr>
    </w:tblStylePr>
  </w:style>
  <w:style w:type="table" w:customStyle="1" w:styleId="269">
    <w:name w:val="Grid Table 4 - Accent 6"/>
    <w:basedOn w:val="12"/>
    <w:qFormat/>
    <w:uiPriority w:val="59"/>
    <w:tblPr>
      <w:tblBorders>
        <w:top w:val="single" w:color="FAC396" w:themeColor="accent6" w:themeTint="90" w:sz="4" w:space="0"/>
        <w:left w:val="single" w:color="FAC396" w:themeColor="accent6" w:themeTint="90" w:sz="4" w:space="0"/>
        <w:bottom w:val="single" w:color="FAC396" w:themeColor="accent6" w:themeTint="90" w:sz="4" w:space="0"/>
        <w:right w:val="single" w:color="FAC396" w:themeColor="accent6" w:themeTint="90" w:sz="4" w:space="0"/>
        <w:insideH w:val="single" w:color="FAC396" w:themeColor="accent6" w:themeTint="90" w:sz="4" w:space="0"/>
        <w:insideV w:val="single" w:color="FAC396" w:themeColor="accent6" w:themeTint="90" w:sz="4" w:space="0"/>
      </w:tblBorders>
      <w:tblCellMar>
        <w:top w:w="0" w:type="dxa"/>
        <w:left w:w="108" w:type="dxa"/>
        <w:bottom w:w="0" w:type="dxa"/>
        <w:right w:w="108" w:type="dxa"/>
      </w:tblCellMar>
    </w:tblPr>
    <w:tblStylePr w:type="firstRow">
      <w:rPr>
        <w:b/>
        <w:color w:val="FFFFFF"/>
        <w:sz w:val="22"/>
      </w:rPr>
      <w:tcPr>
        <w:tcBorders>
          <w:top w:val="single" w:color="F79646" w:themeColor="accent6" w:sz="4" w:space="0"/>
          <w:left w:val="single" w:color="F79646" w:themeColor="accent6" w:sz="4" w:space="0"/>
          <w:bottom w:val="single" w:color="F79646" w:themeColor="accent6" w:sz="4" w:space="0"/>
          <w:right w:val="single" w:color="F79646" w:themeColor="accent6" w:sz="4" w:space="0"/>
        </w:tcBorders>
        <w:shd w:val="clear" w:color="F79646" w:fill="F79646" w:themeFill="accent6"/>
      </w:tcPr>
    </w:tblStylePr>
    <w:tblStylePr w:type="lastRow">
      <w:rPr>
        <w:b/>
        <w:color w:val="404040"/>
      </w:rPr>
      <w:tcPr>
        <w:tcBorders>
          <w:top w:val="single" w:color="F79646" w:themeColor="accent6" w:sz="4" w:space="0"/>
        </w:tcBorders>
      </w:tcPr>
    </w:tblStylePr>
    <w:tblStylePr w:type="firstCol">
      <w:rPr>
        <w:b/>
        <w:color w:val="404040"/>
      </w:rPr>
    </w:tblStylePr>
    <w:tblStylePr w:type="lastCol">
      <w:rPr>
        <w:b/>
        <w:color w:val="404040"/>
      </w:rPr>
    </w:tblStylePr>
    <w:tblStylePr w:type="band1Vert">
      <w:rPr>
        <w:color w:val="404040"/>
        <w:sz w:val="22"/>
      </w:rPr>
      <w:tcPr>
        <w:shd w:val="clear" w:color="FDE9D8" w:fill="FDE9D9" w:themeFill="accent6" w:themeFillTint="34"/>
      </w:tcPr>
    </w:tblStylePr>
    <w:tblStylePr w:type="band1Horz">
      <w:rPr>
        <w:color w:val="404040"/>
        <w:sz w:val="22"/>
      </w:rPr>
      <w:tcPr>
        <w:shd w:val="clear" w:color="FDE9D8" w:fill="FDE9D9" w:themeFill="accent6" w:themeFillTint="34"/>
      </w:tcPr>
    </w:tblStylePr>
  </w:style>
  <w:style w:type="table" w:customStyle="1" w:styleId="270">
    <w:name w:val="Tabela de Grade 5 Escura1"/>
    <w:basedOn w:val="12"/>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CellMar>
        <w:top w:w="0" w:type="dxa"/>
        <w:left w:w="108" w:type="dxa"/>
        <w:bottom w:w="0" w:type="dxa"/>
        <w:right w:w="108" w:type="dxa"/>
      </w:tblCellMar>
    </w:tblPr>
    <w:tblStylePr w:type="firstRow">
      <w:rPr>
        <w:b/>
        <w:color w:val="FFFFFF"/>
        <w:sz w:val="22"/>
      </w:rPr>
      <w:tcPr>
        <w:shd w:val="clear" w:color="000000" w:fill="000000" w:themeFill="text1"/>
      </w:tcPr>
    </w:tblStylePr>
    <w:tblStylePr w:type="lastRow">
      <w:rPr>
        <w:b/>
        <w:color w:val="FFFFFF"/>
        <w:sz w:val="22"/>
      </w:rPr>
      <w:tcPr>
        <w:tcBorders>
          <w:top w:val="single" w:color="FFFFFF" w:themeColor="light1" w:sz="4" w:space="0"/>
        </w:tcBorders>
        <w:shd w:val="clear" w:color="000000" w:fill="000000" w:themeFill="text1"/>
      </w:tcPr>
    </w:tblStylePr>
    <w:tblStylePr w:type="firstCol">
      <w:rPr>
        <w:b/>
        <w:color w:val="FFFFFF"/>
        <w:sz w:val="22"/>
      </w:rPr>
      <w:tcPr>
        <w:shd w:val="clear" w:color="000000" w:fill="000000" w:themeFill="text1"/>
      </w:tcPr>
    </w:tblStylePr>
    <w:tblStylePr w:type="lastCol">
      <w:rPr>
        <w:b/>
        <w:color w:val="FFFFFF"/>
        <w:sz w:val="22"/>
      </w:rPr>
      <w:tcPr>
        <w:shd w:val="clear" w:color="000000" w:fill="000000" w:themeFill="text1"/>
      </w:tcPr>
    </w:tblStylePr>
    <w:tblStylePr w:type="band1Vert">
      <w:tcPr>
        <w:shd w:val="clear" w:color="8A8A8A" w:fill="898989" w:themeFill="text1" w:themeFillTint="75"/>
      </w:tcPr>
    </w:tblStylePr>
    <w:tblStylePr w:type="band1Horz">
      <w:tcPr>
        <w:shd w:val="clear" w:color="8A8A8A" w:fill="898989" w:themeFill="text1" w:themeFillTint="75"/>
      </w:tcPr>
    </w:tblStylePr>
  </w:style>
  <w:style w:type="table" w:customStyle="1" w:styleId="271">
    <w:name w:val="Grid Table 5 Dark- Accent 1"/>
    <w:basedOn w:val="12"/>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CellMar>
        <w:top w:w="0" w:type="dxa"/>
        <w:left w:w="108" w:type="dxa"/>
        <w:bottom w:w="0" w:type="dxa"/>
        <w:right w:w="108" w:type="dxa"/>
      </w:tblCellMar>
    </w:tblPr>
    <w:tblStylePr w:type="firstRow">
      <w:rPr>
        <w:b/>
        <w:color w:val="FFFFFF"/>
        <w:sz w:val="22"/>
      </w:rPr>
      <w:tcPr>
        <w:shd w:val="clear" w:color="4F81BD" w:fill="4F81BD" w:themeFill="accent1"/>
      </w:tcPr>
    </w:tblStylePr>
    <w:tblStylePr w:type="lastRow">
      <w:rPr>
        <w:b/>
        <w:color w:val="FFFFFF"/>
        <w:sz w:val="22"/>
      </w:rPr>
      <w:tcPr>
        <w:tcBorders>
          <w:top w:val="single" w:color="FFFFFF" w:themeColor="light1" w:sz="4" w:space="0"/>
        </w:tcBorders>
        <w:shd w:val="clear" w:color="4F81BD" w:fill="4F81BD" w:themeFill="accent1"/>
      </w:tcPr>
    </w:tblStylePr>
    <w:tblStylePr w:type="firstCol">
      <w:rPr>
        <w:b/>
        <w:color w:val="FFFFFF"/>
        <w:sz w:val="22"/>
      </w:rPr>
      <w:tcPr>
        <w:shd w:val="clear" w:color="4F81BD" w:fill="4F81BD" w:themeFill="accent1"/>
      </w:tcPr>
    </w:tblStylePr>
    <w:tblStylePr w:type="lastCol">
      <w:rPr>
        <w:b/>
        <w:color w:val="FFFFFF"/>
        <w:sz w:val="22"/>
      </w:rPr>
      <w:tcPr>
        <w:shd w:val="clear" w:color="4F81BD" w:fill="4F81BD" w:themeFill="accent1"/>
      </w:tcPr>
    </w:tblStylePr>
    <w:tblStylePr w:type="band1Vert">
      <w:tcPr>
        <w:shd w:val="clear" w:color="AEC4E0" w:fill="AEC5E0" w:themeFill="accent1" w:themeFillTint="75"/>
      </w:tcPr>
    </w:tblStylePr>
    <w:tblStylePr w:type="band1Horz">
      <w:tcPr>
        <w:shd w:val="clear" w:color="AEC4E0" w:fill="AEC5E0" w:themeFill="accent1" w:themeFillTint="75"/>
      </w:tcPr>
    </w:tblStylePr>
  </w:style>
  <w:style w:type="table" w:customStyle="1" w:styleId="272">
    <w:name w:val="Grid Table 5 Dark - Accent 2"/>
    <w:basedOn w:val="12"/>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CellMar>
        <w:top w:w="0" w:type="dxa"/>
        <w:left w:w="108" w:type="dxa"/>
        <w:bottom w:w="0" w:type="dxa"/>
        <w:right w:w="108" w:type="dxa"/>
      </w:tblCellMar>
    </w:tblPr>
    <w:tblStylePr w:type="firstRow">
      <w:rPr>
        <w:b/>
        <w:color w:val="FFFFFF"/>
        <w:sz w:val="22"/>
      </w:rPr>
      <w:tcPr>
        <w:shd w:val="clear" w:color="C0504D" w:fill="C0504D" w:themeFill="accent2"/>
      </w:tcPr>
    </w:tblStylePr>
    <w:tblStylePr w:type="lastRow">
      <w:rPr>
        <w:b/>
        <w:color w:val="FFFFFF"/>
        <w:sz w:val="22"/>
      </w:rPr>
      <w:tcPr>
        <w:tcBorders>
          <w:top w:val="single" w:color="FFFFFF" w:themeColor="light1" w:sz="4" w:space="0"/>
        </w:tcBorders>
        <w:shd w:val="clear" w:color="C0504D" w:fill="C0504D" w:themeFill="accent2"/>
      </w:tcPr>
    </w:tblStylePr>
    <w:tblStylePr w:type="firstCol">
      <w:rPr>
        <w:b/>
        <w:color w:val="FFFFFF"/>
        <w:sz w:val="22"/>
      </w:rPr>
      <w:tcPr>
        <w:shd w:val="clear" w:color="C0504D" w:fill="C0504D" w:themeFill="accent2"/>
      </w:tcPr>
    </w:tblStylePr>
    <w:tblStylePr w:type="lastCol">
      <w:rPr>
        <w:b/>
        <w:color w:val="FFFFFF"/>
        <w:sz w:val="22"/>
      </w:rPr>
      <w:tcPr>
        <w:shd w:val="clear" w:color="C0504D" w:fill="C0504D" w:themeFill="accent2"/>
      </w:tcPr>
    </w:tblStylePr>
    <w:tblStylePr w:type="band1Vert">
      <w:tcPr>
        <w:shd w:val="clear" w:color="E2AEAD" w:fill="E2AEAD" w:themeFill="accent2" w:themeFillTint="75"/>
      </w:tcPr>
    </w:tblStylePr>
    <w:tblStylePr w:type="band1Horz">
      <w:tcPr>
        <w:shd w:val="clear" w:color="E2AEAD" w:fill="E2AEAD" w:themeFill="accent2" w:themeFillTint="75"/>
      </w:tcPr>
    </w:tblStylePr>
  </w:style>
  <w:style w:type="table" w:customStyle="1" w:styleId="273">
    <w:name w:val="Grid Table 5 Dark - Accent 3"/>
    <w:basedOn w:val="12"/>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CellMar>
        <w:top w:w="0" w:type="dxa"/>
        <w:left w:w="108" w:type="dxa"/>
        <w:bottom w:w="0" w:type="dxa"/>
        <w:right w:w="108" w:type="dxa"/>
      </w:tblCellMar>
    </w:tblPr>
    <w:tblStylePr w:type="firstRow">
      <w:rPr>
        <w:b/>
        <w:color w:val="FFFFFF"/>
        <w:sz w:val="22"/>
      </w:rPr>
      <w:tcPr>
        <w:shd w:val="clear" w:color="9BBB59" w:fill="9BBB59" w:themeFill="accent3"/>
      </w:tcPr>
    </w:tblStylePr>
    <w:tblStylePr w:type="lastRow">
      <w:rPr>
        <w:b/>
        <w:color w:val="FFFFFF"/>
        <w:sz w:val="22"/>
      </w:rPr>
      <w:tcPr>
        <w:tcBorders>
          <w:top w:val="single" w:color="FFFFFF" w:themeColor="light1" w:sz="4" w:space="0"/>
        </w:tcBorders>
        <w:shd w:val="clear" w:color="9BBB59" w:fill="9BBB59" w:themeFill="accent3"/>
      </w:tcPr>
    </w:tblStylePr>
    <w:tblStylePr w:type="firstCol">
      <w:rPr>
        <w:b/>
        <w:color w:val="FFFFFF"/>
        <w:sz w:val="22"/>
      </w:rPr>
      <w:tcPr>
        <w:shd w:val="clear" w:color="9BBB59" w:fill="9BBB59" w:themeFill="accent3"/>
      </w:tcPr>
    </w:tblStylePr>
    <w:tblStylePr w:type="lastCol">
      <w:rPr>
        <w:b/>
        <w:color w:val="FFFFFF"/>
        <w:sz w:val="22"/>
      </w:rPr>
      <w:tcPr>
        <w:shd w:val="clear" w:color="9BBB59" w:fill="9BBB59" w:themeFill="accent3"/>
      </w:tcPr>
    </w:tblStylePr>
    <w:tblStylePr w:type="band1Vert">
      <w:tcPr>
        <w:shd w:val="clear" w:color="D0DFB2" w:fill="D1DFB2" w:themeFill="accent3" w:themeFillTint="75"/>
      </w:tcPr>
    </w:tblStylePr>
    <w:tblStylePr w:type="band1Horz">
      <w:tcPr>
        <w:shd w:val="clear" w:color="D0DFB2" w:fill="D1DFB2" w:themeFill="accent3" w:themeFillTint="75"/>
      </w:tcPr>
    </w:tblStylePr>
  </w:style>
  <w:style w:type="table" w:customStyle="1" w:styleId="274">
    <w:name w:val="Grid Table 5 Dark- Accent 4"/>
    <w:basedOn w:val="12"/>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CellMar>
        <w:top w:w="0" w:type="dxa"/>
        <w:left w:w="108" w:type="dxa"/>
        <w:bottom w:w="0" w:type="dxa"/>
        <w:right w:w="108" w:type="dxa"/>
      </w:tblCellMar>
    </w:tblPr>
    <w:tblStylePr w:type="firstRow">
      <w:rPr>
        <w:b/>
        <w:color w:val="FFFFFF"/>
        <w:sz w:val="22"/>
      </w:rPr>
      <w:tcPr>
        <w:shd w:val="clear" w:color="8064A2" w:fill="8064A2" w:themeFill="accent4"/>
      </w:tcPr>
    </w:tblStylePr>
    <w:tblStylePr w:type="lastRow">
      <w:rPr>
        <w:b/>
        <w:color w:val="FFFFFF"/>
        <w:sz w:val="22"/>
      </w:rPr>
      <w:tcPr>
        <w:tcBorders>
          <w:top w:val="single" w:color="FFFFFF" w:themeColor="light1" w:sz="4" w:space="0"/>
        </w:tcBorders>
        <w:shd w:val="clear" w:color="8064A2" w:fill="8064A2" w:themeFill="accent4"/>
      </w:tcPr>
    </w:tblStylePr>
    <w:tblStylePr w:type="firstCol">
      <w:rPr>
        <w:b/>
        <w:color w:val="FFFFFF"/>
        <w:sz w:val="22"/>
      </w:rPr>
      <w:tcPr>
        <w:shd w:val="clear" w:color="8064A2" w:fill="8064A2" w:themeFill="accent4"/>
      </w:tcPr>
    </w:tblStylePr>
    <w:tblStylePr w:type="lastCol">
      <w:rPr>
        <w:b/>
        <w:color w:val="FFFFFF"/>
        <w:sz w:val="22"/>
      </w:rPr>
      <w:tcPr>
        <w:shd w:val="clear" w:color="8064A2" w:fill="8064A2" w:themeFill="accent4"/>
      </w:tcPr>
    </w:tblStylePr>
    <w:tblStylePr w:type="band1Vert">
      <w:tcPr>
        <w:shd w:val="clear" w:color="C4B7D4" w:fill="C4B7D4" w:themeFill="accent4" w:themeFillTint="75"/>
      </w:tcPr>
    </w:tblStylePr>
    <w:tblStylePr w:type="band1Horz">
      <w:tcPr>
        <w:shd w:val="clear" w:color="C4B7D4" w:fill="C4B7D4" w:themeFill="accent4" w:themeFillTint="75"/>
      </w:tcPr>
    </w:tblStylePr>
  </w:style>
  <w:style w:type="table" w:customStyle="1" w:styleId="275">
    <w:name w:val="Grid Table 5 Dark - Accent 5"/>
    <w:basedOn w:val="12"/>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CellMar>
        <w:top w:w="0" w:type="dxa"/>
        <w:left w:w="108" w:type="dxa"/>
        <w:bottom w:w="0" w:type="dxa"/>
        <w:right w:w="108" w:type="dxa"/>
      </w:tblCellMar>
    </w:tblPr>
    <w:tblStylePr w:type="firstRow">
      <w:rPr>
        <w:b/>
        <w:color w:val="FFFFFF"/>
        <w:sz w:val="22"/>
      </w:rPr>
      <w:tcPr>
        <w:shd w:val="clear" w:color="4BACC6" w:fill="4BACC6" w:themeFill="accent5"/>
      </w:tcPr>
    </w:tblStylePr>
    <w:tblStylePr w:type="lastRow">
      <w:rPr>
        <w:b/>
        <w:color w:val="FFFFFF"/>
        <w:sz w:val="22"/>
      </w:rPr>
      <w:tcPr>
        <w:tcBorders>
          <w:top w:val="single" w:color="FFFFFF" w:themeColor="light1" w:sz="4" w:space="0"/>
        </w:tcBorders>
        <w:shd w:val="clear" w:color="4BACC6" w:fill="4BACC6" w:themeFill="accent5"/>
      </w:tcPr>
    </w:tblStylePr>
    <w:tblStylePr w:type="firstCol">
      <w:rPr>
        <w:b/>
        <w:color w:val="FFFFFF"/>
        <w:sz w:val="22"/>
      </w:rPr>
      <w:tcPr>
        <w:shd w:val="clear" w:color="4BACC6" w:fill="4BACC6" w:themeFill="accent5"/>
      </w:tcPr>
    </w:tblStylePr>
    <w:tblStylePr w:type="lastCol">
      <w:rPr>
        <w:b/>
        <w:color w:val="FFFFFF"/>
        <w:sz w:val="22"/>
      </w:rPr>
      <w:tcPr>
        <w:shd w:val="clear" w:color="4BACC6" w:fill="4BACC6" w:themeFill="accent5"/>
      </w:tcPr>
    </w:tblStylePr>
    <w:tblStylePr w:type="band1Vert">
      <w:tcPr>
        <w:shd w:val="clear" w:color="ACD8E4" w:fill="ACD8E4" w:themeFill="accent5" w:themeFillTint="75"/>
      </w:tcPr>
    </w:tblStylePr>
    <w:tblStylePr w:type="band1Horz">
      <w:tcPr>
        <w:shd w:val="clear" w:color="ACD8E4" w:fill="ACD8E4" w:themeFill="accent5" w:themeFillTint="75"/>
      </w:tcPr>
    </w:tblStylePr>
  </w:style>
  <w:style w:type="table" w:customStyle="1" w:styleId="276">
    <w:name w:val="Grid Table 5 Dark - Accent 6"/>
    <w:basedOn w:val="12"/>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CellMar>
        <w:top w:w="0" w:type="dxa"/>
        <w:left w:w="108" w:type="dxa"/>
        <w:bottom w:w="0" w:type="dxa"/>
        <w:right w:w="108" w:type="dxa"/>
      </w:tblCellMar>
    </w:tblPr>
    <w:tblStylePr w:type="firstRow">
      <w:rPr>
        <w:b/>
        <w:color w:val="FFFFFF"/>
        <w:sz w:val="22"/>
      </w:rPr>
      <w:tcPr>
        <w:shd w:val="clear" w:color="F79646" w:fill="F79646" w:themeFill="accent6"/>
      </w:tcPr>
    </w:tblStylePr>
    <w:tblStylePr w:type="lastRow">
      <w:rPr>
        <w:b/>
        <w:color w:val="FFFFFF"/>
        <w:sz w:val="22"/>
      </w:rPr>
      <w:tcPr>
        <w:tcBorders>
          <w:top w:val="single" w:color="FFFFFF" w:themeColor="light1" w:sz="4" w:space="0"/>
        </w:tcBorders>
        <w:shd w:val="clear" w:color="F79646" w:fill="F79646" w:themeFill="accent6"/>
      </w:tcPr>
    </w:tblStylePr>
    <w:tblStylePr w:type="firstCol">
      <w:rPr>
        <w:b/>
        <w:color w:val="FFFFFF"/>
        <w:sz w:val="22"/>
      </w:rPr>
      <w:tcPr>
        <w:shd w:val="clear" w:color="F79646" w:fill="F79646" w:themeFill="accent6"/>
      </w:tcPr>
    </w:tblStylePr>
    <w:tblStylePr w:type="lastCol">
      <w:rPr>
        <w:b/>
        <w:color w:val="FFFFFF"/>
        <w:sz w:val="22"/>
      </w:rPr>
      <w:tcPr>
        <w:shd w:val="clear" w:color="F79646" w:fill="F79646" w:themeFill="accent6"/>
      </w:tcPr>
    </w:tblStylePr>
    <w:tblStylePr w:type="band1Vert">
      <w:tcPr>
        <w:shd w:val="clear" w:color="FBCEAA" w:fill="FBCEAA" w:themeFill="accent6" w:themeFillTint="75"/>
      </w:tcPr>
    </w:tblStylePr>
    <w:tblStylePr w:type="band1Horz">
      <w:tcPr>
        <w:shd w:val="clear" w:color="FBCEAA" w:fill="FBCEAA" w:themeFill="accent6" w:themeFillTint="75"/>
      </w:tcPr>
    </w:tblStylePr>
  </w:style>
  <w:style w:type="table" w:customStyle="1" w:styleId="277">
    <w:name w:val="Tabela de Grade 6 Colorida1"/>
    <w:basedOn w:val="12"/>
    <w:qFormat/>
    <w:uiPriority w:val="99"/>
    <w:tblPr>
      <w:tblBorders>
        <w:top w:val="single" w:color="7E7E7E" w:themeColor="text1" w:themeTint="80" w:sz="4" w:space="0"/>
        <w:left w:val="single" w:color="7E7E7E" w:themeColor="text1" w:themeTint="80" w:sz="4" w:space="0"/>
        <w:bottom w:val="single" w:color="7E7E7E" w:themeColor="text1" w:themeTint="80" w:sz="4" w:space="0"/>
        <w:right w:val="single" w:color="7E7E7E" w:themeColor="text1" w:themeTint="80" w:sz="4" w:space="0"/>
        <w:insideH w:val="single" w:color="7E7E7E" w:themeColor="text1" w:themeTint="80" w:sz="4" w:space="0"/>
        <w:insideV w:val="single" w:color="7E7E7E" w:themeColor="text1" w:themeTint="80" w:sz="4" w:space="0"/>
      </w:tblBorders>
      <w:tblCellMar>
        <w:top w:w="0" w:type="dxa"/>
        <w:left w:w="108" w:type="dxa"/>
        <w:bottom w:w="0" w:type="dxa"/>
        <w:right w:w="108" w:type="dxa"/>
      </w:tblCellMar>
    </w:tblPr>
    <w:tblStylePr w:type="firstRow">
      <w:rPr>
        <w:b/>
        <w:color w:val="808080" w:themeColor="text1" w:themeTint="80"/>
        <w14:textFill>
          <w14:solidFill>
            <w14:schemeClr w14:val="tx1">
              <w14:lumMod w14:val="50000"/>
              <w14:lumOff w14:val="50000"/>
            </w14:schemeClr>
          </w14:solidFill>
        </w14:textFill>
      </w:rPr>
      <w:tcPr>
        <w:tcBorders>
          <w:bottom w:val="single" w:color="000000" w:themeColor="text1" w:sz="12" w:space="0"/>
        </w:tcBorders>
      </w:tcPr>
    </w:tblStylePr>
    <w:tblStylePr w:type="lastRow">
      <w:rPr>
        <w:b/>
        <w:color w:val="808080" w:themeColor="text1" w:themeTint="80"/>
        <w14:textFill>
          <w14:solidFill>
            <w14:schemeClr w14:val="tx1">
              <w14:lumMod w14:val="50000"/>
              <w14:lumOff w14:val="50000"/>
            </w14:schemeClr>
          </w14:solidFill>
        </w14:textFill>
      </w:rPr>
    </w:tblStylePr>
    <w:tblStylePr w:type="firstCol">
      <w:rPr>
        <w:b/>
        <w:color w:val="808080" w:themeColor="text1" w:themeTint="80"/>
        <w14:textFill>
          <w14:solidFill>
            <w14:schemeClr w14:val="tx1">
              <w14:lumMod w14:val="50000"/>
              <w14:lumOff w14:val="50000"/>
            </w14:schemeClr>
          </w14:solidFill>
        </w14:textFill>
      </w:rPr>
    </w:tblStylePr>
    <w:tblStylePr w:type="lastCol">
      <w:rPr>
        <w:b/>
        <w:color w:val="808080" w:themeColor="text1" w:themeTint="80"/>
        <w14:textFill>
          <w14:solidFill>
            <w14:schemeClr w14:val="tx1">
              <w14:lumMod w14:val="50000"/>
              <w14:lumOff w14:val="50000"/>
            </w14:schemeClr>
          </w14:solidFill>
        </w14:textFill>
      </w:rPr>
    </w:tblStylePr>
    <w:tblStylePr w:type="band1Vert">
      <w:tcPr>
        <w:shd w:val="clear" w:color="CBCBCB" w:fill="CACACA" w:themeFill="text1" w:themeFillTint="34"/>
      </w:tcPr>
    </w:tblStylePr>
    <w:tblStylePr w:type="band1Horz">
      <w:rPr>
        <w:color w:val="808080" w:themeColor="text1" w:themeTint="80"/>
        <w:sz w:val="22"/>
        <w14:textFill>
          <w14:solidFill>
            <w14:schemeClr w14:val="tx1">
              <w14:lumMod w14:val="50000"/>
              <w14:lumOff w14:val="50000"/>
            </w14:schemeClr>
          </w14:solidFill>
        </w14:textFill>
      </w:rPr>
      <w:tcPr>
        <w:shd w:val="clear" w:color="CBCBCB" w:fill="CACACA" w:themeFill="text1" w:themeFillTint="34"/>
      </w:tcPr>
    </w:tblStylePr>
    <w:tblStylePr w:type="band2Horz">
      <w:rPr>
        <w:color w:val="808080" w:themeColor="text1" w:themeTint="80"/>
        <w:sz w:val="22"/>
        <w14:textFill>
          <w14:solidFill>
            <w14:schemeClr w14:val="tx1">
              <w14:lumMod w14:val="50000"/>
              <w14:lumOff w14:val="50000"/>
            </w14:schemeClr>
          </w14:solidFill>
        </w14:textFill>
      </w:rPr>
    </w:tblStylePr>
  </w:style>
  <w:style w:type="table" w:customStyle="1" w:styleId="278">
    <w:name w:val="Grid Table 6 Colorful - Accent 1"/>
    <w:basedOn w:val="12"/>
    <w:qFormat/>
    <w:uiPriority w:val="99"/>
    <w:tblPr>
      <w:tblBorders>
        <w:top w:val="single" w:color="A6BFDD" w:themeColor="accent1" w:themeTint="80" w:sz="4" w:space="0"/>
        <w:left w:val="single" w:color="A6BFDD" w:themeColor="accent1" w:themeTint="80" w:sz="4" w:space="0"/>
        <w:bottom w:val="single" w:color="A6BFDD" w:themeColor="accent1" w:themeTint="80" w:sz="4" w:space="0"/>
        <w:right w:val="single" w:color="A6BFDD" w:themeColor="accent1" w:themeTint="80" w:sz="4" w:space="0"/>
        <w:insideH w:val="single" w:color="A6BFDD" w:themeColor="accent1" w:themeTint="80" w:sz="4" w:space="0"/>
        <w:insideV w:val="single" w:color="A6BFDD" w:themeColor="accent1" w:themeTint="80" w:sz="4" w:space="0"/>
      </w:tblBorders>
      <w:tblCellMar>
        <w:top w:w="0" w:type="dxa"/>
        <w:left w:w="108" w:type="dxa"/>
        <w:bottom w:w="0" w:type="dxa"/>
        <w:right w:w="108" w:type="dxa"/>
      </w:tblCellMar>
    </w:tblPr>
    <w:tblStylePr w:type="firstRow">
      <w:rPr>
        <w:b/>
        <w:color w:val="A7C0DE" w:themeColor="accent1" w:themeTint="80"/>
        <w14:textFill>
          <w14:solidFill>
            <w14:schemeClr w14:val="accent1">
              <w14:lumMod w14:val="50000"/>
              <w14:lumOff w14:val="50000"/>
            </w14:schemeClr>
          </w14:solidFill>
        </w14:textFill>
      </w:rPr>
      <w:tcPr>
        <w:tcBorders>
          <w:bottom w:val="single" w:color="4F81BD" w:themeColor="accent1" w:sz="12" w:space="0"/>
        </w:tcBorders>
      </w:tcPr>
    </w:tblStylePr>
    <w:tblStylePr w:type="lastRow">
      <w:rPr>
        <w:b/>
        <w:color w:val="A7C0DE" w:themeColor="accent1" w:themeTint="80"/>
        <w14:textFill>
          <w14:solidFill>
            <w14:schemeClr w14:val="accent1">
              <w14:lumMod w14:val="50000"/>
              <w14:lumOff w14:val="50000"/>
            </w14:schemeClr>
          </w14:solidFill>
        </w14:textFill>
      </w:rPr>
    </w:tblStylePr>
    <w:tblStylePr w:type="firstCol">
      <w:rPr>
        <w:b/>
        <w:color w:val="A7C0DE" w:themeColor="accent1" w:themeTint="80"/>
        <w14:textFill>
          <w14:solidFill>
            <w14:schemeClr w14:val="accent1">
              <w14:lumMod w14:val="50000"/>
              <w14:lumOff w14:val="50000"/>
            </w14:schemeClr>
          </w14:solidFill>
        </w14:textFill>
      </w:rPr>
    </w:tblStylePr>
    <w:tblStylePr w:type="lastCol">
      <w:rPr>
        <w:b/>
        <w:color w:val="A7C0DE" w:themeColor="accent1" w:themeTint="80"/>
        <w14:textFill>
          <w14:solidFill>
            <w14:schemeClr w14:val="accent1">
              <w14:lumMod w14:val="50000"/>
              <w14:lumOff w14:val="50000"/>
            </w14:schemeClr>
          </w14:solidFill>
        </w14:textFill>
      </w:rPr>
    </w:tblStylePr>
    <w:tblStylePr w:type="band1Vert">
      <w:tcPr>
        <w:shd w:val="clear" w:color="DAE5F1" w:fill="DBE5F1" w:themeFill="accent1" w:themeFillTint="34"/>
      </w:tcPr>
    </w:tblStylePr>
    <w:tblStylePr w:type="band1Horz">
      <w:rPr>
        <w:color w:val="A7C0DE" w:themeColor="accent1" w:themeTint="80"/>
        <w:sz w:val="22"/>
        <w14:textFill>
          <w14:solidFill>
            <w14:schemeClr w14:val="accent1">
              <w14:lumMod w14:val="50000"/>
              <w14:lumOff w14:val="50000"/>
            </w14:schemeClr>
          </w14:solidFill>
        </w14:textFill>
      </w:rPr>
      <w:tcPr>
        <w:shd w:val="clear" w:color="DAE5F1" w:fill="DBE5F1" w:themeFill="accent1" w:themeFillTint="34"/>
      </w:tcPr>
    </w:tblStylePr>
    <w:tblStylePr w:type="band2Horz">
      <w:rPr>
        <w:color w:val="A7C0DE" w:themeColor="accent1" w:themeTint="80"/>
        <w:sz w:val="22"/>
        <w14:textFill>
          <w14:solidFill>
            <w14:schemeClr w14:val="accent1">
              <w14:lumMod w14:val="50000"/>
              <w14:lumOff w14:val="50000"/>
            </w14:schemeClr>
          </w14:solidFill>
        </w14:textFill>
      </w:rPr>
    </w:tblStylePr>
  </w:style>
  <w:style w:type="table" w:customStyle="1" w:styleId="279">
    <w:name w:val="Grid Table 6 Colorful - Accent 2"/>
    <w:basedOn w:val="12"/>
    <w:qFormat/>
    <w:uiPriority w:val="99"/>
    <w:tblPr>
      <w:tblBorders>
        <w:top w:val="single" w:color="D99795" w:themeColor="accent2" w:themeTint="97" w:sz="4" w:space="0"/>
        <w:left w:val="single" w:color="D99795" w:themeColor="accent2" w:themeTint="97" w:sz="4" w:space="0"/>
        <w:bottom w:val="single" w:color="D99795" w:themeColor="accent2" w:themeTint="97" w:sz="4" w:space="0"/>
        <w:right w:val="single" w:color="D99795" w:themeColor="accent2" w:themeTint="97" w:sz="4" w:space="0"/>
        <w:insideH w:val="single" w:color="D99795" w:themeColor="accent2" w:themeTint="97" w:sz="4" w:space="0"/>
        <w:insideV w:val="single" w:color="D99795" w:themeColor="accent2" w:themeTint="97" w:sz="4" w:space="0"/>
      </w:tblBorders>
      <w:tblCellMar>
        <w:top w:w="0" w:type="dxa"/>
        <w:left w:w="108" w:type="dxa"/>
        <w:bottom w:w="0" w:type="dxa"/>
        <w:right w:w="108" w:type="dxa"/>
      </w:tblCellMar>
    </w:tblPr>
    <w:tblStylePr w:type="firstRow">
      <w:rPr>
        <w:b/>
        <w:color w:val="DA9896" w:themeColor="accent2" w:themeTint="96"/>
        <w14:textFill>
          <w14:solidFill>
            <w14:schemeClr w14:val="accent2">
              <w14:lumMod w14:val="59000"/>
              <w14:lumOff w14:val="41000"/>
            </w14:schemeClr>
          </w14:solidFill>
        </w14:textFill>
      </w:rPr>
      <w:tcPr>
        <w:tcBorders>
          <w:bottom w:val="single" w:color="C0504D" w:themeColor="accent2" w:sz="12" w:space="0"/>
        </w:tcBorders>
      </w:tcPr>
    </w:tblStylePr>
    <w:tblStylePr w:type="lastRow">
      <w:rPr>
        <w:b/>
        <w:color w:val="DA9896" w:themeColor="accent2" w:themeTint="96"/>
        <w14:textFill>
          <w14:solidFill>
            <w14:schemeClr w14:val="accent2">
              <w14:lumMod w14:val="59000"/>
              <w14:lumOff w14:val="41000"/>
            </w14:schemeClr>
          </w14:solidFill>
        </w14:textFill>
      </w:rPr>
    </w:tblStylePr>
    <w:tblStylePr w:type="firstCol">
      <w:rPr>
        <w:b/>
        <w:color w:val="DA9896" w:themeColor="accent2" w:themeTint="96"/>
        <w14:textFill>
          <w14:solidFill>
            <w14:schemeClr w14:val="accent2">
              <w14:lumMod w14:val="59000"/>
              <w14:lumOff w14:val="41000"/>
            </w14:schemeClr>
          </w14:solidFill>
        </w14:textFill>
      </w:rPr>
    </w:tblStylePr>
    <w:tblStylePr w:type="lastCol">
      <w:rPr>
        <w:b/>
        <w:color w:val="DA9896" w:themeColor="accent2" w:themeTint="96"/>
        <w14:textFill>
          <w14:solidFill>
            <w14:schemeClr w14:val="accent2">
              <w14:lumMod w14:val="59000"/>
              <w14:lumOff w14:val="41000"/>
            </w14:schemeClr>
          </w14:solidFill>
        </w14:textFill>
      </w:rPr>
    </w:tblStylePr>
    <w:tblStylePr w:type="band1Vert">
      <w:tcPr>
        <w:shd w:val="clear" w:color="F2DCDC" w:fill="F2DCDC" w:themeFill="accent2" w:themeFillTint="32"/>
      </w:tcPr>
    </w:tblStylePr>
    <w:tblStylePr w:type="band1Horz">
      <w:rPr>
        <w:color w:val="DA9896" w:themeColor="accent2" w:themeTint="96"/>
        <w:sz w:val="22"/>
        <w14:textFill>
          <w14:solidFill>
            <w14:schemeClr w14:val="accent2">
              <w14:lumMod w14:val="59000"/>
              <w14:lumOff w14:val="41000"/>
            </w14:schemeClr>
          </w14:solidFill>
        </w14:textFill>
      </w:rPr>
      <w:tcPr>
        <w:shd w:val="clear" w:color="F2DCDC" w:fill="F2DCDC" w:themeFill="accent2" w:themeFillTint="32"/>
      </w:tcPr>
    </w:tblStylePr>
    <w:tblStylePr w:type="band2Horz">
      <w:rPr>
        <w:color w:val="DA9896" w:themeColor="accent2" w:themeTint="96"/>
        <w:sz w:val="22"/>
        <w14:textFill>
          <w14:solidFill>
            <w14:schemeClr w14:val="accent2">
              <w14:lumMod w14:val="59000"/>
              <w14:lumOff w14:val="41000"/>
            </w14:schemeClr>
          </w14:solidFill>
        </w14:textFill>
      </w:rPr>
    </w:tblStylePr>
  </w:style>
  <w:style w:type="table" w:customStyle="1" w:styleId="280">
    <w:name w:val="Grid Table 6 Colorful - Accent 3"/>
    <w:basedOn w:val="12"/>
    <w:qFormat/>
    <w:uiPriority w:val="99"/>
    <w:tblPr>
      <w:tblBorders>
        <w:top w:val="single" w:color="9BBB59" w:themeColor="accent3" w:themeTint="FE" w:sz="4" w:space="0"/>
        <w:left w:val="single" w:color="9BBB59" w:themeColor="accent3" w:themeTint="FE" w:sz="4" w:space="0"/>
        <w:bottom w:val="single" w:color="9BBB59" w:themeColor="accent3" w:themeTint="FE" w:sz="4" w:space="0"/>
        <w:right w:val="single" w:color="9BBB59" w:themeColor="accent3" w:themeTint="FE" w:sz="4" w:space="0"/>
        <w:insideH w:val="single" w:color="9BBB59" w:themeColor="accent3" w:themeTint="FE" w:sz="4" w:space="0"/>
        <w:insideV w:val="single" w:color="9BBB59" w:themeColor="accent3" w:themeTint="FE" w:sz="4" w:space="0"/>
      </w:tblBorders>
      <w:tblCellMar>
        <w:top w:w="0" w:type="dxa"/>
        <w:left w:w="108" w:type="dxa"/>
        <w:bottom w:w="0" w:type="dxa"/>
        <w:right w:w="108" w:type="dxa"/>
      </w:tblCellMar>
    </w:tblPr>
    <w:tblStylePr w:type="firstRow">
      <w:rPr>
        <w:b/>
        <w:color w:val="9BBB59" w:themeColor="accent3"/>
        <w14:textFill>
          <w14:solidFill>
            <w14:schemeClr w14:val="accent3"/>
          </w14:solidFill>
        </w14:textFill>
      </w:rPr>
      <w:tcPr>
        <w:tcBorders>
          <w:bottom w:val="single" w:color="9BBB59" w:themeColor="accent3" w:sz="12" w:space="0"/>
        </w:tcBorders>
      </w:tcPr>
    </w:tblStylePr>
    <w:tblStylePr w:type="lastRow">
      <w:rPr>
        <w:b/>
        <w:color w:val="9BBB59" w:themeColor="accent3"/>
        <w14:textFill>
          <w14:solidFill>
            <w14:schemeClr w14:val="accent3"/>
          </w14:solidFill>
        </w14:textFill>
      </w:rPr>
    </w:tblStylePr>
    <w:tblStylePr w:type="firstCol">
      <w:rPr>
        <w:b/>
        <w:color w:val="9BBB59" w:themeColor="accent3"/>
        <w14:textFill>
          <w14:solidFill>
            <w14:schemeClr w14:val="accent3"/>
          </w14:solidFill>
        </w14:textFill>
      </w:rPr>
    </w:tblStylePr>
    <w:tblStylePr w:type="lastCol">
      <w:rPr>
        <w:b/>
        <w:color w:val="9BBB59" w:themeColor="accent3"/>
        <w14:textFill>
          <w14:solidFill>
            <w14:schemeClr w14:val="accent3"/>
          </w14:solidFill>
        </w14:textFill>
      </w:rPr>
    </w:tblStylePr>
    <w:tblStylePr w:type="band1Vert">
      <w:tcPr>
        <w:shd w:val="clear" w:color="EAF1DC" w:fill="EAF1DD" w:themeFill="accent3" w:themeFillTint="34"/>
      </w:tcPr>
    </w:tblStylePr>
    <w:tblStylePr w:type="band1Horz">
      <w:rPr>
        <w:color w:val="9BBB59" w:themeColor="accent3"/>
        <w:sz w:val="22"/>
        <w14:textFill>
          <w14:solidFill>
            <w14:schemeClr w14:val="accent3"/>
          </w14:solidFill>
        </w14:textFill>
      </w:rPr>
      <w:tcPr>
        <w:shd w:val="clear" w:color="EAF1DC" w:fill="EAF1DD" w:themeFill="accent3" w:themeFillTint="34"/>
      </w:tcPr>
    </w:tblStylePr>
    <w:tblStylePr w:type="band2Horz">
      <w:rPr>
        <w:color w:val="9BBB59" w:themeColor="accent3"/>
        <w:sz w:val="22"/>
        <w14:textFill>
          <w14:solidFill>
            <w14:schemeClr w14:val="accent3"/>
          </w14:solidFill>
        </w14:textFill>
      </w:rPr>
    </w:tblStylePr>
  </w:style>
  <w:style w:type="table" w:customStyle="1" w:styleId="281">
    <w:name w:val="Grid Table 6 Colorful - Accent 4"/>
    <w:basedOn w:val="12"/>
    <w:qFormat/>
    <w:uiPriority w:val="99"/>
    <w:tblPr>
      <w:tblBorders>
        <w:top w:val="single" w:color="B2A1C6" w:themeColor="accent4" w:themeTint="9A" w:sz="4" w:space="0"/>
        <w:left w:val="single" w:color="B2A1C6" w:themeColor="accent4" w:themeTint="9A" w:sz="4" w:space="0"/>
        <w:bottom w:val="single" w:color="B2A1C6" w:themeColor="accent4" w:themeTint="9A" w:sz="4" w:space="0"/>
        <w:right w:val="single" w:color="B2A1C6" w:themeColor="accent4" w:themeTint="9A" w:sz="4" w:space="0"/>
        <w:insideH w:val="single" w:color="B2A1C6" w:themeColor="accent4" w:themeTint="9A" w:sz="4" w:space="0"/>
        <w:insideV w:val="single" w:color="B2A1C6" w:themeColor="accent4" w:themeTint="9A" w:sz="4" w:space="0"/>
      </w:tblBorders>
      <w:tblCellMar>
        <w:top w:w="0" w:type="dxa"/>
        <w:left w:w="108" w:type="dxa"/>
        <w:bottom w:w="0" w:type="dxa"/>
        <w:right w:w="108" w:type="dxa"/>
      </w:tblCellMar>
    </w:tblPr>
    <w:tblStylePr w:type="firstRow">
      <w:rPr>
        <w:b/>
        <w:color w:val="B3A2C7" w:themeColor="accent4" w:themeTint="99"/>
        <w14:textFill>
          <w14:solidFill>
            <w14:schemeClr w14:val="accent4">
              <w14:lumMod w14:val="60000"/>
              <w14:lumOff w14:val="40000"/>
            </w14:schemeClr>
          </w14:solidFill>
        </w14:textFill>
      </w:rPr>
      <w:tcPr>
        <w:tcBorders>
          <w:bottom w:val="single" w:color="8064A2" w:themeColor="accent4" w:sz="12" w:space="0"/>
        </w:tcBorders>
      </w:tcPr>
    </w:tblStylePr>
    <w:tblStylePr w:type="lastRow">
      <w:rPr>
        <w:b/>
        <w:color w:val="B3A2C7" w:themeColor="accent4" w:themeTint="99"/>
        <w14:textFill>
          <w14:solidFill>
            <w14:schemeClr w14:val="accent4">
              <w14:lumMod w14:val="60000"/>
              <w14:lumOff w14:val="40000"/>
            </w14:schemeClr>
          </w14:solidFill>
        </w14:textFill>
      </w:rPr>
    </w:tblStylePr>
    <w:tblStylePr w:type="firstCol">
      <w:rPr>
        <w:b/>
        <w:color w:val="B3A2C7" w:themeColor="accent4" w:themeTint="99"/>
        <w14:textFill>
          <w14:solidFill>
            <w14:schemeClr w14:val="accent4">
              <w14:lumMod w14:val="60000"/>
              <w14:lumOff w14:val="40000"/>
            </w14:schemeClr>
          </w14:solidFill>
        </w14:textFill>
      </w:rPr>
    </w:tblStylePr>
    <w:tblStylePr w:type="lastCol">
      <w:rPr>
        <w:b/>
        <w:color w:val="B3A2C7" w:themeColor="accent4" w:themeTint="99"/>
        <w14:textFill>
          <w14:solidFill>
            <w14:schemeClr w14:val="accent4">
              <w14:lumMod w14:val="60000"/>
              <w14:lumOff w14:val="40000"/>
            </w14:schemeClr>
          </w14:solidFill>
        </w14:textFill>
      </w:rPr>
    </w:tblStylePr>
    <w:tblStylePr w:type="band1Vert">
      <w:tcPr>
        <w:shd w:val="clear" w:color="E5DFEC" w:fill="E5DFEC" w:themeFill="accent4" w:themeFillTint="34"/>
      </w:tcPr>
    </w:tblStylePr>
    <w:tblStylePr w:type="band1Horz">
      <w:rPr>
        <w:color w:val="B3A2C7" w:themeColor="accent4" w:themeTint="99"/>
        <w:sz w:val="22"/>
        <w14:textFill>
          <w14:solidFill>
            <w14:schemeClr w14:val="accent4">
              <w14:lumMod w14:val="60000"/>
              <w14:lumOff w14:val="40000"/>
            </w14:schemeClr>
          </w14:solidFill>
        </w14:textFill>
      </w:rPr>
      <w:tcPr>
        <w:shd w:val="clear" w:color="E5DFEC" w:fill="E5DFEC" w:themeFill="accent4" w:themeFillTint="34"/>
      </w:tcPr>
    </w:tblStylePr>
    <w:tblStylePr w:type="band2Horz">
      <w:rPr>
        <w:color w:val="B3A2C7" w:themeColor="accent4" w:themeTint="99"/>
        <w:sz w:val="22"/>
        <w14:textFill>
          <w14:solidFill>
            <w14:schemeClr w14:val="accent4">
              <w14:lumMod w14:val="60000"/>
              <w14:lumOff w14:val="40000"/>
            </w14:schemeClr>
          </w14:solidFill>
        </w14:textFill>
      </w:rPr>
    </w:tblStylePr>
  </w:style>
  <w:style w:type="table" w:customStyle="1" w:styleId="282">
    <w:name w:val="Grid Table 6 Colorful - Accent 5"/>
    <w:basedOn w:val="12"/>
    <w:qFormat/>
    <w:uiPriority w:val="99"/>
    <w:tblPr>
      <w:tblBorders>
        <w:top w:val="single" w:color="4BACC6" w:themeColor="accent5" w:sz="4" w:space="0"/>
        <w:left w:val="single" w:color="4BACC6" w:themeColor="accent5" w:sz="4" w:space="0"/>
        <w:bottom w:val="single" w:color="4BACC6" w:themeColor="accent5" w:sz="4" w:space="0"/>
        <w:right w:val="single" w:color="4BACC6" w:themeColor="accent5" w:sz="4" w:space="0"/>
        <w:insideH w:val="single" w:color="4BACC6" w:themeColor="accent5" w:sz="4" w:space="0"/>
        <w:insideV w:val="single" w:color="4BACC6" w:themeColor="accent5" w:sz="4" w:space="0"/>
      </w:tblBorders>
      <w:tblCellMar>
        <w:top w:w="0" w:type="dxa"/>
        <w:left w:w="108" w:type="dxa"/>
        <w:bottom w:w="0" w:type="dxa"/>
        <w:right w:w="108" w:type="dxa"/>
      </w:tblCellMar>
    </w:tblPr>
    <w:tblStylePr w:type="firstRow">
      <w:rPr>
        <w:b/>
        <w:color w:val="266778" w:themeColor="accent5" w:themeShade="94"/>
      </w:rPr>
      <w:tcPr>
        <w:tcBorders>
          <w:bottom w:val="single" w:color="4BACC6" w:themeColor="accent5" w:sz="12" w:space="0"/>
        </w:tcBorders>
      </w:tcPr>
    </w:tblStylePr>
    <w:tblStylePr w:type="lastRow">
      <w:rPr>
        <w:b/>
        <w:color w:val="266778" w:themeColor="accent5" w:themeShade="94"/>
      </w:rPr>
    </w:tblStylePr>
    <w:tblStylePr w:type="firstCol">
      <w:rPr>
        <w:b/>
        <w:color w:val="266778" w:themeColor="accent5" w:themeShade="94"/>
      </w:rPr>
    </w:tblStylePr>
    <w:tblStylePr w:type="lastCol">
      <w:rPr>
        <w:b/>
        <w:color w:val="266778" w:themeColor="accent5" w:themeShade="94"/>
      </w:rPr>
    </w:tblStylePr>
    <w:tblStylePr w:type="band1Vert">
      <w:tcPr>
        <w:shd w:val="clear" w:color="DAEEF3" w:fill="DAEEF3" w:themeFill="accent5" w:themeFillTint="34"/>
      </w:tcPr>
    </w:tblStylePr>
    <w:tblStylePr w:type="band1Horz">
      <w:rPr>
        <w:color w:val="266778" w:themeColor="accent5" w:themeShade="94"/>
        <w:sz w:val="22"/>
      </w:rPr>
      <w:tcPr>
        <w:shd w:val="clear" w:color="DAEEF3" w:fill="DAEEF3" w:themeFill="accent5" w:themeFillTint="34"/>
      </w:tcPr>
    </w:tblStylePr>
    <w:tblStylePr w:type="band2Horz">
      <w:rPr>
        <w:color w:val="266778" w:themeColor="accent5" w:themeShade="94"/>
        <w:sz w:val="22"/>
      </w:rPr>
    </w:tblStylePr>
  </w:style>
  <w:style w:type="table" w:customStyle="1" w:styleId="283">
    <w:name w:val="Grid Table 6 Colorful - Accent 6"/>
    <w:basedOn w:val="12"/>
    <w:qFormat/>
    <w:uiPriority w:val="99"/>
    <w:tblPr>
      <w:tblBorders>
        <w:top w:val="single" w:color="F79646" w:themeColor="accent6" w:sz="4" w:space="0"/>
        <w:left w:val="single" w:color="F79646" w:themeColor="accent6" w:sz="4" w:space="0"/>
        <w:bottom w:val="single" w:color="F79646" w:themeColor="accent6" w:sz="4" w:space="0"/>
        <w:right w:val="single" w:color="F79646" w:themeColor="accent6" w:sz="4" w:space="0"/>
        <w:insideH w:val="single" w:color="F79646" w:themeColor="accent6" w:sz="4" w:space="0"/>
        <w:insideV w:val="single" w:color="F79646" w:themeColor="accent6" w:sz="4" w:space="0"/>
      </w:tblBorders>
      <w:tblCellMar>
        <w:top w:w="0" w:type="dxa"/>
        <w:left w:w="108" w:type="dxa"/>
        <w:bottom w:w="0" w:type="dxa"/>
        <w:right w:w="108" w:type="dxa"/>
      </w:tblCellMar>
    </w:tblPr>
    <w:tblStylePr w:type="firstRow">
      <w:rPr>
        <w:b/>
        <w:color w:val="266778" w:themeColor="accent5" w:themeShade="94"/>
      </w:rPr>
      <w:tcPr>
        <w:tcBorders>
          <w:bottom w:val="single" w:color="F79646" w:themeColor="accent6" w:sz="12" w:space="0"/>
        </w:tcBorders>
      </w:tcPr>
    </w:tblStylePr>
    <w:tblStylePr w:type="lastRow">
      <w:rPr>
        <w:b/>
        <w:color w:val="266778" w:themeColor="accent5" w:themeShade="94"/>
      </w:rPr>
    </w:tblStylePr>
    <w:tblStylePr w:type="firstCol">
      <w:rPr>
        <w:b/>
        <w:color w:val="266778" w:themeColor="accent5" w:themeShade="94"/>
      </w:rPr>
    </w:tblStylePr>
    <w:tblStylePr w:type="lastCol">
      <w:rPr>
        <w:b/>
        <w:color w:val="266778" w:themeColor="accent5" w:themeShade="94"/>
      </w:rPr>
    </w:tblStylePr>
    <w:tblStylePr w:type="band1Vert">
      <w:tcPr>
        <w:shd w:val="clear" w:color="FDE9D8" w:fill="FDE9D9" w:themeFill="accent6" w:themeFillTint="34"/>
      </w:tcPr>
    </w:tblStylePr>
    <w:tblStylePr w:type="band1Horz">
      <w:rPr>
        <w:color w:val="266778" w:themeColor="accent5" w:themeShade="94"/>
        <w:sz w:val="22"/>
      </w:rPr>
      <w:tcPr>
        <w:shd w:val="clear" w:color="FDE9D8" w:fill="FDE9D9" w:themeFill="accent6" w:themeFillTint="34"/>
      </w:tcPr>
    </w:tblStylePr>
    <w:tblStylePr w:type="band2Horz">
      <w:rPr>
        <w:color w:val="266778" w:themeColor="accent5" w:themeShade="94"/>
        <w:sz w:val="22"/>
      </w:rPr>
    </w:tblStylePr>
  </w:style>
  <w:style w:type="table" w:customStyle="1" w:styleId="284">
    <w:name w:val="Tabela de Grade 7 Colorida1"/>
    <w:basedOn w:val="12"/>
    <w:qFormat/>
    <w:uiPriority w:val="99"/>
    <w:tblPr>
      <w:tblBorders>
        <w:bottom w:val="single" w:color="7E7E7E" w:themeColor="text1" w:themeTint="80" w:sz="4" w:space="0"/>
        <w:right w:val="single" w:color="7E7E7E" w:themeColor="text1" w:themeTint="80" w:sz="4" w:space="0"/>
        <w:insideH w:val="single" w:color="7E7E7E" w:themeColor="text1" w:themeTint="80" w:sz="4" w:space="0"/>
        <w:insideV w:val="single" w:color="7E7E7E" w:themeColor="text1" w:themeTint="80" w:sz="4" w:space="0"/>
      </w:tblBorders>
      <w:tblCellMar>
        <w:top w:w="0" w:type="dxa"/>
        <w:left w:w="108" w:type="dxa"/>
        <w:bottom w:w="0" w:type="dxa"/>
        <w:right w:w="108" w:type="dxa"/>
      </w:tblCellMar>
    </w:tblPr>
    <w:tblStylePr w:type="firstRow">
      <w:rPr>
        <w:b/>
        <w:color w:val="808080" w:themeColor="text1" w:themeTint="80"/>
        <w:sz w:val="22"/>
        <w14:textFill>
          <w14:solidFill>
            <w14:schemeClr w14:val="tx1">
              <w14:lumMod w14:val="50000"/>
              <w14:lumOff w14:val="50000"/>
            </w14:schemeClr>
          </w14:solidFill>
        </w14:textFill>
      </w:rPr>
      <w:tcPr>
        <w:tcBorders>
          <w:top w:val="nil"/>
          <w:left w:val="nil"/>
          <w:bottom w:val="single" w:color="000000" w:themeColor="text1" w:sz="4" w:space="0"/>
          <w:right w:val="nil"/>
        </w:tcBorders>
        <w:shd w:val="clear" w:color="FFFFFF" w:fill="FFFFFF" w:themeFill="light1"/>
      </w:tcPr>
    </w:tblStylePr>
    <w:tblStylePr w:type="lastRow">
      <w:rPr>
        <w:b/>
        <w:color w:val="808080" w:themeColor="text1" w:themeTint="80"/>
        <w:sz w:val="22"/>
        <w14:textFill>
          <w14:solidFill>
            <w14:schemeClr w14:val="tx1">
              <w14:lumMod w14:val="50000"/>
              <w14:lumOff w14:val="50000"/>
            </w14:schemeClr>
          </w14:solidFill>
        </w14:textFill>
      </w:rPr>
      <w:tcPr>
        <w:tcBorders>
          <w:top w:val="single" w:color="000000" w:themeColor="text1" w:sz="4" w:space="0"/>
          <w:left w:val="nil"/>
          <w:bottom w:val="nil"/>
          <w:right w:val="nil"/>
        </w:tcBorders>
        <w:shd w:val="clear" w:color="FFFFFF" w:fill="FFFFFF" w:themeFill="light1"/>
      </w:tcPr>
    </w:tblStylePr>
    <w:tblStylePr w:type="firstCol">
      <w:pPr>
        <w:jc w:val="right"/>
      </w:pPr>
      <w:rPr>
        <w:i/>
        <w:color w:val="808080" w:themeColor="text1" w:themeTint="80"/>
        <w:sz w:val="22"/>
        <w14:textFill>
          <w14:solidFill>
            <w14:schemeClr w14:val="tx1">
              <w14:lumMod w14:val="50000"/>
              <w14:lumOff w14:val="50000"/>
            </w14:schemeClr>
          </w14:solidFill>
        </w14:textFill>
      </w:rPr>
      <w:tcPr>
        <w:tcBorders>
          <w:top w:val="nil"/>
          <w:left w:val="nil"/>
          <w:bottom w:val="nil"/>
          <w:right w:val="single" w:color="000000" w:themeColor="text1" w:sz="4" w:space="0"/>
        </w:tcBorders>
        <w:shd w:val="clear" w:color="FFFFFF" w:fill="auto"/>
      </w:tcPr>
    </w:tblStylePr>
    <w:tblStylePr w:type="lastCol">
      <w:rPr>
        <w:i/>
        <w:color w:val="808080" w:themeColor="text1" w:themeTint="80"/>
        <w:sz w:val="22"/>
        <w14:textFill>
          <w14:solidFill>
            <w14:schemeClr w14:val="tx1">
              <w14:lumMod w14:val="50000"/>
              <w14:lumOff w14:val="50000"/>
            </w14:schemeClr>
          </w14:solidFill>
        </w14:textFill>
      </w:rPr>
      <w:tcPr>
        <w:tcBorders>
          <w:top w:val="nil"/>
          <w:left w:val="single" w:color="000000" w:themeColor="text1" w:sz="4" w:space="0"/>
          <w:bottom w:val="nil"/>
          <w:right w:val="nil"/>
        </w:tcBorders>
        <w:shd w:val="clear" w:color="FFFFFF" w:fill="auto"/>
      </w:tcPr>
    </w:tblStylePr>
    <w:tblStylePr w:type="band1Vert">
      <w:tcPr>
        <w:shd w:val="clear" w:color="F2F2F2" w:fill="F1F1F1" w:themeFill="text1" w:themeFillTint="0D"/>
      </w:tcPr>
    </w:tblStylePr>
    <w:tblStylePr w:type="band1Horz">
      <w:rPr>
        <w:color w:val="808080" w:themeColor="text1" w:themeTint="80"/>
        <w:sz w:val="22"/>
        <w14:textFill>
          <w14:solidFill>
            <w14:schemeClr w14:val="tx1">
              <w14:lumMod w14:val="50000"/>
              <w14:lumOff w14:val="50000"/>
            </w14:schemeClr>
          </w14:solidFill>
        </w14:textFill>
      </w:rPr>
      <w:tcPr>
        <w:shd w:val="clear" w:color="F2F2F2" w:fill="F1F1F1" w:themeFill="text1" w:themeFillTint="0D"/>
      </w:tcPr>
    </w:tblStylePr>
    <w:tblStylePr w:type="band2Horz">
      <w:rPr>
        <w:color w:val="808080" w:themeColor="text1" w:themeTint="80"/>
        <w:sz w:val="22"/>
        <w14:textFill>
          <w14:solidFill>
            <w14:schemeClr w14:val="tx1">
              <w14:lumMod w14:val="50000"/>
              <w14:lumOff w14:val="50000"/>
            </w14:schemeClr>
          </w14:solidFill>
        </w14:textFill>
      </w:rPr>
    </w:tblStylePr>
  </w:style>
  <w:style w:type="table" w:customStyle="1" w:styleId="285">
    <w:name w:val="Grid Table 7 Colorful - Accent 1"/>
    <w:basedOn w:val="12"/>
    <w:qFormat/>
    <w:uiPriority w:val="99"/>
    <w:tblPr>
      <w:tblBorders>
        <w:bottom w:val="single" w:color="A6BFDD" w:themeColor="accent1" w:themeTint="80" w:sz="4" w:space="0"/>
        <w:right w:val="single" w:color="A6BFDD" w:themeColor="accent1" w:themeTint="80" w:sz="4" w:space="0"/>
        <w:insideH w:val="single" w:color="A6BFDD" w:themeColor="accent1" w:themeTint="80" w:sz="4" w:space="0"/>
        <w:insideV w:val="single" w:color="A6BFDD" w:themeColor="accent1" w:themeTint="80" w:sz="4" w:space="0"/>
      </w:tblBorders>
      <w:tblCellMar>
        <w:top w:w="0" w:type="dxa"/>
        <w:left w:w="108" w:type="dxa"/>
        <w:bottom w:w="0" w:type="dxa"/>
        <w:right w:w="108" w:type="dxa"/>
      </w:tblCellMar>
    </w:tblPr>
    <w:tblStylePr w:type="firstRow">
      <w:rPr>
        <w:b/>
        <w:color w:val="A7C0DE" w:themeColor="accent1" w:themeTint="80"/>
        <w:sz w:val="22"/>
        <w14:textFill>
          <w14:solidFill>
            <w14:schemeClr w14:val="accent1">
              <w14:lumMod w14:val="50000"/>
              <w14:lumOff w14:val="50000"/>
            </w14:schemeClr>
          </w14:solidFill>
        </w14:textFill>
      </w:rPr>
      <w:tcPr>
        <w:tcBorders>
          <w:top w:val="nil"/>
          <w:left w:val="nil"/>
          <w:bottom w:val="single" w:color="4F81BD" w:themeColor="accent1" w:sz="4" w:space="0"/>
          <w:right w:val="nil"/>
        </w:tcBorders>
        <w:shd w:val="clear" w:color="FFFFFF" w:fill="FFFFFF" w:themeFill="light1"/>
      </w:tcPr>
    </w:tblStylePr>
    <w:tblStylePr w:type="lastRow">
      <w:rPr>
        <w:b/>
        <w:color w:val="A7C0DE" w:themeColor="accent1" w:themeTint="80"/>
        <w:sz w:val="22"/>
        <w14:textFill>
          <w14:solidFill>
            <w14:schemeClr w14:val="accent1">
              <w14:lumMod w14:val="50000"/>
              <w14:lumOff w14:val="50000"/>
            </w14:schemeClr>
          </w14:solidFill>
        </w14:textFill>
      </w:rPr>
      <w:tcPr>
        <w:tcBorders>
          <w:top w:val="single" w:color="4F81BD" w:themeColor="accent1" w:sz="4" w:space="0"/>
          <w:left w:val="nil"/>
          <w:bottom w:val="nil"/>
          <w:right w:val="nil"/>
        </w:tcBorders>
        <w:shd w:val="clear" w:color="FFFFFF" w:fill="FFFFFF" w:themeFill="light1"/>
      </w:tcPr>
    </w:tblStylePr>
    <w:tblStylePr w:type="firstCol">
      <w:pPr>
        <w:jc w:val="right"/>
      </w:pPr>
      <w:rPr>
        <w:i/>
        <w:color w:val="A7C0DE" w:themeColor="accent1" w:themeTint="80"/>
        <w:sz w:val="22"/>
        <w14:textFill>
          <w14:solidFill>
            <w14:schemeClr w14:val="accent1">
              <w14:lumMod w14:val="50000"/>
              <w14:lumOff w14:val="50000"/>
            </w14:schemeClr>
          </w14:solidFill>
        </w14:textFill>
      </w:rPr>
      <w:tcPr>
        <w:tcBorders>
          <w:top w:val="nil"/>
          <w:left w:val="nil"/>
          <w:bottom w:val="nil"/>
          <w:right w:val="single" w:color="4F81BD" w:themeColor="accent1" w:sz="4" w:space="0"/>
        </w:tcBorders>
        <w:shd w:val="clear" w:color="FFFFFF" w:fill="auto"/>
      </w:tcPr>
    </w:tblStylePr>
    <w:tblStylePr w:type="lastCol">
      <w:rPr>
        <w:i/>
        <w:color w:val="A7C0DE" w:themeColor="accent1" w:themeTint="80"/>
        <w:sz w:val="22"/>
        <w14:textFill>
          <w14:solidFill>
            <w14:schemeClr w14:val="accent1">
              <w14:lumMod w14:val="50000"/>
              <w14:lumOff w14:val="50000"/>
            </w14:schemeClr>
          </w14:solidFill>
        </w14:textFill>
      </w:rPr>
      <w:tcPr>
        <w:tcBorders>
          <w:top w:val="nil"/>
          <w:left w:val="single" w:color="4F81BD" w:themeColor="accent1" w:sz="4" w:space="0"/>
          <w:bottom w:val="nil"/>
          <w:right w:val="nil"/>
        </w:tcBorders>
        <w:shd w:val="clear" w:color="FFFFFF" w:fill="auto"/>
      </w:tcPr>
    </w:tblStylePr>
    <w:tblStylePr w:type="band1Vert">
      <w:tcPr>
        <w:shd w:val="clear" w:color="DAE5F1" w:fill="DBE5F1" w:themeFill="accent1" w:themeFillTint="34"/>
      </w:tcPr>
    </w:tblStylePr>
    <w:tblStylePr w:type="band1Horz">
      <w:rPr>
        <w:color w:val="A7C0DE" w:themeColor="accent1" w:themeTint="80"/>
        <w:sz w:val="22"/>
        <w14:textFill>
          <w14:solidFill>
            <w14:schemeClr w14:val="accent1">
              <w14:lumMod w14:val="50000"/>
              <w14:lumOff w14:val="50000"/>
            </w14:schemeClr>
          </w14:solidFill>
        </w14:textFill>
      </w:rPr>
      <w:tcPr>
        <w:shd w:val="clear" w:color="DAE5F1" w:fill="DBE5F1" w:themeFill="accent1" w:themeFillTint="34"/>
      </w:tcPr>
    </w:tblStylePr>
    <w:tblStylePr w:type="band2Horz">
      <w:rPr>
        <w:color w:val="A7C0DE" w:themeColor="accent1" w:themeTint="80"/>
        <w:sz w:val="22"/>
        <w14:textFill>
          <w14:solidFill>
            <w14:schemeClr w14:val="accent1">
              <w14:lumMod w14:val="50000"/>
              <w14:lumOff w14:val="50000"/>
            </w14:schemeClr>
          </w14:solidFill>
        </w14:textFill>
      </w:rPr>
    </w:tblStylePr>
  </w:style>
  <w:style w:type="table" w:customStyle="1" w:styleId="286">
    <w:name w:val="Grid Table 7 Colorful - Accent 2"/>
    <w:basedOn w:val="12"/>
    <w:qFormat/>
    <w:uiPriority w:val="99"/>
    <w:tblPr>
      <w:tblBorders>
        <w:bottom w:val="single" w:color="D99795" w:themeColor="accent2" w:themeTint="97" w:sz="4" w:space="0"/>
        <w:right w:val="single" w:color="D99795" w:themeColor="accent2" w:themeTint="97" w:sz="4" w:space="0"/>
        <w:insideH w:val="single" w:color="D99795" w:themeColor="accent2" w:themeTint="97" w:sz="4" w:space="0"/>
        <w:insideV w:val="single" w:color="D99795" w:themeColor="accent2" w:themeTint="97" w:sz="4" w:space="0"/>
      </w:tblBorders>
      <w:tblCellMar>
        <w:top w:w="0" w:type="dxa"/>
        <w:left w:w="108" w:type="dxa"/>
        <w:bottom w:w="0" w:type="dxa"/>
        <w:right w:w="108" w:type="dxa"/>
      </w:tblCellMar>
    </w:tblPr>
    <w:tblStylePr w:type="firstRow">
      <w:rPr>
        <w:b/>
        <w:color w:val="DA9896" w:themeColor="accent2" w:themeTint="96"/>
        <w:sz w:val="22"/>
        <w14:textFill>
          <w14:solidFill>
            <w14:schemeClr w14:val="accent2">
              <w14:lumMod w14:val="59000"/>
              <w14:lumOff w14:val="41000"/>
            </w14:schemeClr>
          </w14:solidFill>
        </w14:textFill>
      </w:rPr>
      <w:tcPr>
        <w:tcBorders>
          <w:top w:val="nil"/>
          <w:left w:val="nil"/>
          <w:bottom w:val="single" w:color="C0504D" w:themeColor="accent2" w:sz="4" w:space="0"/>
          <w:right w:val="nil"/>
        </w:tcBorders>
        <w:shd w:val="clear" w:color="FFFFFF" w:fill="FFFFFF" w:themeFill="light1"/>
      </w:tcPr>
    </w:tblStylePr>
    <w:tblStylePr w:type="lastRow">
      <w:rPr>
        <w:b/>
        <w:color w:val="DA9896" w:themeColor="accent2" w:themeTint="96"/>
        <w:sz w:val="22"/>
        <w14:textFill>
          <w14:solidFill>
            <w14:schemeClr w14:val="accent2">
              <w14:lumMod w14:val="59000"/>
              <w14:lumOff w14:val="41000"/>
            </w14:schemeClr>
          </w14:solidFill>
        </w14:textFill>
      </w:rPr>
      <w:tcPr>
        <w:tcBorders>
          <w:top w:val="single" w:color="C0504D" w:themeColor="accent2" w:sz="4" w:space="0"/>
          <w:left w:val="nil"/>
          <w:bottom w:val="nil"/>
          <w:right w:val="nil"/>
        </w:tcBorders>
        <w:shd w:val="clear" w:color="FFFFFF" w:fill="FFFFFF" w:themeFill="light1"/>
      </w:tcPr>
    </w:tblStylePr>
    <w:tblStylePr w:type="firstCol">
      <w:pPr>
        <w:jc w:val="right"/>
      </w:pPr>
      <w:rPr>
        <w:i/>
        <w:color w:val="DA9896" w:themeColor="accent2" w:themeTint="96"/>
        <w:sz w:val="22"/>
        <w14:textFill>
          <w14:solidFill>
            <w14:schemeClr w14:val="accent2">
              <w14:lumMod w14:val="59000"/>
              <w14:lumOff w14:val="41000"/>
            </w14:schemeClr>
          </w14:solidFill>
        </w14:textFill>
      </w:rPr>
      <w:tcPr>
        <w:tcBorders>
          <w:top w:val="nil"/>
          <w:left w:val="nil"/>
          <w:bottom w:val="nil"/>
          <w:right w:val="single" w:color="C0504D" w:themeColor="accent2" w:sz="4" w:space="0"/>
        </w:tcBorders>
        <w:shd w:val="clear" w:color="FFFFFF" w:fill="auto"/>
      </w:tcPr>
    </w:tblStylePr>
    <w:tblStylePr w:type="lastCol">
      <w:rPr>
        <w:i/>
        <w:color w:val="DA9896" w:themeColor="accent2" w:themeTint="96"/>
        <w:sz w:val="22"/>
        <w14:textFill>
          <w14:solidFill>
            <w14:schemeClr w14:val="accent2">
              <w14:lumMod w14:val="59000"/>
              <w14:lumOff w14:val="41000"/>
            </w14:schemeClr>
          </w14:solidFill>
        </w14:textFill>
      </w:rPr>
      <w:tcPr>
        <w:tcBorders>
          <w:top w:val="nil"/>
          <w:left w:val="single" w:color="C0504D" w:themeColor="accent2" w:sz="4" w:space="0"/>
          <w:bottom w:val="nil"/>
          <w:right w:val="nil"/>
        </w:tcBorders>
        <w:shd w:val="clear" w:color="FFFFFF" w:fill="auto"/>
      </w:tcPr>
    </w:tblStylePr>
    <w:tblStylePr w:type="band1Vert">
      <w:tcPr>
        <w:shd w:val="clear" w:color="F2DCDC" w:fill="F2DCDC" w:themeFill="accent2" w:themeFillTint="32"/>
      </w:tcPr>
    </w:tblStylePr>
    <w:tblStylePr w:type="band1Horz">
      <w:rPr>
        <w:color w:val="DA9896" w:themeColor="accent2" w:themeTint="96"/>
        <w:sz w:val="22"/>
        <w14:textFill>
          <w14:solidFill>
            <w14:schemeClr w14:val="accent2">
              <w14:lumMod w14:val="59000"/>
              <w14:lumOff w14:val="41000"/>
            </w14:schemeClr>
          </w14:solidFill>
        </w14:textFill>
      </w:rPr>
      <w:tcPr>
        <w:shd w:val="clear" w:color="F2DCDC" w:fill="F2DCDC" w:themeFill="accent2" w:themeFillTint="32"/>
      </w:tcPr>
    </w:tblStylePr>
    <w:tblStylePr w:type="band2Horz">
      <w:rPr>
        <w:color w:val="DA9896" w:themeColor="accent2" w:themeTint="96"/>
        <w:sz w:val="22"/>
        <w14:textFill>
          <w14:solidFill>
            <w14:schemeClr w14:val="accent2">
              <w14:lumMod w14:val="59000"/>
              <w14:lumOff w14:val="41000"/>
            </w14:schemeClr>
          </w14:solidFill>
        </w14:textFill>
      </w:rPr>
    </w:tblStylePr>
  </w:style>
  <w:style w:type="table" w:customStyle="1" w:styleId="287">
    <w:name w:val="Grid Table 7 Colorful - Accent 3"/>
    <w:basedOn w:val="12"/>
    <w:qFormat/>
    <w:uiPriority w:val="99"/>
    <w:tblPr>
      <w:tblBorders>
        <w:bottom w:val="single" w:color="9BBB59" w:themeColor="accent3" w:themeTint="FE" w:sz="4" w:space="0"/>
        <w:right w:val="single" w:color="9BBB59" w:themeColor="accent3" w:themeTint="FE" w:sz="4" w:space="0"/>
        <w:insideH w:val="single" w:color="9BBB59" w:themeColor="accent3" w:themeTint="FE" w:sz="4" w:space="0"/>
        <w:insideV w:val="single" w:color="9BBB59" w:themeColor="accent3" w:themeTint="FE" w:sz="4" w:space="0"/>
      </w:tblBorders>
      <w:tblCellMar>
        <w:top w:w="0" w:type="dxa"/>
        <w:left w:w="108" w:type="dxa"/>
        <w:bottom w:w="0" w:type="dxa"/>
        <w:right w:w="108" w:type="dxa"/>
      </w:tblCellMar>
    </w:tblPr>
    <w:tblStylePr w:type="firstRow">
      <w:rPr>
        <w:b/>
        <w:color w:val="9BBB59" w:themeColor="accent3"/>
        <w:sz w:val="22"/>
        <w14:textFill>
          <w14:solidFill>
            <w14:schemeClr w14:val="accent3"/>
          </w14:solidFill>
        </w14:textFill>
      </w:rPr>
      <w:tcPr>
        <w:tcBorders>
          <w:top w:val="nil"/>
          <w:left w:val="nil"/>
          <w:bottom w:val="single" w:color="9BBB59" w:themeColor="accent3" w:sz="4" w:space="0"/>
          <w:right w:val="nil"/>
        </w:tcBorders>
        <w:shd w:val="clear" w:color="FFFFFF" w:fill="FFFFFF" w:themeFill="light1"/>
      </w:tcPr>
    </w:tblStylePr>
    <w:tblStylePr w:type="lastRow">
      <w:rPr>
        <w:b/>
        <w:color w:val="9BBB59" w:themeColor="accent3"/>
        <w:sz w:val="22"/>
        <w14:textFill>
          <w14:solidFill>
            <w14:schemeClr w14:val="accent3"/>
          </w14:solidFill>
        </w14:textFill>
      </w:rPr>
      <w:tcPr>
        <w:tcBorders>
          <w:top w:val="single" w:color="9BBB59" w:themeColor="accent3" w:sz="4" w:space="0"/>
          <w:left w:val="nil"/>
          <w:bottom w:val="nil"/>
          <w:right w:val="nil"/>
        </w:tcBorders>
        <w:shd w:val="clear" w:color="FFFFFF" w:fill="FFFFFF" w:themeFill="light1"/>
      </w:tcPr>
    </w:tblStylePr>
    <w:tblStylePr w:type="firstCol">
      <w:pPr>
        <w:jc w:val="right"/>
      </w:pPr>
      <w:rPr>
        <w:i/>
        <w:color w:val="9BBB59" w:themeColor="accent3"/>
        <w:sz w:val="22"/>
        <w14:textFill>
          <w14:solidFill>
            <w14:schemeClr w14:val="accent3"/>
          </w14:solidFill>
        </w14:textFill>
      </w:rPr>
      <w:tcPr>
        <w:tcBorders>
          <w:top w:val="nil"/>
          <w:left w:val="nil"/>
          <w:bottom w:val="nil"/>
          <w:right w:val="single" w:color="9BBB59" w:themeColor="accent3" w:sz="4" w:space="0"/>
        </w:tcBorders>
        <w:shd w:val="clear" w:color="FFFFFF" w:fill="auto"/>
      </w:tcPr>
    </w:tblStylePr>
    <w:tblStylePr w:type="lastCol">
      <w:rPr>
        <w:i/>
        <w:color w:val="9BBB59" w:themeColor="accent3"/>
        <w:sz w:val="22"/>
        <w14:textFill>
          <w14:solidFill>
            <w14:schemeClr w14:val="accent3"/>
          </w14:solidFill>
        </w14:textFill>
      </w:rPr>
      <w:tcPr>
        <w:tcBorders>
          <w:top w:val="nil"/>
          <w:left w:val="single" w:color="9BBB59" w:themeColor="accent3" w:sz="4" w:space="0"/>
          <w:bottom w:val="nil"/>
          <w:right w:val="nil"/>
        </w:tcBorders>
        <w:shd w:val="clear" w:color="FFFFFF" w:fill="auto"/>
      </w:tcPr>
    </w:tblStylePr>
    <w:tblStylePr w:type="band1Vert">
      <w:tcPr>
        <w:shd w:val="clear" w:color="EAF1DC" w:fill="EAF1DD" w:themeFill="accent3" w:themeFillTint="34"/>
      </w:tcPr>
    </w:tblStylePr>
    <w:tblStylePr w:type="band1Horz">
      <w:rPr>
        <w:color w:val="9BBB59" w:themeColor="accent3"/>
        <w:sz w:val="22"/>
        <w14:textFill>
          <w14:solidFill>
            <w14:schemeClr w14:val="accent3"/>
          </w14:solidFill>
        </w14:textFill>
      </w:rPr>
      <w:tcPr>
        <w:shd w:val="clear" w:color="EAF1DC" w:fill="EAF1DD" w:themeFill="accent3" w:themeFillTint="34"/>
      </w:tcPr>
    </w:tblStylePr>
    <w:tblStylePr w:type="band2Horz">
      <w:rPr>
        <w:color w:val="9BBB59" w:themeColor="accent3"/>
        <w:sz w:val="22"/>
        <w14:textFill>
          <w14:solidFill>
            <w14:schemeClr w14:val="accent3"/>
          </w14:solidFill>
        </w14:textFill>
      </w:rPr>
    </w:tblStylePr>
  </w:style>
  <w:style w:type="table" w:customStyle="1" w:styleId="288">
    <w:name w:val="Grid Table 7 Colorful - Accent 4"/>
    <w:basedOn w:val="12"/>
    <w:qFormat/>
    <w:uiPriority w:val="99"/>
    <w:tblPr>
      <w:tblBorders>
        <w:bottom w:val="single" w:color="B2A1C6" w:themeColor="accent4" w:themeTint="9A" w:sz="4" w:space="0"/>
        <w:right w:val="single" w:color="B2A1C6" w:themeColor="accent4" w:themeTint="9A" w:sz="4" w:space="0"/>
        <w:insideH w:val="single" w:color="B2A1C6" w:themeColor="accent4" w:themeTint="9A" w:sz="4" w:space="0"/>
        <w:insideV w:val="single" w:color="B2A1C6" w:themeColor="accent4" w:themeTint="9A" w:sz="4" w:space="0"/>
      </w:tblBorders>
      <w:tblCellMar>
        <w:top w:w="0" w:type="dxa"/>
        <w:left w:w="108" w:type="dxa"/>
        <w:bottom w:w="0" w:type="dxa"/>
        <w:right w:w="108" w:type="dxa"/>
      </w:tblCellMar>
    </w:tblPr>
    <w:tblStylePr w:type="firstRow">
      <w:rPr>
        <w:b/>
        <w:color w:val="B3A2C7" w:themeColor="accent4" w:themeTint="99"/>
        <w:sz w:val="22"/>
        <w14:textFill>
          <w14:solidFill>
            <w14:schemeClr w14:val="accent4">
              <w14:lumMod w14:val="60000"/>
              <w14:lumOff w14:val="40000"/>
            </w14:schemeClr>
          </w14:solidFill>
        </w14:textFill>
      </w:rPr>
      <w:tcPr>
        <w:tcBorders>
          <w:top w:val="nil"/>
          <w:left w:val="nil"/>
          <w:bottom w:val="single" w:color="8064A2" w:themeColor="accent4" w:sz="4" w:space="0"/>
          <w:right w:val="nil"/>
        </w:tcBorders>
        <w:shd w:val="clear" w:color="FFFFFF" w:fill="FFFFFF" w:themeFill="light1"/>
      </w:tcPr>
    </w:tblStylePr>
    <w:tblStylePr w:type="lastRow">
      <w:rPr>
        <w:b/>
        <w:color w:val="B3A2C7" w:themeColor="accent4" w:themeTint="99"/>
        <w:sz w:val="22"/>
        <w14:textFill>
          <w14:solidFill>
            <w14:schemeClr w14:val="accent4">
              <w14:lumMod w14:val="60000"/>
              <w14:lumOff w14:val="40000"/>
            </w14:schemeClr>
          </w14:solidFill>
        </w14:textFill>
      </w:rPr>
      <w:tcPr>
        <w:tcBorders>
          <w:top w:val="single" w:color="8064A2" w:themeColor="accent4" w:sz="4" w:space="0"/>
          <w:left w:val="nil"/>
          <w:bottom w:val="nil"/>
          <w:right w:val="nil"/>
        </w:tcBorders>
        <w:shd w:val="clear" w:color="FFFFFF" w:fill="FFFFFF" w:themeFill="light1"/>
      </w:tcPr>
    </w:tblStylePr>
    <w:tblStylePr w:type="firstCol">
      <w:pPr>
        <w:jc w:val="right"/>
      </w:pPr>
      <w:rPr>
        <w:i/>
        <w:color w:val="B3A2C7" w:themeColor="accent4" w:themeTint="99"/>
        <w:sz w:val="22"/>
        <w14:textFill>
          <w14:solidFill>
            <w14:schemeClr w14:val="accent4">
              <w14:lumMod w14:val="60000"/>
              <w14:lumOff w14:val="40000"/>
            </w14:schemeClr>
          </w14:solidFill>
        </w14:textFill>
      </w:rPr>
      <w:tcPr>
        <w:tcBorders>
          <w:top w:val="nil"/>
          <w:left w:val="nil"/>
          <w:bottom w:val="nil"/>
          <w:right w:val="single" w:color="8064A2" w:themeColor="accent4" w:sz="4" w:space="0"/>
        </w:tcBorders>
        <w:shd w:val="clear" w:color="FFFFFF" w:fill="auto"/>
      </w:tcPr>
    </w:tblStylePr>
    <w:tblStylePr w:type="lastCol">
      <w:rPr>
        <w:i/>
        <w:color w:val="B3A2C7" w:themeColor="accent4" w:themeTint="99"/>
        <w:sz w:val="22"/>
        <w14:textFill>
          <w14:solidFill>
            <w14:schemeClr w14:val="accent4">
              <w14:lumMod w14:val="60000"/>
              <w14:lumOff w14:val="40000"/>
            </w14:schemeClr>
          </w14:solidFill>
        </w14:textFill>
      </w:rPr>
      <w:tcPr>
        <w:tcBorders>
          <w:top w:val="nil"/>
          <w:left w:val="single" w:color="8064A2" w:themeColor="accent4" w:sz="4" w:space="0"/>
          <w:bottom w:val="nil"/>
          <w:right w:val="nil"/>
        </w:tcBorders>
        <w:shd w:val="clear" w:color="FFFFFF" w:fill="auto"/>
      </w:tcPr>
    </w:tblStylePr>
    <w:tblStylePr w:type="band1Vert">
      <w:tcPr>
        <w:shd w:val="clear" w:color="E5DFEC" w:fill="E5DFEC" w:themeFill="accent4" w:themeFillTint="34"/>
      </w:tcPr>
    </w:tblStylePr>
    <w:tblStylePr w:type="band1Horz">
      <w:rPr>
        <w:color w:val="B3A2C7" w:themeColor="accent4" w:themeTint="99"/>
        <w:sz w:val="22"/>
        <w14:textFill>
          <w14:solidFill>
            <w14:schemeClr w14:val="accent4">
              <w14:lumMod w14:val="60000"/>
              <w14:lumOff w14:val="40000"/>
            </w14:schemeClr>
          </w14:solidFill>
        </w14:textFill>
      </w:rPr>
      <w:tcPr>
        <w:shd w:val="clear" w:color="E5DFEC" w:fill="E5DFEC" w:themeFill="accent4" w:themeFillTint="34"/>
      </w:tcPr>
    </w:tblStylePr>
    <w:tblStylePr w:type="band2Horz">
      <w:rPr>
        <w:color w:val="B3A2C7" w:themeColor="accent4" w:themeTint="99"/>
        <w:sz w:val="22"/>
        <w14:textFill>
          <w14:solidFill>
            <w14:schemeClr w14:val="accent4">
              <w14:lumMod w14:val="60000"/>
              <w14:lumOff w14:val="40000"/>
            </w14:schemeClr>
          </w14:solidFill>
        </w14:textFill>
      </w:rPr>
    </w:tblStylePr>
  </w:style>
  <w:style w:type="table" w:customStyle="1" w:styleId="289">
    <w:name w:val="Grid Table 7 Colorful - Accent 5"/>
    <w:basedOn w:val="12"/>
    <w:qFormat/>
    <w:uiPriority w:val="99"/>
    <w:tblPr>
      <w:tblBorders>
        <w:bottom w:val="single" w:color="99D0DE" w:themeColor="accent5" w:themeTint="90" w:sz="4" w:space="0"/>
        <w:right w:val="single" w:color="99D0DE" w:themeColor="accent5" w:themeTint="90" w:sz="4" w:space="0"/>
        <w:insideH w:val="single" w:color="99D0DE" w:themeColor="accent5" w:themeTint="90" w:sz="4" w:space="0"/>
        <w:insideV w:val="single" w:color="99D0DE" w:themeColor="accent5" w:themeTint="90" w:sz="4" w:space="0"/>
      </w:tblBorders>
      <w:tblCellMar>
        <w:top w:w="0" w:type="dxa"/>
        <w:left w:w="108" w:type="dxa"/>
        <w:bottom w:w="0" w:type="dxa"/>
        <w:right w:w="108" w:type="dxa"/>
      </w:tblCellMar>
    </w:tblPr>
    <w:tblStylePr w:type="firstRow">
      <w:rPr>
        <w:b/>
        <w:color w:val="266778" w:themeColor="accent5" w:themeShade="94"/>
        <w:sz w:val="22"/>
      </w:rPr>
      <w:tcPr>
        <w:tcBorders>
          <w:top w:val="nil"/>
          <w:left w:val="nil"/>
          <w:bottom w:val="single" w:color="4BACC6" w:themeColor="accent5" w:sz="4" w:space="0"/>
          <w:right w:val="nil"/>
        </w:tcBorders>
        <w:shd w:val="clear" w:color="FFFFFF" w:fill="FFFFFF" w:themeFill="light1"/>
      </w:tcPr>
    </w:tblStylePr>
    <w:tblStylePr w:type="lastRow">
      <w:rPr>
        <w:b/>
        <w:color w:val="266778" w:themeColor="accent5" w:themeShade="94"/>
        <w:sz w:val="22"/>
      </w:rPr>
      <w:tcPr>
        <w:tcBorders>
          <w:top w:val="single" w:color="4BACC6" w:themeColor="accent5" w:sz="4" w:space="0"/>
          <w:left w:val="nil"/>
          <w:bottom w:val="nil"/>
          <w:right w:val="nil"/>
        </w:tcBorders>
        <w:shd w:val="clear" w:color="FFFFFF" w:fill="FFFFFF" w:themeFill="light1"/>
      </w:tcPr>
    </w:tblStylePr>
    <w:tblStylePr w:type="firstCol">
      <w:pPr>
        <w:jc w:val="right"/>
      </w:pPr>
      <w:rPr>
        <w:i/>
        <w:color w:val="266778" w:themeColor="accent5" w:themeShade="94"/>
        <w:sz w:val="22"/>
      </w:rPr>
      <w:tcPr>
        <w:tcBorders>
          <w:top w:val="nil"/>
          <w:left w:val="nil"/>
          <w:bottom w:val="nil"/>
          <w:right w:val="single" w:color="4BACC6" w:themeColor="accent5" w:sz="4" w:space="0"/>
        </w:tcBorders>
        <w:shd w:val="clear" w:color="FFFFFF" w:fill="auto"/>
      </w:tcPr>
    </w:tblStylePr>
    <w:tblStylePr w:type="lastCol">
      <w:rPr>
        <w:i/>
        <w:color w:val="266778" w:themeColor="accent5" w:themeShade="94"/>
        <w:sz w:val="22"/>
      </w:rPr>
      <w:tcPr>
        <w:tcBorders>
          <w:top w:val="nil"/>
          <w:left w:val="single" w:color="4BACC6" w:themeColor="accent5" w:sz="4" w:space="0"/>
          <w:bottom w:val="nil"/>
          <w:right w:val="nil"/>
        </w:tcBorders>
        <w:shd w:val="clear" w:color="FFFFFF" w:fill="auto"/>
      </w:tcPr>
    </w:tblStylePr>
    <w:tblStylePr w:type="band1Vert">
      <w:tcPr>
        <w:shd w:val="clear" w:color="DAEEF3" w:fill="DAEEF3" w:themeFill="accent5" w:themeFillTint="34"/>
      </w:tcPr>
    </w:tblStylePr>
    <w:tblStylePr w:type="band1Horz">
      <w:rPr>
        <w:color w:val="266778" w:themeColor="accent5" w:themeShade="94"/>
        <w:sz w:val="22"/>
      </w:rPr>
      <w:tcPr>
        <w:shd w:val="clear" w:color="DAEEF3" w:fill="DAEEF3" w:themeFill="accent5" w:themeFillTint="34"/>
      </w:tcPr>
    </w:tblStylePr>
    <w:tblStylePr w:type="band2Horz">
      <w:rPr>
        <w:color w:val="266778" w:themeColor="accent5" w:themeShade="94"/>
        <w:sz w:val="22"/>
      </w:rPr>
    </w:tblStylePr>
  </w:style>
  <w:style w:type="table" w:customStyle="1" w:styleId="290">
    <w:name w:val="Grid Table 7 Colorful - Accent 6"/>
    <w:basedOn w:val="12"/>
    <w:qFormat/>
    <w:uiPriority w:val="99"/>
    <w:tblPr>
      <w:tblBorders>
        <w:bottom w:val="single" w:color="FAC396" w:themeColor="accent6" w:themeTint="90" w:sz="4" w:space="0"/>
        <w:right w:val="single" w:color="FAC396" w:themeColor="accent6" w:themeTint="90" w:sz="4" w:space="0"/>
        <w:insideH w:val="single" w:color="FAC396" w:themeColor="accent6" w:themeTint="90" w:sz="4" w:space="0"/>
        <w:insideV w:val="single" w:color="FAC396" w:themeColor="accent6" w:themeTint="90" w:sz="4" w:space="0"/>
      </w:tblBorders>
      <w:tblCellMar>
        <w:top w:w="0" w:type="dxa"/>
        <w:left w:w="108" w:type="dxa"/>
        <w:bottom w:w="0" w:type="dxa"/>
        <w:right w:w="108" w:type="dxa"/>
      </w:tblCellMar>
    </w:tblPr>
    <w:tblStylePr w:type="firstRow">
      <w:rPr>
        <w:b/>
        <w:color w:val="B05408" w:themeColor="accent6" w:themeShade="94"/>
        <w:sz w:val="22"/>
      </w:rPr>
      <w:tcPr>
        <w:tcBorders>
          <w:top w:val="nil"/>
          <w:left w:val="nil"/>
          <w:bottom w:val="single" w:color="F79646" w:themeColor="accent6" w:sz="4" w:space="0"/>
          <w:right w:val="nil"/>
        </w:tcBorders>
        <w:shd w:val="clear" w:color="FFFFFF" w:fill="FFFFFF" w:themeFill="light1"/>
      </w:tcPr>
    </w:tblStylePr>
    <w:tblStylePr w:type="lastRow">
      <w:rPr>
        <w:b/>
        <w:color w:val="B05408" w:themeColor="accent6" w:themeShade="94"/>
        <w:sz w:val="22"/>
      </w:rPr>
      <w:tcPr>
        <w:tcBorders>
          <w:top w:val="single" w:color="F79646" w:themeColor="accent6" w:sz="4" w:space="0"/>
          <w:left w:val="nil"/>
          <w:bottom w:val="nil"/>
          <w:right w:val="nil"/>
        </w:tcBorders>
        <w:shd w:val="clear" w:color="FFFFFF" w:fill="FFFFFF" w:themeFill="light1"/>
      </w:tcPr>
    </w:tblStylePr>
    <w:tblStylePr w:type="firstCol">
      <w:pPr>
        <w:jc w:val="right"/>
      </w:pPr>
      <w:rPr>
        <w:i/>
        <w:color w:val="B05408" w:themeColor="accent6" w:themeShade="94"/>
        <w:sz w:val="22"/>
      </w:rPr>
      <w:tcPr>
        <w:tcBorders>
          <w:top w:val="nil"/>
          <w:left w:val="nil"/>
          <w:bottom w:val="nil"/>
          <w:right w:val="single" w:color="F79646" w:themeColor="accent6" w:sz="4" w:space="0"/>
        </w:tcBorders>
        <w:shd w:val="clear" w:color="FFFFFF" w:fill="auto"/>
      </w:tcPr>
    </w:tblStylePr>
    <w:tblStylePr w:type="lastCol">
      <w:rPr>
        <w:i/>
        <w:color w:val="B05408" w:themeColor="accent6" w:themeShade="94"/>
        <w:sz w:val="22"/>
      </w:rPr>
      <w:tcPr>
        <w:tcBorders>
          <w:top w:val="nil"/>
          <w:left w:val="single" w:color="F79646" w:themeColor="accent6" w:sz="4" w:space="0"/>
          <w:bottom w:val="nil"/>
          <w:right w:val="nil"/>
        </w:tcBorders>
        <w:shd w:val="clear" w:color="FFFFFF" w:fill="auto"/>
      </w:tcPr>
    </w:tblStylePr>
    <w:tblStylePr w:type="band1Vert">
      <w:tcPr>
        <w:shd w:val="clear" w:color="FDE9D8" w:fill="FDE9D9" w:themeFill="accent6" w:themeFillTint="34"/>
      </w:tcPr>
    </w:tblStylePr>
    <w:tblStylePr w:type="band1Horz">
      <w:rPr>
        <w:color w:val="B05408" w:themeColor="accent6" w:themeShade="94"/>
        <w:sz w:val="22"/>
      </w:rPr>
      <w:tcPr>
        <w:shd w:val="clear" w:color="FDE9D8" w:fill="FDE9D9" w:themeFill="accent6" w:themeFillTint="34"/>
      </w:tcPr>
    </w:tblStylePr>
    <w:tblStylePr w:type="band2Horz">
      <w:rPr>
        <w:color w:val="B05408" w:themeColor="accent6" w:themeShade="94"/>
        <w:sz w:val="22"/>
      </w:rPr>
    </w:tblStylePr>
  </w:style>
  <w:style w:type="table" w:customStyle="1" w:styleId="291">
    <w:name w:val="Tabela de Lista 1 Clara1"/>
    <w:basedOn w:val="12"/>
    <w:qFormat/>
    <w:uiPriority w:val="99"/>
    <w:tblPr>
      <w:tblCellMar>
        <w:top w:w="0" w:type="dxa"/>
        <w:left w:w="108" w:type="dxa"/>
        <w:bottom w:w="0" w:type="dxa"/>
        <w:right w:w="108" w:type="dxa"/>
      </w:tblCellMar>
    </w:tblPr>
    <w:tblStylePr w:type="firstRow">
      <w:rPr>
        <w:b/>
        <w:color w:val="404040"/>
      </w:rPr>
      <w:tcPr>
        <w:tcBorders>
          <w:top w:val="nil"/>
          <w:left w:val="nil"/>
          <w:bottom w:val="single" w:color="000000" w:themeColor="text1" w:sz="4" w:space="0"/>
          <w:right w:val="nil"/>
        </w:tcBorders>
      </w:tcPr>
    </w:tblStylePr>
    <w:tblStylePr w:type="lastRow">
      <w:rPr>
        <w:b/>
        <w:color w:val="404040"/>
      </w:rPr>
      <w:tcPr>
        <w:tcBorders>
          <w:top w:val="single" w:color="000000" w:themeColor="text1" w:sz="4" w:space="0"/>
          <w:left w:val="nil"/>
          <w:bottom w:val="nil"/>
          <w:right w:val="nil"/>
        </w:tcBorders>
      </w:tcPr>
    </w:tblStylePr>
    <w:tblStylePr w:type="firstCol">
      <w:rPr>
        <w:b/>
        <w:color w:val="404040"/>
      </w:rPr>
    </w:tblStylePr>
    <w:tblStylePr w:type="lastCol">
      <w:rPr>
        <w:b/>
        <w:color w:val="404040"/>
      </w:rPr>
    </w:tblStylePr>
    <w:tblStylePr w:type="band1Vert">
      <w:tcPr>
        <w:shd w:val="clear" w:color="BFBFBF" w:fill="BEBEBE" w:themeFill="text1" w:themeFillTint="40"/>
      </w:tcPr>
    </w:tblStylePr>
    <w:tblStylePr w:type="band1Horz">
      <w:tcPr>
        <w:shd w:val="clear" w:color="BFBFBF" w:fill="BEBEBE" w:themeFill="text1" w:themeFillTint="40"/>
      </w:tcPr>
    </w:tblStylePr>
  </w:style>
  <w:style w:type="table" w:customStyle="1" w:styleId="292">
    <w:name w:val="List Table 1 Light - Accent 1"/>
    <w:basedOn w:val="12"/>
    <w:qFormat/>
    <w:uiPriority w:val="99"/>
    <w:tblPr>
      <w:tblCellMar>
        <w:top w:w="0" w:type="dxa"/>
        <w:left w:w="108" w:type="dxa"/>
        <w:bottom w:w="0" w:type="dxa"/>
        <w:right w:w="108" w:type="dxa"/>
      </w:tblCellMar>
    </w:tblPr>
    <w:tblStylePr w:type="firstRow">
      <w:rPr>
        <w:b/>
        <w:color w:val="404040"/>
      </w:rPr>
      <w:tcPr>
        <w:tcBorders>
          <w:top w:val="nil"/>
          <w:left w:val="nil"/>
          <w:bottom w:val="single" w:color="4F81BD" w:themeColor="accent1" w:sz="4" w:space="0"/>
          <w:right w:val="nil"/>
        </w:tcBorders>
      </w:tcPr>
    </w:tblStylePr>
    <w:tblStylePr w:type="lastRow">
      <w:rPr>
        <w:b/>
        <w:color w:val="404040"/>
      </w:rPr>
      <w:tcPr>
        <w:tcBorders>
          <w:top w:val="single" w:color="4F81BD" w:themeColor="accent1" w:sz="4" w:space="0"/>
          <w:left w:val="nil"/>
          <w:bottom w:val="nil"/>
          <w:right w:val="nil"/>
        </w:tcBorders>
      </w:tcPr>
    </w:tblStylePr>
    <w:tblStylePr w:type="firstCol">
      <w:rPr>
        <w:b/>
        <w:color w:val="404040"/>
      </w:rPr>
    </w:tblStylePr>
    <w:tblStylePr w:type="lastCol">
      <w:rPr>
        <w:b/>
        <w:color w:val="404040"/>
      </w:rPr>
    </w:tblStylePr>
    <w:tblStylePr w:type="band1Vert">
      <w:tcPr>
        <w:shd w:val="clear" w:color="D2DFEE" w:fill="D2DFEE" w:themeFill="accent1" w:themeFillTint="40"/>
      </w:tcPr>
    </w:tblStylePr>
    <w:tblStylePr w:type="band1Horz">
      <w:tcPr>
        <w:shd w:val="clear" w:color="D2DFEE" w:fill="D2DFEE" w:themeFill="accent1" w:themeFillTint="40"/>
      </w:tcPr>
    </w:tblStylePr>
  </w:style>
  <w:style w:type="table" w:customStyle="1" w:styleId="293">
    <w:name w:val="List Table 1 Light - Accent 2"/>
    <w:basedOn w:val="12"/>
    <w:qFormat/>
    <w:uiPriority w:val="99"/>
    <w:tblPr>
      <w:tblCellMar>
        <w:top w:w="0" w:type="dxa"/>
        <w:left w:w="108" w:type="dxa"/>
        <w:bottom w:w="0" w:type="dxa"/>
        <w:right w:w="108" w:type="dxa"/>
      </w:tblCellMar>
    </w:tblPr>
    <w:tblStylePr w:type="firstRow">
      <w:rPr>
        <w:b/>
        <w:color w:val="404040"/>
      </w:rPr>
      <w:tcPr>
        <w:tcBorders>
          <w:top w:val="nil"/>
          <w:left w:val="nil"/>
          <w:bottom w:val="single" w:color="C0504D" w:themeColor="accent2" w:sz="4" w:space="0"/>
          <w:right w:val="nil"/>
        </w:tcBorders>
      </w:tcPr>
    </w:tblStylePr>
    <w:tblStylePr w:type="lastRow">
      <w:rPr>
        <w:b/>
        <w:color w:val="404040"/>
      </w:rPr>
      <w:tcPr>
        <w:tcBorders>
          <w:top w:val="single" w:color="C0504D" w:themeColor="accent2" w:sz="4" w:space="0"/>
          <w:left w:val="nil"/>
          <w:bottom w:val="nil"/>
          <w:right w:val="nil"/>
        </w:tcBorders>
      </w:tcPr>
    </w:tblStylePr>
    <w:tblStylePr w:type="firstCol">
      <w:rPr>
        <w:b/>
        <w:color w:val="404040"/>
      </w:rPr>
    </w:tblStylePr>
    <w:tblStylePr w:type="lastCol">
      <w:rPr>
        <w:b/>
        <w:color w:val="404040"/>
      </w:rPr>
    </w:tblStylePr>
    <w:tblStylePr w:type="band1Vert">
      <w:tcPr>
        <w:shd w:val="clear" w:color="EFD2D2" w:fill="EFD3D2" w:themeFill="accent2" w:themeFillTint="40"/>
      </w:tcPr>
    </w:tblStylePr>
    <w:tblStylePr w:type="band1Horz">
      <w:tcPr>
        <w:shd w:val="clear" w:color="EFD2D2" w:fill="EFD3D2" w:themeFill="accent2" w:themeFillTint="40"/>
      </w:tcPr>
    </w:tblStylePr>
  </w:style>
  <w:style w:type="table" w:customStyle="1" w:styleId="294">
    <w:name w:val="List Table 1 Light - Accent 3"/>
    <w:basedOn w:val="12"/>
    <w:qFormat/>
    <w:uiPriority w:val="99"/>
    <w:tblPr>
      <w:tblCellMar>
        <w:top w:w="0" w:type="dxa"/>
        <w:left w:w="108" w:type="dxa"/>
        <w:bottom w:w="0" w:type="dxa"/>
        <w:right w:w="108" w:type="dxa"/>
      </w:tblCellMar>
    </w:tblPr>
    <w:tblStylePr w:type="firstRow">
      <w:rPr>
        <w:b/>
        <w:color w:val="404040"/>
      </w:rPr>
      <w:tcPr>
        <w:tcBorders>
          <w:top w:val="nil"/>
          <w:left w:val="nil"/>
          <w:bottom w:val="single" w:color="9BBB59" w:themeColor="accent3" w:sz="4" w:space="0"/>
          <w:right w:val="nil"/>
        </w:tcBorders>
      </w:tcPr>
    </w:tblStylePr>
    <w:tblStylePr w:type="lastRow">
      <w:rPr>
        <w:b/>
        <w:color w:val="404040"/>
      </w:rPr>
      <w:tcPr>
        <w:tcBorders>
          <w:top w:val="single" w:color="9BBB59" w:themeColor="accent3" w:sz="4" w:space="0"/>
          <w:left w:val="nil"/>
          <w:bottom w:val="nil"/>
          <w:right w:val="nil"/>
        </w:tcBorders>
      </w:tcPr>
    </w:tblStylePr>
    <w:tblStylePr w:type="firstCol">
      <w:rPr>
        <w:b/>
        <w:color w:val="404040"/>
      </w:rPr>
    </w:tblStylePr>
    <w:tblStylePr w:type="lastCol">
      <w:rPr>
        <w:b/>
        <w:color w:val="404040"/>
      </w:rPr>
    </w:tblStylePr>
    <w:tblStylePr w:type="band1Vert">
      <w:tcPr>
        <w:shd w:val="clear" w:color="E5EED5" w:fill="E5EDD5" w:themeFill="accent3" w:themeFillTint="40"/>
      </w:tcPr>
    </w:tblStylePr>
    <w:tblStylePr w:type="band1Horz">
      <w:tcPr>
        <w:shd w:val="clear" w:color="E5EED5" w:fill="E5EDD5" w:themeFill="accent3" w:themeFillTint="40"/>
      </w:tcPr>
    </w:tblStylePr>
  </w:style>
  <w:style w:type="table" w:customStyle="1" w:styleId="295">
    <w:name w:val="List Table 1 Light - Accent 4"/>
    <w:basedOn w:val="12"/>
    <w:qFormat/>
    <w:uiPriority w:val="99"/>
    <w:tblPr>
      <w:tblCellMar>
        <w:top w:w="0" w:type="dxa"/>
        <w:left w:w="108" w:type="dxa"/>
        <w:bottom w:w="0" w:type="dxa"/>
        <w:right w:w="108" w:type="dxa"/>
      </w:tblCellMar>
    </w:tblPr>
    <w:tblStylePr w:type="firstRow">
      <w:rPr>
        <w:b/>
        <w:color w:val="404040"/>
      </w:rPr>
      <w:tcPr>
        <w:tcBorders>
          <w:top w:val="nil"/>
          <w:left w:val="nil"/>
          <w:bottom w:val="single" w:color="8064A2" w:themeColor="accent4" w:sz="4" w:space="0"/>
          <w:right w:val="nil"/>
        </w:tcBorders>
      </w:tcPr>
    </w:tblStylePr>
    <w:tblStylePr w:type="lastRow">
      <w:rPr>
        <w:b/>
        <w:color w:val="404040"/>
      </w:rPr>
      <w:tcPr>
        <w:tcBorders>
          <w:top w:val="single" w:color="8064A2" w:themeColor="accent4" w:sz="4" w:space="0"/>
          <w:left w:val="nil"/>
          <w:bottom w:val="nil"/>
          <w:right w:val="nil"/>
        </w:tcBorders>
      </w:tcPr>
    </w:tblStylePr>
    <w:tblStylePr w:type="firstCol">
      <w:rPr>
        <w:b/>
        <w:color w:val="404040"/>
      </w:rPr>
    </w:tblStylePr>
    <w:tblStylePr w:type="lastCol">
      <w:rPr>
        <w:b/>
        <w:color w:val="404040"/>
      </w:rPr>
    </w:tblStylePr>
    <w:tblStylePr w:type="band1Vert">
      <w:tcPr>
        <w:shd w:val="clear" w:color="DFD8E7" w:fill="DFD8E7" w:themeFill="accent4" w:themeFillTint="40"/>
      </w:tcPr>
    </w:tblStylePr>
    <w:tblStylePr w:type="band1Horz">
      <w:tcPr>
        <w:shd w:val="clear" w:color="DFD8E7" w:fill="DFD8E7" w:themeFill="accent4" w:themeFillTint="40"/>
      </w:tcPr>
    </w:tblStylePr>
  </w:style>
  <w:style w:type="table" w:customStyle="1" w:styleId="296">
    <w:name w:val="List Table 1 Light - Accent 5"/>
    <w:basedOn w:val="12"/>
    <w:qFormat/>
    <w:uiPriority w:val="99"/>
    <w:tblPr>
      <w:tblCellMar>
        <w:top w:w="0" w:type="dxa"/>
        <w:left w:w="108" w:type="dxa"/>
        <w:bottom w:w="0" w:type="dxa"/>
        <w:right w:w="108" w:type="dxa"/>
      </w:tblCellMar>
    </w:tblPr>
    <w:tblStylePr w:type="firstRow">
      <w:rPr>
        <w:b/>
        <w:color w:val="404040"/>
      </w:rPr>
      <w:tcPr>
        <w:tcBorders>
          <w:top w:val="nil"/>
          <w:left w:val="nil"/>
          <w:bottom w:val="single" w:color="4BACC6" w:themeColor="accent5" w:sz="4" w:space="0"/>
          <w:right w:val="nil"/>
        </w:tcBorders>
      </w:tcPr>
    </w:tblStylePr>
    <w:tblStylePr w:type="lastRow">
      <w:rPr>
        <w:b/>
        <w:color w:val="404040"/>
      </w:rPr>
      <w:tcPr>
        <w:tcBorders>
          <w:top w:val="single" w:color="4BACC6" w:themeColor="accent5" w:sz="4" w:space="0"/>
          <w:left w:val="nil"/>
          <w:bottom w:val="nil"/>
          <w:right w:val="nil"/>
        </w:tcBorders>
      </w:tcPr>
    </w:tblStylePr>
    <w:tblStylePr w:type="firstCol">
      <w:rPr>
        <w:b/>
        <w:color w:val="404040"/>
      </w:rPr>
    </w:tblStylePr>
    <w:tblStylePr w:type="lastCol">
      <w:rPr>
        <w:b/>
        <w:color w:val="404040"/>
      </w:rPr>
    </w:tblStylePr>
    <w:tblStylePr w:type="band1Vert">
      <w:tcPr>
        <w:shd w:val="clear" w:color="D1EAF0" w:fill="D1EAF0" w:themeFill="accent5" w:themeFillTint="40"/>
      </w:tcPr>
    </w:tblStylePr>
    <w:tblStylePr w:type="band1Horz">
      <w:tcPr>
        <w:shd w:val="clear" w:color="D1EAF0" w:fill="D1EAF0" w:themeFill="accent5" w:themeFillTint="40"/>
      </w:tcPr>
    </w:tblStylePr>
  </w:style>
  <w:style w:type="table" w:customStyle="1" w:styleId="297">
    <w:name w:val="List Table 1 Light - Accent 6"/>
    <w:basedOn w:val="12"/>
    <w:qFormat/>
    <w:uiPriority w:val="99"/>
    <w:tblPr>
      <w:tblCellMar>
        <w:top w:w="0" w:type="dxa"/>
        <w:left w:w="108" w:type="dxa"/>
        <w:bottom w:w="0" w:type="dxa"/>
        <w:right w:w="108" w:type="dxa"/>
      </w:tblCellMar>
    </w:tblPr>
    <w:tblStylePr w:type="firstRow">
      <w:rPr>
        <w:b/>
        <w:color w:val="404040"/>
      </w:rPr>
      <w:tcPr>
        <w:tcBorders>
          <w:top w:val="nil"/>
          <w:left w:val="nil"/>
          <w:bottom w:val="single" w:color="F79646" w:themeColor="accent6" w:sz="4" w:space="0"/>
          <w:right w:val="nil"/>
        </w:tcBorders>
      </w:tcPr>
    </w:tblStylePr>
    <w:tblStylePr w:type="lastRow">
      <w:rPr>
        <w:b/>
        <w:color w:val="404040"/>
      </w:rPr>
      <w:tcPr>
        <w:tcBorders>
          <w:top w:val="single" w:color="F79646" w:themeColor="accent6" w:sz="4" w:space="0"/>
          <w:left w:val="nil"/>
          <w:bottom w:val="nil"/>
          <w:right w:val="nil"/>
        </w:tcBorders>
      </w:tcPr>
    </w:tblStylePr>
    <w:tblStylePr w:type="firstCol">
      <w:rPr>
        <w:b/>
        <w:color w:val="404040"/>
      </w:rPr>
    </w:tblStylePr>
    <w:tblStylePr w:type="lastCol">
      <w:rPr>
        <w:b/>
        <w:color w:val="404040"/>
      </w:rPr>
    </w:tblStylePr>
    <w:tblStylePr w:type="band1Vert">
      <w:tcPr>
        <w:shd w:val="clear" w:color="FDE4D0" w:fill="FCE4D0" w:themeFill="accent6" w:themeFillTint="40"/>
      </w:tcPr>
    </w:tblStylePr>
    <w:tblStylePr w:type="band1Horz">
      <w:tcPr>
        <w:shd w:val="clear" w:color="FDE4D0" w:fill="FCE4D0" w:themeFill="accent6" w:themeFillTint="40"/>
      </w:tcPr>
    </w:tblStylePr>
  </w:style>
  <w:style w:type="table" w:customStyle="1" w:styleId="298">
    <w:name w:val="Tabela de Lista 21"/>
    <w:basedOn w:val="12"/>
    <w:qFormat/>
    <w:uiPriority w:val="99"/>
    <w:tblPr>
      <w:tblBorders>
        <w:top w:val="single" w:color="6E6E6E" w:themeColor="text1" w:themeTint="90" w:sz="4" w:space="0"/>
        <w:bottom w:val="single" w:color="6E6E6E" w:themeColor="text1" w:themeTint="90" w:sz="4" w:space="0"/>
        <w:insideH w:val="single" w:color="6E6E6E" w:themeColor="text1" w:themeTint="90" w:sz="4" w:space="0"/>
      </w:tblBorders>
      <w:tblCellMar>
        <w:top w:w="0" w:type="dxa"/>
        <w:left w:w="108" w:type="dxa"/>
        <w:bottom w:w="0" w:type="dxa"/>
        <w:right w:w="108" w:type="dxa"/>
      </w:tblCellMar>
    </w:tblPr>
    <w:tblStylePr w:type="firstRow">
      <w:rPr>
        <w:b/>
        <w:color w:val="404040"/>
        <w:sz w:val="22"/>
      </w:rPr>
      <w:tcPr>
        <w:tcBorders>
          <w:top w:val="single" w:color="000000" w:themeColor="text1" w:sz="4" w:space="0"/>
          <w:left w:val="nil"/>
          <w:bottom w:val="single" w:color="000000" w:themeColor="text1" w:sz="4" w:space="0"/>
          <w:right w:val="nil"/>
        </w:tcBorders>
      </w:tcPr>
    </w:tblStylePr>
    <w:tblStylePr w:type="lastRow">
      <w:rPr>
        <w:b/>
        <w:color w:val="404040"/>
        <w:sz w:val="22"/>
      </w:rPr>
      <w:tcPr>
        <w:tcBorders>
          <w:top w:val="single" w:color="000000" w:themeColor="text1" w:sz="4" w:space="0"/>
          <w:left w:val="nil"/>
          <w:bottom w:val="single" w:color="000000" w:themeColor="text1" w:sz="4" w:space="0"/>
          <w:right w:val="nil"/>
        </w:tcBorders>
      </w:tcPr>
    </w:tblStylePr>
    <w:tblStylePr w:type="firstCol">
      <w:rPr>
        <w:b/>
        <w:color w:val="404040"/>
        <w:sz w:val="22"/>
      </w:rPr>
    </w:tblStylePr>
    <w:tblStylePr w:type="lastCol">
      <w:rPr>
        <w:b/>
        <w:color w:val="404040"/>
        <w:sz w:val="22"/>
      </w:rPr>
    </w:tblStylePr>
    <w:tblStylePr w:type="band1Vert">
      <w:rPr>
        <w:color w:val="404040"/>
        <w:sz w:val="22"/>
      </w:rPr>
      <w:tcPr>
        <w:shd w:val="clear" w:color="BFBFBF" w:fill="BEBEBE" w:themeFill="text1" w:themeFillTint="40"/>
      </w:tcPr>
    </w:tblStylePr>
    <w:tblStylePr w:type="band1Horz">
      <w:rPr>
        <w:color w:val="404040"/>
        <w:sz w:val="22"/>
      </w:rPr>
      <w:tcPr>
        <w:shd w:val="clear" w:color="BFBFBF" w:fill="BEBEBE" w:themeFill="text1" w:themeFillTint="40"/>
      </w:tcPr>
    </w:tblStylePr>
  </w:style>
  <w:style w:type="table" w:customStyle="1" w:styleId="299">
    <w:name w:val="List Table 2 - Accent 1"/>
    <w:basedOn w:val="12"/>
    <w:qFormat/>
    <w:uiPriority w:val="99"/>
    <w:tblPr>
      <w:tblBorders>
        <w:top w:val="single" w:color="9BB7D9" w:themeColor="accent1" w:themeTint="90" w:sz="4" w:space="0"/>
        <w:bottom w:val="single" w:color="9BB7D9" w:themeColor="accent1" w:themeTint="90" w:sz="4" w:space="0"/>
        <w:insideH w:val="single" w:color="9BB7D9" w:themeColor="accent1" w:themeTint="90" w:sz="4" w:space="0"/>
      </w:tblBorders>
      <w:tblCellMar>
        <w:top w:w="0" w:type="dxa"/>
        <w:left w:w="108" w:type="dxa"/>
        <w:bottom w:w="0" w:type="dxa"/>
        <w:right w:w="108" w:type="dxa"/>
      </w:tblCellMar>
    </w:tblPr>
    <w:tblStylePr w:type="firstRow">
      <w:rPr>
        <w:b/>
        <w:color w:val="404040"/>
        <w:sz w:val="22"/>
      </w:rPr>
      <w:tcPr>
        <w:tcBorders>
          <w:top w:val="single" w:color="4F81BD" w:themeColor="accent1" w:sz="4" w:space="0"/>
          <w:left w:val="nil"/>
          <w:bottom w:val="single" w:color="4F81BD" w:themeColor="accent1" w:sz="4" w:space="0"/>
          <w:right w:val="nil"/>
        </w:tcBorders>
      </w:tcPr>
    </w:tblStylePr>
    <w:tblStylePr w:type="lastRow">
      <w:rPr>
        <w:b/>
        <w:color w:val="404040"/>
        <w:sz w:val="22"/>
      </w:rPr>
      <w:tcPr>
        <w:tcBorders>
          <w:top w:val="single" w:color="4F81BD" w:themeColor="accent1" w:sz="4" w:space="0"/>
          <w:left w:val="nil"/>
          <w:bottom w:val="single" w:color="4F81BD" w:themeColor="accent1" w:sz="4" w:space="0"/>
          <w:right w:val="nil"/>
        </w:tcBorders>
      </w:tcPr>
    </w:tblStylePr>
    <w:tblStylePr w:type="firstCol">
      <w:rPr>
        <w:b/>
        <w:color w:val="404040"/>
        <w:sz w:val="22"/>
      </w:rPr>
    </w:tblStylePr>
    <w:tblStylePr w:type="lastCol">
      <w:rPr>
        <w:b/>
        <w:color w:val="404040"/>
        <w:sz w:val="22"/>
      </w:rPr>
    </w:tblStylePr>
    <w:tblStylePr w:type="band1Vert">
      <w:rPr>
        <w:color w:val="404040"/>
        <w:sz w:val="22"/>
      </w:rPr>
      <w:tcPr>
        <w:shd w:val="clear" w:color="D2DFEE" w:fill="D2DFEE" w:themeFill="accent1" w:themeFillTint="40"/>
      </w:tcPr>
    </w:tblStylePr>
    <w:tblStylePr w:type="band1Horz">
      <w:rPr>
        <w:color w:val="404040"/>
        <w:sz w:val="22"/>
      </w:rPr>
      <w:tcPr>
        <w:shd w:val="clear" w:color="D2DFEE" w:fill="D2DFEE" w:themeFill="accent1" w:themeFillTint="40"/>
      </w:tcPr>
    </w:tblStylePr>
  </w:style>
  <w:style w:type="table" w:customStyle="1" w:styleId="300">
    <w:name w:val="List Table 2 - Accent 2"/>
    <w:basedOn w:val="12"/>
    <w:qFormat/>
    <w:uiPriority w:val="99"/>
    <w:tblPr>
      <w:tblBorders>
        <w:top w:val="single" w:color="DB9C9A" w:themeColor="accent2" w:themeTint="90" w:sz="4" w:space="0"/>
        <w:bottom w:val="single" w:color="DB9C9A" w:themeColor="accent2" w:themeTint="90" w:sz="4" w:space="0"/>
        <w:insideH w:val="single" w:color="DB9C9A" w:themeColor="accent2" w:themeTint="90" w:sz="4" w:space="0"/>
      </w:tblBorders>
      <w:tblCellMar>
        <w:top w:w="0" w:type="dxa"/>
        <w:left w:w="108" w:type="dxa"/>
        <w:bottom w:w="0" w:type="dxa"/>
        <w:right w:w="108" w:type="dxa"/>
      </w:tblCellMar>
    </w:tblPr>
    <w:tblStylePr w:type="firstRow">
      <w:rPr>
        <w:b/>
        <w:color w:val="404040"/>
        <w:sz w:val="22"/>
      </w:rPr>
      <w:tcPr>
        <w:tcBorders>
          <w:top w:val="single" w:color="C0504D" w:themeColor="accent2" w:sz="4" w:space="0"/>
          <w:left w:val="nil"/>
          <w:bottom w:val="single" w:color="C0504D" w:themeColor="accent2" w:sz="4" w:space="0"/>
          <w:right w:val="nil"/>
        </w:tcBorders>
      </w:tcPr>
    </w:tblStylePr>
    <w:tblStylePr w:type="lastRow">
      <w:rPr>
        <w:b/>
        <w:color w:val="404040"/>
        <w:sz w:val="22"/>
      </w:rPr>
      <w:tcPr>
        <w:tcBorders>
          <w:top w:val="single" w:color="C0504D" w:themeColor="accent2" w:sz="4" w:space="0"/>
          <w:left w:val="nil"/>
          <w:bottom w:val="single" w:color="C0504D" w:themeColor="accent2" w:sz="4" w:space="0"/>
          <w:right w:val="nil"/>
        </w:tcBorders>
      </w:tcPr>
    </w:tblStylePr>
    <w:tblStylePr w:type="firstCol">
      <w:rPr>
        <w:b/>
        <w:color w:val="404040"/>
        <w:sz w:val="22"/>
      </w:rPr>
    </w:tblStylePr>
    <w:tblStylePr w:type="lastCol">
      <w:rPr>
        <w:b/>
        <w:color w:val="404040"/>
        <w:sz w:val="22"/>
      </w:rPr>
    </w:tblStylePr>
    <w:tblStylePr w:type="band1Vert">
      <w:rPr>
        <w:color w:val="404040"/>
        <w:sz w:val="22"/>
      </w:rPr>
      <w:tcPr>
        <w:shd w:val="clear" w:color="EFD2D2" w:fill="EFD3D2" w:themeFill="accent2" w:themeFillTint="40"/>
      </w:tcPr>
    </w:tblStylePr>
    <w:tblStylePr w:type="band1Horz">
      <w:rPr>
        <w:color w:val="404040"/>
        <w:sz w:val="22"/>
      </w:rPr>
      <w:tcPr>
        <w:shd w:val="clear" w:color="EFD2D2" w:fill="EFD3D2" w:themeFill="accent2" w:themeFillTint="40"/>
      </w:tcPr>
    </w:tblStylePr>
  </w:style>
  <w:style w:type="table" w:customStyle="1" w:styleId="301">
    <w:name w:val="List Table 2 - Accent 3"/>
    <w:basedOn w:val="12"/>
    <w:qFormat/>
    <w:uiPriority w:val="99"/>
    <w:tblPr>
      <w:tblBorders>
        <w:top w:val="single" w:color="C6D8A1" w:themeColor="accent3" w:themeTint="90" w:sz="4" w:space="0"/>
        <w:bottom w:val="single" w:color="C6D8A1" w:themeColor="accent3" w:themeTint="90" w:sz="4" w:space="0"/>
        <w:insideH w:val="single" w:color="C6D8A1" w:themeColor="accent3" w:themeTint="90" w:sz="4" w:space="0"/>
      </w:tblBorders>
      <w:tblCellMar>
        <w:top w:w="0" w:type="dxa"/>
        <w:left w:w="108" w:type="dxa"/>
        <w:bottom w:w="0" w:type="dxa"/>
        <w:right w:w="108" w:type="dxa"/>
      </w:tblCellMar>
    </w:tblPr>
    <w:tblStylePr w:type="firstRow">
      <w:rPr>
        <w:b/>
        <w:color w:val="404040"/>
        <w:sz w:val="22"/>
      </w:rPr>
      <w:tcPr>
        <w:tcBorders>
          <w:top w:val="single" w:color="9BBB59" w:themeColor="accent3" w:sz="4" w:space="0"/>
          <w:left w:val="nil"/>
          <w:bottom w:val="single" w:color="9BBB59" w:themeColor="accent3" w:sz="4" w:space="0"/>
          <w:right w:val="nil"/>
        </w:tcBorders>
      </w:tcPr>
    </w:tblStylePr>
    <w:tblStylePr w:type="lastRow">
      <w:rPr>
        <w:b/>
        <w:color w:val="404040"/>
        <w:sz w:val="22"/>
      </w:rPr>
      <w:tcPr>
        <w:tcBorders>
          <w:top w:val="single" w:color="9BBB59" w:themeColor="accent3" w:sz="4" w:space="0"/>
          <w:left w:val="nil"/>
          <w:bottom w:val="single" w:color="9BBB59" w:themeColor="accent3" w:sz="4" w:space="0"/>
          <w:right w:val="nil"/>
        </w:tcBorders>
      </w:tcPr>
    </w:tblStylePr>
    <w:tblStylePr w:type="firstCol">
      <w:rPr>
        <w:b/>
        <w:color w:val="404040"/>
        <w:sz w:val="22"/>
      </w:rPr>
    </w:tblStylePr>
    <w:tblStylePr w:type="lastCol">
      <w:rPr>
        <w:b/>
        <w:color w:val="404040"/>
        <w:sz w:val="22"/>
      </w:rPr>
    </w:tblStylePr>
    <w:tblStylePr w:type="band1Vert">
      <w:rPr>
        <w:color w:val="404040"/>
        <w:sz w:val="22"/>
      </w:rPr>
      <w:tcPr>
        <w:shd w:val="clear" w:color="E5EED5" w:fill="E5EDD5" w:themeFill="accent3" w:themeFillTint="40"/>
      </w:tcPr>
    </w:tblStylePr>
    <w:tblStylePr w:type="band1Horz">
      <w:rPr>
        <w:color w:val="404040"/>
        <w:sz w:val="22"/>
      </w:rPr>
      <w:tcPr>
        <w:shd w:val="clear" w:color="E5EED5" w:fill="E5EDD5" w:themeFill="accent3" w:themeFillTint="40"/>
      </w:tcPr>
    </w:tblStylePr>
  </w:style>
  <w:style w:type="table" w:customStyle="1" w:styleId="302">
    <w:name w:val="List Table 2 - Accent 4"/>
    <w:basedOn w:val="12"/>
    <w:qFormat/>
    <w:uiPriority w:val="99"/>
    <w:tblPr>
      <w:tblBorders>
        <w:top w:val="single" w:color="B7A7CA" w:themeColor="accent4" w:themeTint="90" w:sz="4" w:space="0"/>
        <w:bottom w:val="single" w:color="B7A7CA" w:themeColor="accent4" w:themeTint="90" w:sz="4" w:space="0"/>
        <w:insideH w:val="single" w:color="B7A7CA" w:themeColor="accent4" w:themeTint="90" w:sz="4" w:space="0"/>
      </w:tblBorders>
      <w:tblCellMar>
        <w:top w:w="0" w:type="dxa"/>
        <w:left w:w="108" w:type="dxa"/>
        <w:bottom w:w="0" w:type="dxa"/>
        <w:right w:w="108" w:type="dxa"/>
      </w:tblCellMar>
    </w:tblPr>
    <w:tblStylePr w:type="firstRow">
      <w:rPr>
        <w:b/>
        <w:color w:val="404040"/>
        <w:sz w:val="22"/>
      </w:rPr>
      <w:tcPr>
        <w:tcBorders>
          <w:top w:val="single" w:color="8064A2" w:themeColor="accent4" w:sz="4" w:space="0"/>
          <w:left w:val="nil"/>
          <w:bottom w:val="single" w:color="8064A2" w:themeColor="accent4" w:sz="4" w:space="0"/>
          <w:right w:val="nil"/>
        </w:tcBorders>
      </w:tcPr>
    </w:tblStylePr>
    <w:tblStylePr w:type="lastRow">
      <w:rPr>
        <w:b/>
        <w:color w:val="404040"/>
        <w:sz w:val="22"/>
      </w:rPr>
      <w:tcPr>
        <w:tcBorders>
          <w:top w:val="single" w:color="8064A2" w:themeColor="accent4" w:sz="4" w:space="0"/>
          <w:left w:val="nil"/>
          <w:bottom w:val="single" w:color="8064A2" w:themeColor="accent4" w:sz="4" w:space="0"/>
          <w:right w:val="nil"/>
        </w:tcBorders>
      </w:tcPr>
    </w:tblStylePr>
    <w:tblStylePr w:type="firstCol">
      <w:rPr>
        <w:b/>
        <w:color w:val="404040"/>
        <w:sz w:val="22"/>
      </w:rPr>
    </w:tblStylePr>
    <w:tblStylePr w:type="lastCol">
      <w:rPr>
        <w:b/>
        <w:color w:val="404040"/>
        <w:sz w:val="22"/>
      </w:rPr>
    </w:tblStylePr>
    <w:tblStylePr w:type="band1Vert">
      <w:rPr>
        <w:color w:val="404040"/>
        <w:sz w:val="22"/>
      </w:rPr>
      <w:tcPr>
        <w:shd w:val="clear" w:color="DFD8E7" w:fill="DFD8E7" w:themeFill="accent4" w:themeFillTint="40"/>
      </w:tcPr>
    </w:tblStylePr>
    <w:tblStylePr w:type="band1Horz">
      <w:rPr>
        <w:color w:val="404040"/>
        <w:sz w:val="22"/>
      </w:rPr>
      <w:tcPr>
        <w:shd w:val="clear" w:color="DFD8E7" w:fill="DFD8E7" w:themeFill="accent4" w:themeFillTint="40"/>
      </w:tcPr>
    </w:tblStylePr>
  </w:style>
  <w:style w:type="table" w:customStyle="1" w:styleId="303">
    <w:name w:val="List Table 2 - Accent 5"/>
    <w:basedOn w:val="12"/>
    <w:qFormat/>
    <w:uiPriority w:val="99"/>
    <w:tblPr>
      <w:tblBorders>
        <w:top w:val="single" w:color="99D0DE" w:themeColor="accent5" w:themeTint="90" w:sz="4" w:space="0"/>
        <w:bottom w:val="single" w:color="99D0DE" w:themeColor="accent5" w:themeTint="90" w:sz="4" w:space="0"/>
        <w:insideH w:val="single" w:color="99D0DE" w:themeColor="accent5" w:themeTint="90" w:sz="4" w:space="0"/>
      </w:tblBorders>
      <w:tblCellMar>
        <w:top w:w="0" w:type="dxa"/>
        <w:left w:w="108" w:type="dxa"/>
        <w:bottom w:w="0" w:type="dxa"/>
        <w:right w:w="108" w:type="dxa"/>
      </w:tblCellMar>
    </w:tblPr>
    <w:tblStylePr w:type="firstRow">
      <w:rPr>
        <w:b/>
        <w:color w:val="404040"/>
        <w:sz w:val="22"/>
      </w:rPr>
      <w:tcPr>
        <w:tcBorders>
          <w:top w:val="single" w:color="4BACC6" w:themeColor="accent5" w:sz="4" w:space="0"/>
          <w:left w:val="nil"/>
          <w:bottom w:val="single" w:color="4BACC6" w:themeColor="accent5" w:sz="4" w:space="0"/>
          <w:right w:val="nil"/>
        </w:tcBorders>
      </w:tcPr>
    </w:tblStylePr>
    <w:tblStylePr w:type="lastRow">
      <w:rPr>
        <w:b/>
        <w:color w:val="404040"/>
        <w:sz w:val="22"/>
      </w:rPr>
      <w:tcPr>
        <w:tcBorders>
          <w:top w:val="single" w:color="4BACC6" w:themeColor="accent5" w:sz="4" w:space="0"/>
          <w:left w:val="nil"/>
          <w:bottom w:val="single" w:color="4BACC6" w:themeColor="accent5" w:sz="4" w:space="0"/>
          <w:right w:val="nil"/>
        </w:tcBorders>
      </w:tcPr>
    </w:tblStylePr>
    <w:tblStylePr w:type="firstCol">
      <w:rPr>
        <w:b/>
        <w:color w:val="404040"/>
        <w:sz w:val="22"/>
      </w:rPr>
    </w:tblStylePr>
    <w:tblStylePr w:type="lastCol">
      <w:rPr>
        <w:b/>
        <w:color w:val="404040"/>
        <w:sz w:val="22"/>
      </w:rPr>
    </w:tblStylePr>
    <w:tblStylePr w:type="band1Vert">
      <w:rPr>
        <w:color w:val="404040"/>
        <w:sz w:val="22"/>
      </w:rPr>
      <w:tcPr>
        <w:shd w:val="clear" w:color="D1EAF0" w:fill="D1EAF0" w:themeFill="accent5" w:themeFillTint="40"/>
      </w:tcPr>
    </w:tblStylePr>
    <w:tblStylePr w:type="band1Horz">
      <w:rPr>
        <w:color w:val="404040"/>
        <w:sz w:val="22"/>
      </w:rPr>
      <w:tcPr>
        <w:shd w:val="clear" w:color="D1EAF0" w:fill="D1EAF0" w:themeFill="accent5" w:themeFillTint="40"/>
      </w:tcPr>
    </w:tblStylePr>
  </w:style>
  <w:style w:type="table" w:customStyle="1" w:styleId="304">
    <w:name w:val="List Table 2 - Accent 6"/>
    <w:basedOn w:val="12"/>
    <w:qFormat/>
    <w:uiPriority w:val="99"/>
    <w:tblPr>
      <w:tblBorders>
        <w:top w:val="single" w:color="FAC396" w:themeColor="accent6" w:themeTint="90" w:sz="4" w:space="0"/>
        <w:bottom w:val="single" w:color="FAC396" w:themeColor="accent6" w:themeTint="90" w:sz="4" w:space="0"/>
        <w:insideH w:val="single" w:color="FAC396" w:themeColor="accent6" w:themeTint="90" w:sz="4" w:space="0"/>
      </w:tblBorders>
      <w:tblCellMar>
        <w:top w:w="0" w:type="dxa"/>
        <w:left w:w="108" w:type="dxa"/>
        <w:bottom w:w="0" w:type="dxa"/>
        <w:right w:w="108" w:type="dxa"/>
      </w:tblCellMar>
    </w:tblPr>
    <w:tblStylePr w:type="firstRow">
      <w:rPr>
        <w:b/>
        <w:color w:val="404040"/>
        <w:sz w:val="22"/>
      </w:rPr>
      <w:tcPr>
        <w:tcBorders>
          <w:top w:val="single" w:color="F79646" w:themeColor="accent6" w:sz="4" w:space="0"/>
          <w:left w:val="nil"/>
          <w:bottom w:val="single" w:color="F79646" w:themeColor="accent6" w:sz="4" w:space="0"/>
          <w:right w:val="nil"/>
        </w:tcBorders>
      </w:tcPr>
    </w:tblStylePr>
    <w:tblStylePr w:type="lastRow">
      <w:rPr>
        <w:b/>
        <w:color w:val="404040"/>
        <w:sz w:val="22"/>
      </w:rPr>
      <w:tcPr>
        <w:tcBorders>
          <w:top w:val="single" w:color="F79646" w:themeColor="accent6" w:sz="4" w:space="0"/>
          <w:left w:val="nil"/>
          <w:bottom w:val="single" w:color="F79646" w:themeColor="accent6" w:sz="4" w:space="0"/>
          <w:right w:val="nil"/>
        </w:tcBorders>
      </w:tcPr>
    </w:tblStylePr>
    <w:tblStylePr w:type="firstCol">
      <w:rPr>
        <w:b/>
        <w:color w:val="404040"/>
        <w:sz w:val="22"/>
      </w:rPr>
    </w:tblStylePr>
    <w:tblStylePr w:type="lastCol">
      <w:rPr>
        <w:b/>
        <w:color w:val="404040"/>
        <w:sz w:val="22"/>
      </w:rPr>
    </w:tblStylePr>
    <w:tblStylePr w:type="band1Vert">
      <w:rPr>
        <w:color w:val="404040"/>
        <w:sz w:val="22"/>
      </w:rPr>
      <w:tcPr>
        <w:shd w:val="clear" w:color="FDE4D0" w:fill="FCE4D0" w:themeFill="accent6" w:themeFillTint="40"/>
      </w:tcPr>
    </w:tblStylePr>
    <w:tblStylePr w:type="band1Horz">
      <w:rPr>
        <w:color w:val="404040"/>
        <w:sz w:val="22"/>
      </w:rPr>
      <w:tcPr>
        <w:shd w:val="clear" w:color="FDE4D0" w:fill="FCE4D0" w:themeFill="accent6" w:themeFillTint="40"/>
      </w:tcPr>
    </w:tblStylePr>
  </w:style>
  <w:style w:type="table" w:customStyle="1" w:styleId="305">
    <w:name w:val="Tabela de Lista 31"/>
    <w:basedOn w:val="12"/>
    <w:qFormat/>
    <w:uiPriority w:val="99"/>
    <w:tblPr>
      <w:tblBorders>
        <w:top w:val="single" w:color="000000" w:themeColor="text1" w:sz="4" w:space="0"/>
        <w:left w:val="single" w:color="000000" w:themeColor="text1" w:sz="4" w:space="0"/>
        <w:bottom w:val="single" w:color="000000" w:themeColor="text1" w:sz="4" w:space="0"/>
        <w:right w:val="single" w:color="000000" w:themeColor="text1" w:sz="4" w:space="0"/>
      </w:tblBorders>
      <w:tblCellMar>
        <w:top w:w="0" w:type="dxa"/>
        <w:left w:w="108" w:type="dxa"/>
        <w:bottom w:w="0" w:type="dxa"/>
        <w:right w:w="108" w:type="dxa"/>
      </w:tblCellMar>
    </w:tblPr>
    <w:tblStylePr w:type="firstRow">
      <w:rPr>
        <w:b/>
        <w:color w:val="FFFFFF"/>
        <w:sz w:val="22"/>
      </w:r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cPr>
        <w:tcBorders>
          <w:left w:val="single" w:color="000000" w:themeColor="text1" w:sz="4" w:space="0"/>
          <w:right w:val="single" w:color="000000" w:themeColor="text1" w:sz="4" w:space="0"/>
        </w:tcBorders>
      </w:tcPr>
    </w:tblStylePr>
    <w:tblStylePr w:type="band1Horz">
      <w:rPr>
        <w:color w:val="404040"/>
        <w:sz w:val="22"/>
      </w:rPr>
      <w:tcPr>
        <w:tcBorders>
          <w:top w:val="single" w:color="000000" w:themeColor="text1" w:sz="4" w:space="0"/>
          <w:bottom w:val="single" w:color="000000" w:themeColor="text1" w:sz="4" w:space="0"/>
        </w:tcBorders>
      </w:tcPr>
    </w:tblStylePr>
  </w:style>
  <w:style w:type="table" w:customStyle="1" w:styleId="306">
    <w:name w:val="List Table 3 - Accent 1"/>
    <w:basedOn w:val="12"/>
    <w:qFormat/>
    <w:uiPriority w:val="99"/>
    <w:tblPr>
      <w:tblBorders>
        <w:top w:val="single" w:color="4F81BD" w:themeColor="accent1" w:sz="4" w:space="0"/>
        <w:left w:val="single" w:color="4F81BD" w:themeColor="accent1" w:sz="4" w:space="0"/>
        <w:bottom w:val="single" w:color="4F81BD" w:themeColor="accent1" w:sz="4" w:space="0"/>
        <w:right w:val="single" w:color="4F81BD" w:themeColor="accent1" w:sz="4" w:space="0"/>
      </w:tblBorders>
      <w:tblCellMar>
        <w:top w:w="0" w:type="dxa"/>
        <w:left w:w="108" w:type="dxa"/>
        <w:bottom w:w="0" w:type="dxa"/>
        <w:right w:w="108" w:type="dxa"/>
      </w:tblCellMar>
    </w:tblPr>
    <w:tblStylePr w:type="firstRow">
      <w:rPr>
        <w:b/>
        <w:color w:val="FFFFFF"/>
        <w:sz w:val="22"/>
      </w:rPr>
      <w:tcPr>
        <w:shd w:val="clear" w:color="4F81BD"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cPr>
        <w:tcBorders>
          <w:left w:val="single" w:color="4F81BD" w:themeColor="accent1" w:sz="4" w:space="0"/>
          <w:right w:val="single" w:color="4F81BD" w:themeColor="accent1" w:sz="4" w:space="0"/>
        </w:tcBorders>
      </w:tcPr>
    </w:tblStylePr>
    <w:tblStylePr w:type="band1Horz">
      <w:rPr>
        <w:color w:val="404040"/>
        <w:sz w:val="22"/>
      </w:rPr>
      <w:tcPr>
        <w:tcBorders>
          <w:top w:val="single" w:color="4F81BD" w:themeColor="accent1" w:sz="4" w:space="0"/>
          <w:bottom w:val="single" w:color="4F81BD" w:themeColor="accent1" w:sz="4" w:space="0"/>
        </w:tcBorders>
      </w:tcPr>
    </w:tblStylePr>
  </w:style>
  <w:style w:type="table" w:customStyle="1" w:styleId="307">
    <w:name w:val="List Table 3 - Accent 2"/>
    <w:basedOn w:val="12"/>
    <w:qFormat/>
    <w:uiPriority w:val="99"/>
    <w:tblPr>
      <w:tblBorders>
        <w:top w:val="single" w:color="D99795" w:themeColor="accent2" w:themeTint="97" w:sz="4" w:space="0"/>
        <w:left w:val="single" w:color="D99795" w:themeColor="accent2" w:themeTint="97" w:sz="4" w:space="0"/>
        <w:bottom w:val="single" w:color="D99795" w:themeColor="accent2" w:themeTint="97" w:sz="4" w:space="0"/>
        <w:right w:val="single" w:color="D99795" w:themeColor="accent2" w:themeTint="97" w:sz="4" w:space="0"/>
      </w:tblBorders>
      <w:tblCellMar>
        <w:top w:w="0" w:type="dxa"/>
        <w:left w:w="108" w:type="dxa"/>
        <w:bottom w:w="0" w:type="dxa"/>
        <w:right w:w="108" w:type="dxa"/>
      </w:tblCellMar>
    </w:tblPr>
    <w:tblStylePr w:type="firstRow">
      <w:rPr>
        <w:b/>
        <w:color w:val="FFFFFF"/>
        <w:sz w:val="22"/>
      </w:rPr>
      <w:tcPr>
        <w:shd w:val="clear" w:color="D99695" w:fill="D997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cPr>
        <w:tcBorders>
          <w:left w:val="single" w:color="C0504D" w:themeColor="accent2" w:sz="4" w:space="0"/>
          <w:right w:val="single" w:color="C0504D" w:themeColor="accent2" w:sz="4" w:space="0"/>
        </w:tcBorders>
      </w:tcPr>
    </w:tblStylePr>
    <w:tblStylePr w:type="band1Horz">
      <w:rPr>
        <w:color w:val="404040"/>
        <w:sz w:val="22"/>
      </w:rPr>
      <w:tcPr>
        <w:tcBorders>
          <w:top w:val="single" w:color="C0504D" w:themeColor="accent2" w:sz="4" w:space="0"/>
          <w:bottom w:val="single" w:color="C0504D" w:themeColor="accent2" w:sz="4" w:space="0"/>
        </w:tcBorders>
      </w:tcPr>
    </w:tblStylePr>
  </w:style>
  <w:style w:type="table" w:customStyle="1" w:styleId="308">
    <w:name w:val="List Table 3 - Accent 3"/>
    <w:basedOn w:val="12"/>
    <w:qFormat/>
    <w:uiPriority w:val="99"/>
    <w:tblPr>
      <w:tblBorders>
        <w:top w:val="single" w:color="C3D69C" w:themeColor="accent3" w:themeTint="98" w:sz="4" w:space="0"/>
        <w:left w:val="single" w:color="C3D69C" w:themeColor="accent3" w:themeTint="98" w:sz="4" w:space="0"/>
        <w:bottom w:val="single" w:color="C3D69C" w:themeColor="accent3" w:themeTint="98" w:sz="4" w:space="0"/>
        <w:right w:val="single" w:color="C3D69C" w:themeColor="accent3" w:themeTint="98" w:sz="4" w:space="0"/>
      </w:tblBorders>
      <w:tblCellMar>
        <w:top w:w="0" w:type="dxa"/>
        <w:left w:w="108" w:type="dxa"/>
        <w:bottom w:w="0" w:type="dxa"/>
        <w:right w:w="108" w:type="dxa"/>
      </w:tblCellMar>
    </w:tblPr>
    <w:tblStylePr w:type="firstRow">
      <w:rPr>
        <w:b/>
        <w:color w:val="FFFFFF"/>
        <w:sz w:val="22"/>
      </w:rPr>
      <w:tcPr>
        <w:shd w:val="clear" w:color="C3D69B" w:fill="C3D69C"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cPr>
        <w:tcBorders>
          <w:left w:val="single" w:color="9BBB59" w:themeColor="accent3" w:sz="4" w:space="0"/>
          <w:right w:val="single" w:color="9BBB59" w:themeColor="accent3" w:sz="4" w:space="0"/>
        </w:tcBorders>
      </w:tcPr>
    </w:tblStylePr>
    <w:tblStylePr w:type="band1Horz">
      <w:rPr>
        <w:color w:val="404040"/>
        <w:sz w:val="22"/>
      </w:rPr>
      <w:tcPr>
        <w:tcBorders>
          <w:top w:val="single" w:color="9BBB59" w:themeColor="accent3" w:sz="4" w:space="0"/>
          <w:bottom w:val="single" w:color="9BBB59" w:themeColor="accent3" w:sz="4" w:space="0"/>
        </w:tcBorders>
      </w:tcPr>
    </w:tblStylePr>
  </w:style>
  <w:style w:type="table" w:customStyle="1" w:styleId="309">
    <w:name w:val="List Table 3 - Accent 4"/>
    <w:basedOn w:val="12"/>
    <w:qFormat/>
    <w:uiPriority w:val="99"/>
    <w:tblPr>
      <w:tblBorders>
        <w:top w:val="single" w:color="B2A1C6" w:themeColor="accent4" w:themeTint="9A" w:sz="4" w:space="0"/>
        <w:left w:val="single" w:color="B2A1C6" w:themeColor="accent4" w:themeTint="9A" w:sz="4" w:space="0"/>
        <w:bottom w:val="single" w:color="B2A1C6" w:themeColor="accent4" w:themeTint="9A" w:sz="4" w:space="0"/>
        <w:right w:val="single" w:color="B2A1C6" w:themeColor="accent4" w:themeTint="9A" w:sz="4" w:space="0"/>
      </w:tblBorders>
      <w:tblCellMar>
        <w:top w:w="0" w:type="dxa"/>
        <w:left w:w="108" w:type="dxa"/>
        <w:bottom w:w="0" w:type="dxa"/>
        <w:right w:w="108" w:type="dxa"/>
      </w:tblCellMar>
    </w:tblPr>
    <w:tblStylePr w:type="firstRow">
      <w:rPr>
        <w:b/>
        <w:color w:val="FFFFFF"/>
        <w:sz w:val="22"/>
      </w:rPr>
      <w:tcPr>
        <w:shd w:val="clear" w:color="B2A1C6"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cPr>
        <w:tcBorders>
          <w:left w:val="single" w:color="8064A2" w:themeColor="accent4" w:sz="4" w:space="0"/>
          <w:right w:val="single" w:color="8064A2" w:themeColor="accent4" w:sz="4" w:space="0"/>
        </w:tcBorders>
      </w:tcPr>
    </w:tblStylePr>
    <w:tblStylePr w:type="band1Horz">
      <w:rPr>
        <w:color w:val="404040"/>
        <w:sz w:val="22"/>
      </w:rPr>
      <w:tcPr>
        <w:tcBorders>
          <w:top w:val="single" w:color="8064A2" w:themeColor="accent4" w:sz="4" w:space="0"/>
          <w:bottom w:val="single" w:color="8064A2" w:themeColor="accent4" w:sz="4" w:space="0"/>
        </w:tcBorders>
      </w:tcPr>
    </w:tblStylePr>
  </w:style>
  <w:style w:type="table" w:customStyle="1" w:styleId="310">
    <w:name w:val="List Table 3 - Accent 5"/>
    <w:basedOn w:val="12"/>
    <w:qFormat/>
    <w:uiPriority w:val="99"/>
    <w:tblPr>
      <w:tblBorders>
        <w:top w:val="single" w:color="92CCDC" w:themeColor="accent5" w:themeTint="9A" w:sz="4" w:space="0"/>
        <w:left w:val="single" w:color="92CCDC" w:themeColor="accent5" w:themeTint="9A" w:sz="4" w:space="0"/>
        <w:bottom w:val="single" w:color="92CCDC" w:themeColor="accent5" w:themeTint="9A" w:sz="4" w:space="0"/>
        <w:right w:val="single" w:color="92CCDC" w:themeColor="accent5" w:themeTint="9A" w:sz="4" w:space="0"/>
      </w:tblBorders>
      <w:tblCellMar>
        <w:top w:w="0" w:type="dxa"/>
        <w:left w:w="108" w:type="dxa"/>
        <w:bottom w:w="0" w:type="dxa"/>
        <w:right w:w="108" w:type="dxa"/>
      </w:tblCellMar>
    </w:tblPr>
    <w:tblStylePr w:type="firstRow">
      <w:rPr>
        <w:b/>
        <w:color w:val="FFFFFF"/>
        <w:sz w:val="22"/>
      </w:rPr>
      <w:tcPr>
        <w:shd w:val="clear" w:color="92CCDC"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cPr>
        <w:tcBorders>
          <w:left w:val="single" w:color="4BACC6" w:themeColor="accent5" w:sz="4" w:space="0"/>
          <w:right w:val="single" w:color="4BACC6" w:themeColor="accent5" w:sz="4" w:space="0"/>
        </w:tcBorders>
      </w:tcPr>
    </w:tblStylePr>
    <w:tblStylePr w:type="band1Horz">
      <w:rPr>
        <w:color w:val="404040"/>
        <w:sz w:val="22"/>
      </w:rPr>
      <w:tcPr>
        <w:tcBorders>
          <w:top w:val="single" w:color="4BACC6" w:themeColor="accent5" w:sz="4" w:space="0"/>
          <w:bottom w:val="single" w:color="4BACC6" w:themeColor="accent5" w:sz="4" w:space="0"/>
        </w:tcBorders>
      </w:tcPr>
    </w:tblStylePr>
  </w:style>
  <w:style w:type="table" w:customStyle="1" w:styleId="311">
    <w:name w:val="List Table 3 - Accent 6"/>
    <w:basedOn w:val="12"/>
    <w:qFormat/>
    <w:uiPriority w:val="99"/>
    <w:tblPr>
      <w:tblBorders>
        <w:top w:val="single" w:color="FAC090" w:themeColor="accent6" w:themeTint="98" w:sz="4" w:space="0"/>
        <w:left w:val="single" w:color="FAC090" w:themeColor="accent6" w:themeTint="98" w:sz="4" w:space="0"/>
        <w:bottom w:val="single" w:color="FAC090" w:themeColor="accent6" w:themeTint="98" w:sz="4" w:space="0"/>
        <w:right w:val="single" w:color="FAC090" w:themeColor="accent6" w:themeTint="98" w:sz="4" w:space="0"/>
      </w:tblBorders>
      <w:tblCellMar>
        <w:top w:w="0" w:type="dxa"/>
        <w:left w:w="108" w:type="dxa"/>
        <w:bottom w:w="0" w:type="dxa"/>
        <w:right w:w="108" w:type="dxa"/>
      </w:tblCellMar>
    </w:tblPr>
    <w:tblStylePr w:type="firstRow">
      <w:rPr>
        <w:b/>
        <w:color w:val="FFFFFF"/>
        <w:sz w:val="22"/>
      </w:rPr>
      <w:tcPr>
        <w:shd w:val="clear" w:color="FAC090"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cPr>
        <w:tcBorders>
          <w:left w:val="single" w:color="F79646" w:themeColor="accent6" w:sz="4" w:space="0"/>
          <w:right w:val="single" w:color="F79646" w:themeColor="accent6" w:sz="4" w:space="0"/>
        </w:tcBorders>
      </w:tcPr>
    </w:tblStylePr>
    <w:tblStylePr w:type="band1Horz">
      <w:rPr>
        <w:color w:val="404040"/>
        <w:sz w:val="22"/>
      </w:rPr>
      <w:tcPr>
        <w:tcBorders>
          <w:top w:val="single" w:color="F79646" w:themeColor="accent6" w:sz="4" w:space="0"/>
          <w:bottom w:val="single" w:color="F79646" w:themeColor="accent6" w:sz="4" w:space="0"/>
        </w:tcBorders>
      </w:tcPr>
    </w:tblStylePr>
  </w:style>
  <w:style w:type="table" w:customStyle="1" w:styleId="312">
    <w:name w:val="Tabela de Lista 41"/>
    <w:basedOn w:val="12"/>
    <w:qFormat/>
    <w:uiPriority w:val="9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CellMar>
        <w:top w:w="0" w:type="dxa"/>
        <w:left w:w="108" w:type="dxa"/>
        <w:bottom w:w="0" w:type="dxa"/>
        <w:right w:w="108" w:type="dxa"/>
      </w:tblCellMar>
    </w:tblPr>
    <w:tblStylePr w:type="firstRow">
      <w:rPr>
        <w:b/>
        <w:color w:val="FFFFFF"/>
        <w:sz w:val="22"/>
      </w:r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cPr>
        <w:shd w:val="clear" w:color="BFBFBF" w:fill="BEBEBE" w:themeFill="text1" w:themeFillTint="40"/>
      </w:tcPr>
    </w:tblStylePr>
    <w:tblStylePr w:type="band1Horz">
      <w:rPr>
        <w:color w:val="404040"/>
        <w:sz w:val="22"/>
      </w:rPr>
      <w:tcPr>
        <w:shd w:val="clear" w:color="BFBFBF" w:fill="BEBEBE" w:themeFill="text1" w:themeFillTint="40"/>
      </w:tcPr>
    </w:tblStylePr>
  </w:style>
  <w:style w:type="table" w:customStyle="1" w:styleId="313">
    <w:name w:val="List Table 4 - Accent 1"/>
    <w:basedOn w:val="12"/>
    <w:qFormat/>
    <w:uiPriority w:val="99"/>
    <w:tblPr>
      <w:tblBorders>
        <w:top w:val="single" w:color="9BB7D9" w:themeColor="accent1" w:themeTint="90" w:sz="4" w:space="0"/>
        <w:left w:val="single" w:color="9BB7D9" w:themeColor="accent1" w:themeTint="90" w:sz="4" w:space="0"/>
        <w:bottom w:val="single" w:color="9BB7D9" w:themeColor="accent1" w:themeTint="90" w:sz="4" w:space="0"/>
        <w:right w:val="single" w:color="9BB7D9" w:themeColor="accent1" w:themeTint="90" w:sz="4" w:space="0"/>
        <w:insideH w:val="single" w:color="9BB7D9" w:themeColor="accent1" w:themeTint="90" w:sz="4" w:space="0"/>
      </w:tblBorders>
      <w:tblCellMar>
        <w:top w:w="0" w:type="dxa"/>
        <w:left w:w="108" w:type="dxa"/>
        <w:bottom w:w="0" w:type="dxa"/>
        <w:right w:w="108" w:type="dxa"/>
      </w:tblCellMar>
    </w:tblPr>
    <w:tblStylePr w:type="firstRow">
      <w:rPr>
        <w:b/>
        <w:color w:val="FFFFFF"/>
        <w:sz w:val="22"/>
      </w:rPr>
      <w:tcPr>
        <w:shd w:val="clear" w:color="4F81BD"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cPr>
        <w:shd w:val="clear" w:color="D2DFEE" w:fill="D2DFEE" w:themeFill="accent1" w:themeFillTint="40"/>
      </w:tcPr>
    </w:tblStylePr>
    <w:tblStylePr w:type="band1Horz">
      <w:rPr>
        <w:color w:val="404040"/>
        <w:sz w:val="22"/>
      </w:rPr>
      <w:tcPr>
        <w:shd w:val="clear" w:color="D2DFEE" w:fill="D2DFEE" w:themeFill="accent1" w:themeFillTint="40"/>
      </w:tcPr>
    </w:tblStylePr>
  </w:style>
  <w:style w:type="table" w:customStyle="1" w:styleId="314">
    <w:name w:val="List Table 4 - Accent 2"/>
    <w:basedOn w:val="12"/>
    <w:qFormat/>
    <w:uiPriority w:val="99"/>
    <w:tblPr>
      <w:tblBorders>
        <w:top w:val="single" w:color="DB9C9A" w:themeColor="accent2" w:themeTint="90" w:sz="4" w:space="0"/>
        <w:left w:val="single" w:color="DB9C9A" w:themeColor="accent2" w:themeTint="90" w:sz="4" w:space="0"/>
        <w:bottom w:val="single" w:color="DB9C9A" w:themeColor="accent2" w:themeTint="90" w:sz="4" w:space="0"/>
        <w:right w:val="single" w:color="DB9C9A" w:themeColor="accent2" w:themeTint="90" w:sz="4" w:space="0"/>
        <w:insideH w:val="single" w:color="DB9C9A" w:themeColor="accent2" w:themeTint="90" w:sz="4" w:space="0"/>
      </w:tblBorders>
      <w:tblCellMar>
        <w:top w:w="0" w:type="dxa"/>
        <w:left w:w="108" w:type="dxa"/>
        <w:bottom w:w="0" w:type="dxa"/>
        <w:right w:w="108" w:type="dxa"/>
      </w:tblCellMar>
    </w:tblPr>
    <w:tblStylePr w:type="firstRow">
      <w:rPr>
        <w:b/>
        <w:color w:val="FFFFFF"/>
        <w:sz w:val="22"/>
      </w:rPr>
      <w:tcPr>
        <w:shd w:val="clear" w:color="C0504D"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cPr>
        <w:shd w:val="clear" w:color="EFD2D2" w:fill="EFD3D2" w:themeFill="accent2" w:themeFillTint="40"/>
      </w:tcPr>
    </w:tblStylePr>
    <w:tblStylePr w:type="band1Horz">
      <w:rPr>
        <w:color w:val="404040"/>
        <w:sz w:val="22"/>
      </w:rPr>
      <w:tcPr>
        <w:shd w:val="clear" w:color="EFD2D2" w:fill="EFD3D2" w:themeFill="accent2" w:themeFillTint="40"/>
      </w:tcPr>
    </w:tblStylePr>
  </w:style>
  <w:style w:type="table" w:customStyle="1" w:styleId="315">
    <w:name w:val="List Table 4 - Accent 3"/>
    <w:basedOn w:val="12"/>
    <w:qFormat/>
    <w:uiPriority w:val="99"/>
    <w:tblPr>
      <w:tblBorders>
        <w:top w:val="single" w:color="C6D8A1" w:themeColor="accent3" w:themeTint="90" w:sz="4" w:space="0"/>
        <w:left w:val="single" w:color="C6D8A1" w:themeColor="accent3" w:themeTint="90" w:sz="4" w:space="0"/>
        <w:bottom w:val="single" w:color="C6D8A1" w:themeColor="accent3" w:themeTint="90" w:sz="4" w:space="0"/>
        <w:right w:val="single" w:color="C6D8A1" w:themeColor="accent3" w:themeTint="90" w:sz="4" w:space="0"/>
        <w:insideH w:val="single" w:color="C6D8A1" w:themeColor="accent3" w:themeTint="90" w:sz="4" w:space="0"/>
      </w:tblBorders>
      <w:tblCellMar>
        <w:top w:w="0" w:type="dxa"/>
        <w:left w:w="108" w:type="dxa"/>
        <w:bottom w:w="0" w:type="dxa"/>
        <w:right w:w="108" w:type="dxa"/>
      </w:tblCellMar>
    </w:tblPr>
    <w:tblStylePr w:type="firstRow">
      <w:rPr>
        <w:b/>
        <w:color w:val="FFFFFF"/>
        <w:sz w:val="22"/>
      </w:rPr>
      <w:tcPr>
        <w:shd w:val="clear" w:color="9BBB59"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cPr>
        <w:shd w:val="clear" w:color="E5EED5" w:fill="E5EDD5" w:themeFill="accent3" w:themeFillTint="40"/>
      </w:tcPr>
    </w:tblStylePr>
    <w:tblStylePr w:type="band1Horz">
      <w:rPr>
        <w:color w:val="404040"/>
        <w:sz w:val="22"/>
      </w:rPr>
      <w:tcPr>
        <w:shd w:val="clear" w:color="E5EED5" w:fill="E5EDD5" w:themeFill="accent3" w:themeFillTint="40"/>
      </w:tcPr>
    </w:tblStylePr>
  </w:style>
  <w:style w:type="table" w:customStyle="1" w:styleId="316">
    <w:name w:val="List Table 4 - Accent 4"/>
    <w:basedOn w:val="12"/>
    <w:qFormat/>
    <w:uiPriority w:val="99"/>
    <w:tblPr>
      <w:tblBorders>
        <w:top w:val="single" w:color="B7A7CA" w:themeColor="accent4" w:themeTint="90" w:sz="4" w:space="0"/>
        <w:left w:val="single" w:color="B7A7CA" w:themeColor="accent4" w:themeTint="90" w:sz="4" w:space="0"/>
        <w:bottom w:val="single" w:color="B7A7CA" w:themeColor="accent4" w:themeTint="90" w:sz="4" w:space="0"/>
        <w:right w:val="single" w:color="B7A7CA" w:themeColor="accent4" w:themeTint="90" w:sz="4" w:space="0"/>
        <w:insideH w:val="single" w:color="B7A7CA" w:themeColor="accent4" w:themeTint="90" w:sz="4" w:space="0"/>
      </w:tblBorders>
      <w:tblCellMar>
        <w:top w:w="0" w:type="dxa"/>
        <w:left w:w="108" w:type="dxa"/>
        <w:bottom w:w="0" w:type="dxa"/>
        <w:right w:w="108" w:type="dxa"/>
      </w:tblCellMar>
    </w:tblPr>
    <w:tblStylePr w:type="firstRow">
      <w:rPr>
        <w:b/>
        <w:color w:val="FFFFFF"/>
        <w:sz w:val="22"/>
      </w:rPr>
      <w:tcPr>
        <w:shd w:val="clear" w:color="8064A2"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cPr>
        <w:shd w:val="clear" w:color="DFD8E7" w:fill="DFD8E7" w:themeFill="accent4" w:themeFillTint="40"/>
      </w:tcPr>
    </w:tblStylePr>
    <w:tblStylePr w:type="band1Horz">
      <w:rPr>
        <w:color w:val="404040"/>
        <w:sz w:val="22"/>
      </w:rPr>
      <w:tcPr>
        <w:shd w:val="clear" w:color="DFD8E7" w:fill="DFD8E7" w:themeFill="accent4" w:themeFillTint="40"/>
      </w:tcPr>
    </w:tblStylePr>
  </w:style>
  <w:style w:type="table" w:customStyle="1" w:styleId="317">
    <w:name w:val="List Table 4 - Accent 5"/>
    <w:basedOn w:val="12"/>
    <w:qFormat/>
    <w:uiPriority w:val="99"/>
    <w:tblPr>
      <w:tblBorders>
        <w:top w:val="single" w:color="99D0DE" w:themeColor="accent5" w:themeTint="90" w:sz="4" w:space="0"/>
        <w:left w:val="single" w:color="99D0DE" w:themeColor="accent5" w:themeTint="90" w:sz="4" w:space="0"/>
        <w:bottom w:val="single" w:color="99D0DE" w:themeColor="accent5" w:themeTint="90" w:sz="4" w:space="0"/>
        <w:right w:val="single" w:color="99D0DE" w:themeColor="accent5" w:themeTint="90" w:sz="4" w:space="0"/>
        <w:insideH w:val="single" w:color="99D0DE" w:themeColor="accent5" w:themeTint="90" w:sz="4" w:space="0"/>
      </w:tblBorders>
      <w:tblCellMar>
        <w:top w:w="0" w:type="dxa"/>
        <w:left w:w="108" w:type="dxa"/>
        <w:bottom w:w="0" w:type="dxa"/>
        <w:right w:w="108" w:type="dxa"/>
      </w:tblCellMar>
    </w:tblPr>
    <w:tblStylePr w:type="firstRow">
      <w:rPr>
        <w:b/>
        <w:color w:val="FFFFFF"/>
        <w:sz w:val="22"/>
      </w:rPr>
      <w:tcPr>
        <w:shd w:val="clear" w:color="4BACC6"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cPr>
        <w:shd w:val="clear" w:color="D1EAF0" w:fill="D1EAF0" w:themeFill="accent5" w:themeFillTint="40"/>
      </w:tcPr>
    </w:tblStylePr>
    <w:tblStylePr w:type="band1Horz">
      <w:rPr>
        <w:color w:val="404040"/>
        <w:sz w:val="22"/>
      </w:rPr>
      <w:tcPr>
        <w:shd w:val="clear" w:color="D1EAF0" w:fill="D1EAF0" w:themeFill="accent5" w:themeFillTint="40"/>
      </w:tcPr>
    </w:tblStylePr>
  </w:style>
  <w:style w:type="table" w:customStyle="1" w:styleId="318">
    <w:name w:val="List Table 4 - Accent 6"/>
    <w:basedOn w:val="12"/>
    <w:qFormat/>
    <w:uiPriority w:val="99"/>
    <w:tblPr>
      <w:tblBorders>
        <w:top w:val="single" w:color="FAC396" w:themeColor="accent6" w:themeTint="90" w:sz="4" w:space="0"/>
        <w:left w:val="single" w:color="FAC396" w:themeColor="accent6" w:themeTint="90" w:sz="4" w:space="0"/>
        <w:bottom w:val="single" w:color="FAC396" w:themeColor="accent6" w:themeTint="90" w:sz="4" w:space="0"/>
        <w:right w:val="single" w:color="FAC396" w:themeColor="accent6" w:themeTint="90" w:sz="4" w:space="0"/>
        <w:insideH w:val="single" w:color="FAC396" w:themeColor="accent6" w:themeTint="90" w:sz="4" w:space="0"/>
      </w:tblBorders>
      <w:tblCellMar>
        <w:top w:w="0" w:type="dxa"/>
        <w:left w:w="108" w:type="dxa"/>
        <w:bottom w:w="0" w:type="dxa"/>
        <w:right w:w="108" w:type="dxa"/>
      </w:tblCellMar>
    </w:tblPr>
    <w:tblStylePr w:type="firstRow">
      <w:rPr>
        <w:b/>
        <w:color w:val="FFFFFF"/>
        <w:sz w:val="22"/>
      </w:rPr>
      <w:tcPr>
        <w:shd w:val="clear" w:color="F7964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cPr>
        <w:shd w:val="clear" w:color="FDE4D0" w:fill="FCE4D0" w:themeFill="accent6" w:themeFillTint="40"/>
      </w:tcPr>
    </w:tblStylePr>
    <w:tblStylePr w:type="band1Horz">
      <w:rPr>
        <w:color w:val="404040"/>
        <w:sz w:val="22"/>
      </w:rPr>
      <w:tcPr>
        <w:shd w:val="clear" w:color="FDE4D0" w:fill="FCE4D0" w:themeFill="accent6" w:themeFillTint="40"/>
      </w:tcPr>
    </w:tblStylePr>
  </w:style>
  <w:style w:type="table" w:customStyle="1" w:styleId="319">
    <w:name w:val="Tabela de Lista 5 Escura1"/>
    <w:basedOn w:val="12"/>
    <w:qFormat/>
    <w:uiPriority w:val="99"/>
    <w:tblPr>
      <w:tblBorders>
        <w:top w:val="single" w:color="7E7E7E" w:themeColor="text1" w:themeTint="80" w:sz="32" w:space="0"/>
        <w:left w:val="single" w:color="7E7E7E" w:themeColor="text1" w:themeTint="80" w:sz="32" w:space="0"/>
        <w:bottom w:val="single" w:color="7E7E7E" w:themeColor="text1" w:themeTint="80" w:sz="32" w:space="0"/>
        <w:right w:val="single" w:color="7E7E7E" w:themeColor="text1" w:themeTint="80" w:sz="32" w:space="0"/>
      </w:tblBorders>
      <w:tblCellMar>
        <w:top w:w="0" w:type="dxa"/>
        <w:left w:w="108" w:type="dxa"/>
        <w:bottom w:w="0" w:type="dxa"/>
        <w:right w:w="108" w:type="dxa"/>
      </w:tblCellMar>
    </w:tblPr>
    <w:tblStylePr w:type="firstRow">
      <w:rPr>
        <w:b/>
        <w:color w:val="FFFFFF" w:themeColor="light1"/>
        <w:sz w:val="22"/>
        <w14:textFill>
          <w14:solidFill>
            <w14:schemeClr w14:val="lt1"/>
          </w14:solidFill>
        </w14:textFill>
      </w:rPr>
      <w:tcPr>
        <w:tcBorders>
          <w:top w:val="single" w:color="000000" w:themeColor="text1" w:sz="32" w:space="0"/>
          <w:bottom w:val="single" w:color="FFFFFF" w:themeColor="light1" w:sz="12" w:space="0"/>
        </w:tcBorders>
        <w:shd w:val="clear" w:color="7F7F7F" w:fill="7E7E7E" w:themeFill="text1" w:themeFillTint="80"/>
      </w:tcPr>
    </w:tblStylePr>
    <w:tblStylePr w:type="lastRow">
      <w:rPr>
        <w:b/>
        <w:color w:val="FFFFFF" w:themeColor="light1"/>
        <w:sz w:val="22"/>
        <w14:textFill>
          <w14:solidFill>
            <w14:schemeClr w14:val="lt1"/>
          </w14:solidFill>
        </w14:textFill>
      </w:rPr>
    </w:tblStylePr>
    <w:tblStylePr w:type="firstCol">
      <w:rPr>
        <w:b/>
        <w:color w:val="FFFFFF" w:themeColor="light1"/>
        <w:sz w:val="22"/>
        <w14:textFill>
          <w14:solidFill>
            <w14:schemeClr w14:val="lt1"/>
          </w14:solidFill>
        </w14:textFill>
      </w:rPr>
      <w:tcPr>
        <w:tcBorders>
          <w:left w:val="single" w:color="000000" w:themeColor="text1" w:sz="32" w:space="0"/>
          <w:right w:val="single" w:color="FFFFFF" w:themeColor="light1" w:sz="4" w:space="0"/>
        </w:tcBorders>
      </w:tcPr>
    </w:tblStylePr>
    <w:tblStylePr w:type="lastCol">
      <w:tcPr>
        <w:tcBorders>
          <w:left w:val="single" w:color="FFFFFF" w:themeColor="light1" w:sz="4" w:space="0"/>
          <w:right w:val="single" w:color="000000" w:themeColor="text1" w:sz="32" w:space="0"/>
        </w:tcBorders>
      </w:tcPr>
    </w:tblStylePr>
    <w:tblStylePr w:type="band1Vert">
      <w:tcPr>
        <w:tcBorders>
          <w:left w:val="single" w:color="FFFFFF" w:themeColor="light1" w:sz="4" w:space="0"/>
          <w:right w:val="single" w:color="FFFFFF" w:themeColor="light1" w:sz="4" w:space="0"/>
        </w:tcBorders>
        <w:shd w:val="clear" w:color="7F7F7F" w:fill="7E7E7E" w:themeFill="text1" w:themeFillTint="80"/>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7F7F7F" w:fill="7E7E7E" w:themeFill="text1" w:themeFillTint="80"/>
      </w:tcPr>
    </w:tblStylePr>
    <w:tblStylePr w:type="band2Horz">
      <w:tcPr>
        <w:tcBorders>
          <w:top w:val="single" w:color="FFFFFF" w:themeColor="light1" w:sz="4" w:space="0"/>
          <w:bottom w:val="single" w:color="FFFFFF" w:themeColor="light1" w:sz="4" w:space="0"/>
        </w:tcBorders>
        <w:shd w:val="clear" w:color="7F7F7F" w:fill="7E7E7E" w:themeFill="text1" w:themeFillTint="80"/>
      </w:tcPr>
    </w:tblStylePr>
  </w:style>
  <w:style w:type="table" w:customStyle="1" w:styleId="320">
    <w:name w:val="List Table 5 Dark - Accent 1"/>
    <w:basedOn w:val="12"/>
    <w:qFormat/>
    <w:uiPriority w:val="99"/>
    <w:tblPr>
      <w:tblBorders>
        <w:top w:val="single" w:color="4F81BD" w:themeColor="accent1" w:sz="32" w:space="0"/>
        <w:left w:val="single" w:color="4F81BD" w:themeColor="accent1" w:sz="32" w:space="0"/>
        <w:bottom w:val="single" w:color="4F81BD" w:themeColor="accent1" w:sz="32" w:space="0"/>
        <w:right w:val="single" w:color="4F81BD" w:themeColor="accent1" w:sz="32" w:space="0"/>
      </w:tblBorders>
      <w:tblCellMar>
        <w:top w:w="0" w:type="dxa"/>
        <w:left w:w="108" w:type="dxa"/>
        <w:bottom w:w="0" w:type="dxa"/>
        <w:right w:w="108" w:type="dxa"/>
      </w:tblCellMar>
    </w:tblPr>
    <w:tblStylePr w:type="firstRow">
      <w:rPr>
        <w:b/>
        <w:color w:val="FFFFFF" w:themeColor="light1"/>
        <w:sz w:val="22"/>
        <w14:textFill>
          <w14:solidFill>
            <w14:schemeClr w14:val="lt1"/>
          </w14:solidFill>
        </w14:textFill>
      </w:rPr>
      <w:tcPr>
        <w:tcBorders>
          <w:top w:val="single" w:color="4F81BD" w:themeColor="accent1" w:sz="32" w:space="0"/>
          <w:bottom w:val="single" w:color="FFFFFF" w:themeColor="light1" w:sz="12" w:space="0"/>
        </w:tcBorders>
        <w:shd w:val="clear" w:color="4F81BD" w:fill="4F81BD" w:themeFill="accent1"/>
      </w:tcPr>
    </w:tblStylePr>
    <w:tblStylePr w:type="lastRow">
      <w:rPr>
        <w:b/>
        <w:color w:val="FFFFFF" w:themeColor="light1"/>
        <w:sz w:val="22"/>
        <w14:textFill>
          <w14:solidFill>
            <w14:schemeClr w14:val="lt1"/>
          </w14:solidFill>
        </w14:textFill>
      </w:rPr>
    </w:tblStylePr>
    <w:tblStylePr w:type="firstCol">
      <w:rPr>
        <w:b/>
        <w:color w:val="FFFFFF" w:themeColor="light1"/>
        <w:sz w:val="22"/>
        <w14:textFill>
          <w14:solidFill>
            <w14:schemeClr w14:val="lt1"/>
          </w14:solidFill>
        </w14:textFill>
      </w:rPr>
      <w:tcPr>
        <w:tcBorders>
          <w:left w:val="single" w:color="4F81BD" w:themeColor="accent1" w:sz="32" w:space="0"/>
          <w:right w:val="single" w:color="FFFFFF" w:themeColor="light1" w:sz="4" w:space="0"/>
        </w:tcBorders>
      </w:tcPr>
    </w:tblStylePr>
    <w:tblStylePr w:type="lastCol">
      <w:tcPr>
        <w:tcBorders>
          <w:left w:val="single" w:color="FFFFFF" w:themeColor="light1" w:sz="4" w:space="0"/>
          <w:right w:val="single" w:color="4F81BD" w:themeColor="accent1" w:sz="32" w:space="0"/>
        </w:tcBorders>
      </w:tcPr>
    </w:tblStylePr>
    <w:tblStylePr w:type="band1Vert">
      <w:tcPr>
        <w:tcBorders>
          <w:left w:val="single" w:color="FFFFFF" w:themeColor="light1" w:sz="4" w:space="0"/>
          <w:right w:val="single" w:color="FFFFFF" w:themeColor="light1" w:sz="4" w:space="0"/>
        </w:tcBorders>
        <w:shd w:val="clear" w:color="4F81BD" w:fill="4F81BD" w:themeFill="accent1"/>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4F81BD" w:fill="4F81BD" w:themeFill="accent1"/>
      </w:tcPr>
    </w:tblStylePr>
    <w:tblStylePr w:type="band2Horz">
      <w:tcPr>
        <w:tcBorders>
          <w:top w:val="single" w:color="FFFFFF" w:themeColor="light1" w:sz="4" w:space="0"/>
          <w:bottom w:val="single" w:color="FFFFFF" w:themeColor="light1" w:sz="4" w:space="0"/>
        </w:tcBorders>
        <w:shd w:val="clear" w:color="4F81BD" w:fill="4F81BD" w:themeFill="accent1"/>
      </w:tcPr>
    </w:tblStylePr>
  </w:style>
  <w:style w:type="table" w:customStyle="1" w:styleId="321">
    <w:name w:val="List Table 5 Dark - Accent 2"/>
    <w:basedOn w:val="12"/>
    <w:qFormat/>
    <w:uiPriority w:val="99"/>
    <w:tblPr>
      <w:tblBorders>
        <w:top w:val="single" w:color="D99795" w:themeColor="accent2" w:themeTint="97" w:sz="32" w:space="0"/>
        <w:left w:val="single" w:color="D99795" w:themeColor="accent2" w:themeTint="97" w:sz="32" w:space="0"/>
        <w:bottom w:val="single" w:color="D99795" w:themeColor="accent2" w:themeTint="97" w:sz="32" w:space="0"/>
        <w:right w:val="single" w:color="D99795" w:themeColor="accent2" w:themeTint="97" w:sz="32" w:space="0"/>
      </w:tblBorders>
      <w:tblCellMar>
        <w:top w:w="0" w:type="dxa"/>
        <w:left w:w="108" w:type="dxa"/>
        <w:bottom w:w="0" w:type="dxa"/>
        <w:right w:w="108" w:type="dxa"/>
      </w:tblCellMar>
    </w:tblPr>
    <w:tblStylePr w:type="firstRow">
      <w:rPr>
        <w:b/>
        <w:color w:val="FFFFFF" w:themeColor="light1"/>
        <w:sz w:val="22"/>
        <w14:textFill>
          <w14:solidFill>
            <w14:schemeClr w14:val="lt1"/>
          </w14:solidFill>
        </w14:textFill>
      </w:rPr>
      <w:tcPr>
        <w:tcBorders>
          <w:top w:val="single" w:color="C0504D" w:themeColor="accent2" w:sz="32" w:space="0"/>
          <w:bottom w:val="single" w:color="FFFFFF" w:themeColor="light1" w:sz="12" w:space="0"/>
        </w:tcBorders>
        <w:shd w:val="clear" w:color="D99695" w:fill="D99795" w:themeFill="accent2" w:themeFillTint="97"/>
      </w:tcPr>
    </w:tblStylePr>
    <w:tblStylePr w:type="lastRow">
      <w:rPr>
        <w:b/>
        <w:color w:val="FFFFFF" w:themeColor="light1"/>
        <w:sz w:val="22"/>
        <w14:textFill>
          <w14:solidFill>
            <w14:schemeClr w14:val="lt1"/>
          </w14:solidFill>
        </w14:textFill>
      </w:rPr>
    </w:tblStylePr>
    <w:tblStylePr w:type="firstCol">
      <w:rPr>
        <w:b/>
        <w:color w:val="FFFFFF" w:themeColor="light1"/>
        <w:sz w:val="22"/>
        <w14:textFill>
          <w14:solidFill>
            <w14:schemeClr w14:val="lt1"/>
          </w14:solidFill>
        </w14:textFill>
      </w:rPr>
      <w:tcPr>
        <w:tcBorders>
          <w:left w:val="single" w:color="C0504D" w:themeColor="accent2" w:sz="32" w:space="0"/>
          <w:right w:val="single" w:color="FFFFFF" w:themeColor="light1" w:sz="4" w:space="0"/>
        </w:tcBorders>
      </w:tcPr>
    </w:tblStylePr>
    <w:tblStylePr w:type="lastCol">
      <w:tcPr>
        <w:tcBorders>
          <w:left w:val="single" w:color="FFFFFF" w:themeColor="light1" w:sz="4" w:space="0"/>
          <w:right w:val="single" w:color="C0504D" w:themeColor="accent2" w:sz="32" w:space="0"/>
        </w:tcBorders>
      </w:tcPr>
    </w:tblStylePr>
    <w:tblStylePr w:type="band1Vert">
      <w:tcPr>
        <w:tcBorders>
          <w:left w:val="single" w:color="FFFFFF" w:themeColor="light1" w:sz="4" w:space="0"/>
          <w:right w:val="single" w:color="FFFFFF" w:themeColor="light1" w:sz="4" w:space="0"/>
        </w:tcBorders>
        <w:shd w:val="clear" w:color="D99695" w:fill="D99795" w:themeFill="accent2" w:themeFillTint="97"/>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D99695" w:fill="D99795" w:themeFill="accent2" w:themeFillTint="97"/>
      </w:tcPr>
    </w:tblStylePr>
    <w:tblStylePr w:type="band2Horz">
      <w:tcPr>
        <w:tcBorders>
          <w:top w:val="single" w:color="FFFFFF" w:themeColor="light1" w:sz="4" w:space="0"/>
          <w:bottom w:val="single" w:color="FFFFFF" w:themeColor="light1" w:sz="4" w:space="0"/>
        </w:tcBorders>
        <w:shd w:val="clear" w:color="D99695" w:fill="D99795" w:themeFill="accent2" w:themeFillTint="97"/>
      </w:tcPr>
    </w:tblStylePr>
  </w:style>
  <w:style w:type="table" w:customStyle="1" w:styleId="322">
    <w:name w:val="List Table 5 Dark - Accent 3"/>
    <w:basedOn w:val="12"/>
    <w:qFormat/>
    <w:uiPriority w:val="99"/>
    <w:tblPr>
      <w:tblBorders>
        <w:top w:val="single" w:color="C3D69C" w:themeColor="accent3" w:themeTint="98" w:sz="32" w:space="0"/>
        <w:left w:val="single" w:color="C3D69C" w:themeColor="accent3" w:themeTint="98" w:sz="32" w:space="0"/>
        <w:bottom w:val="single" w:color="C3D69C" w:themeColor="accent3" w:themeTint="98" w:sz="32" w:space="0"/>
        <w:right w:val="single" w:color="C3D69C" w:themeColor="accent3" w:themeTint="98" w:sz="32" w:space="0"/>
      </w:tblBorders>
      <w:tblCellMar>
        <w:top w:w="0" w:type="dxa"/>
        <w:left w:w="108" w:type="dxa"/>
        <w:bottom w:w="0" w:type="dxa"/>
        <w:right w:w="108" w:type="dxa"/>
      </w:tblCellMar>
    </w:tblPr>
    <w:tblStylePr w:type="firstRow">
      <w:rPr>
        <w:b/>
        <w:color w:val="FFFFFF" w:themeColor="light1"/>
        <w:sz w:val="22"/>
        <w14:textFill>
          <w14:solidFill>
            <w14:schemeClr w14:val="lt1"/>
          </w14:solidFill>
        </w14:textFill>
      </w:rPr>
      <w:tcPr>
        <w:tcBorders>
          <w:top w:val="single" w:color="9BBB59" w:themeColor="accent3" w:sz="32" w:space="0"/>
          <w:bottom w:val="single" w:color="FFFFFF" w:themeColor="light1" w:sz="12" w:space="0"/>
        </w:tcBorders>
        <w:shd w:val="clear" w:color="C3D69B" w:fill="C3D69C" w:themeFill="accent3" w:themeFillTint="98"/>
      </w:tcPr>
    </w:tblStylePr>
    <w:tblStylePr w:type="lastRow">
      <w:rPr>
        <w:b/>
        <w:color w:val="FFFFFF" w:themeColor="light1"/>
        <w:sz w:val="22"/>
        <w14:textFill>
          <w14:solidFill>
            <w14:schemeClr w14:val="lt1"/>
          </w14:solidFill>
        </w14:textFill>
      </w:rPr>
    </w:tblStylePr>
    <w:tblStylePr w:type="firstCol">
      <w:rPr>
        <w:b/>
        <w:color w:val="FFFFFF" w:themeColor="light1"/>
        <w:sz w:val="22"/>
        <w14:textFill>
          <w14:solidFill>
            <w14:schemeClr w14:val="lt1"/>
          </w14:solidFill>
        </w14:textFill>
      </w:rPr>
      <w:tcPr>
        <w:tcBorders>
          <w:left w:val="single" w:color="9BBB59" w:themeColor="accent3" w:sz="32" w:space="0"/>
          <w:right w:val="single" w:color="FFFFFF" w:themeColor="light1" w:sz="4" w:space="0"/>
        </w:tcBorders>
      </w:tcPr>
    </w:tblStylePr>
    <w:tblStylePr w:type="lastCol">
      <w:tcPr>
        <w:tcBorders>
          <w:left w:val="single" w:color="FFFFFF" w:themeColor="light1" w:sz="4" w:space="0"/>
          <w:right w:val="single" w:color="9BBB59" w:themeColor="accent3" w:sz="32" w:space="0"/>
        </w:tcBorders>
      </w:tcPr>
    </w:tblStylePr>
    <w:tblStylePr w:type="band1Vert">
      <w:tcPr>
        <w:tcBorders>
          <w:left w:val="single" w:color="FFFFFF" w:themeColor="light1" w:sz="4" w:space="0"/>
          <w:right w:val="single" w:color="FFFFFF" w:themeColor="light1" w:sz="4" w:space="0"/>
        </w:tcBorders>
        <w:shd w:val="clear" w:color="C3D69B" w:fill="C3D69C" w:themeFill="accent3" w:themeFillTint="98"/>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C3D69B" w:fill="C3D69C" w:themeFill="accent3" w:themeFillTint="98"/>
      </w:tcPr>
    </w:tblStylePr>
    <w:tblStylePr w:type="band2Horz">
      <w:tcPr>
        <w:tcBorders>
          <w:top w:val="single" w:color="FFFFFF" w:themeColor="light1" w:sz="4" w:space="0"/>
          <w:bottom w:val="single" w:color="FFFFFF" w:themeColor="light1" w:sz="4" w:space="0"/>
        </w:tcBorders>
        <w:shd w:val="clear" w:color="C3D69B" w:fill="C3D69C" w:themeFill="accent3" w:themeFillTint="98"/>
      </w:tcPr>
    </w:tblStylePr>
  </w:style>
  <w:style w:type="table" w:customStyle="1" w:styleId="323">
    <w:name w:val="List Table 5 Dark - Accent 4"/>
    <w:basedOn w:val="12"/>
    <w:qFormat/>
    <w:uiPriority w:val="99"/>
    <w:tblPr>
      <w:tblBorders>
        <w:top w:val="single" w:color="B2A1C6" w:themeColor="accent4" w:themeTint="9A" w:sz="32" w:space="0"/>
        <w:left w:val="single" w:color="B2A1C6" w:themeColor="accent4" w:themeTint="9A" w:sz="32" w:space="0"/>
        <w:bottom w:val="single" w:color="B2A1C6" w:themeColor="accent4" w:themeTint="9A" w:sz="32" w:space="0"/>
        <w:right w:val="single" w:color="B2A1C6" w:themeColor="accent4" w:themeTint="9A" w:sz="32" w:space="0"/>
      </w:tblBorders>
      <w:tblCellMar>
        <w:top w:w="0" w:type="dxa"/>
        <w:left w:w="108" w:type="dxa"/>
        <w:bottom w:w="0" w:type="dxa"/>
        <w:right w:w="108" w:type="dxa"/>
      </w:tblCellMar>
    </w:tblPr>
    <w:tblStylePr w:type="firstRow">
      <w:rPr>
        <w:b/>
        <w:color w:val="FFFFFF" w:themeColor="light1"/>
        <w:sz w:val="22"/>
        <w14:textFill>
          <w14:solidFill>
            <w14:schemeClr w14:val="lt1"/>
          </w14:solidFill>
        </w14:textFill>
      </w:rPr>
      <w:tcPr>
        <w:tcBorders>
          <w:top w:val="single" w:color="8064A2" w:themeColor="accent4" w:sz="32" w:space="0"/>
          <w:bottom w:val="single" w:color="FFFFFF" w:themeColor="light1" w:sz="12" w:space="0"/>
        </w:tcBorders>
        <w:shd w:val="clear" w:color="B2A1C6" w:fill="B2A1C6" w:themeFill="accent4" w:themeFillTint="9A"/>
      </w:tcPr>
    </w:tblStylePr>
    <w:tblStylePr w:type="lastRow">
      <w:rPr>
        <w:b/>
        <w:color w:val="FFFFFF" w:themeColor="light1"/>
        <w:sz w:val="22"/>
        <w14:textFill>
          <w14:solidFill>
            <w14:schemeClr w14:val="lt1"/>
          </w14:solidFill>
        </w14:textFill>
      </w:rPr>
    </w:tblStylePr>
    <w:tblStylePr w:type="firstCol">
      <w:rPr>
        <w:b/>
        <w:color w:val="FFFFFF" w:themeColor="light1"/>
        <w:sz w:val="22"/>
        <w14:textFill>
          <w14:solidFill>
            <w14:schemeClr w14:val="lt1"/>
          </w14:solidFill>
        </w14:textFill>
      </w:rPr>
      <w:tcPr>
        <w:tcBorders>
          <w:left w:val="single" w:color="8064A2" w:themeColor="accent4" w:sz="32" w:space="0"/>
          <w:right w:val="single" w:color="FFFFFF" w:themeColor="light1" w:sz="4" w:space="0"/>
        </w:tcBorders>
      </w:tcPr>
    </w:tblStylePr>
    <w:tblStylePr w:type="lastCol">
      <w:tcPr>
        <w:tcBorders>
          <w:left w:val="single" w:color="FFFFFF" w:themeColor="light1" w:sz="4" w:space="0"/>
          <w:right w:val="single" w:color="8064A2" w:themeColor="accent4" w:sz="32" w:space="0"/>
        </w:tcBorders>
      </w:tcPr>
    </w:tblStylePr>
    <w:tblStylePr w:type="band1Vert">
      <w:tcPr>
        <w:tcBorders>
          <w:left w:val="single" w:color="FFFFFF" w:themeColor="light1" w:sz="4" w:space="0"/>
          <w:right w:val="single" w:color="FFFFFF" w:themeColor="light1" w:sz="4" w:space="0"/>
        </w:tcBorders>
        <w:shd w:val="clear" w:color="B2A1C6" w:fill="B2A1C6" w:themeFill="accent4" w:themeFillTint="9A"/>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B2A1C6" w:fill="B2A1C6" w:themeFill="accent4" w:themeFillTint="9A"/>
      </w:tcPr>
    </w:tblStylePr>
    <w:tblStylePr w:type="band2Horz">
      <w:tcPr>
        <w:tcBorders>
          <w:top w:val="single" w:color="FFFFFF" w:themeColor="light1" w:sz="4" w:space="0"/>
          <w:bottom w:val="single" w:color="FFFFFF" w:themeColor="light1" w:sz="4" w:space="0"/>
        </w:tcBorders>
        <w:shd w:val="clear" w:color="B2A1C6" w:fill="B2A1C6" w:themeFill="accent4" w:themeFillTint="9A"/>
      </w:tcPr>
    </w:tblStylePr>
  </w:style>
  <w:style w:type="table" w:customStyle="1" w:styleId="324">
    <w:name w:val="List Table 5 Dark - Accent 5"/>
    <w:basedOn w:val="12"/>
    <w:qFormat/>
    <w:uiPriority w:val="99"/>
    <w:tblPr>
      <w:tblBorders>
        <w:top w:val="single" w:color="92CCDC" w:themeColor="accent5" w:themeTint="9A" w:sz="32" w:space="0"/>
        <w:left w:val="single" w:color="92CCDC" w:themeColor="accent5" w:themeTint="9A" w:sz="32" w:space="0"/>
        <w:bottom w:val="single" w:color="92CCDC" w:themeColor="accent5" w:themeTint="9A" w:sz="32" w:space="0"/>
        <w:right w:val="single" w:color="92CCDC" w:themeColor="accent5" w:themeTint="9A" w:sz="32" w:space="0"/>
      </w:tblBorders>
      <w:tblCellMar>
        <w:top w:w="0" w:type="dxa"/>
        <w:left w:w="108" w:type="dxa"/>
        <w:bottom w:w="0" w:type="dxa"/>
        <w:right w:w="108" w:type="dxa"/>
      </w:tblCellMar>
    </w:tblPr>
    <w:tblStylePr w:type="firstRow">
      <w:rPr>
        <w:b/>
        <w:color w:val="FFFFFF" w:themeColor="light1"/>
        <w:sz w:val="22"/>
        <w14:textFill>
          <w14:solidFill>
            <w14:schemeClr w14:val="lt1"/>
          </w14:solidFill>
        </w14:textFill>
      </w:rPr>
      <w:tcPr>
        <w:tcBorders>
          <w:top w:val="single" w:color="4BACC6" w:themeColor="accent5" w:sz="32" w:space="0"/>
          <w:bottom w:val="single" w:color="FFFFFF" w:themeColor="light1" w:sz="12" w:space="0"/>
        </w:tcBorders>
        <w:shd w:val="clear" w:color="92CCDC" w:fill="92CCDC" w:themeFill="accent5" w:themeFillTint="9A"/>
      </w:tcPr>
    </w:tblStylePr>
    <w:tblStylePr w:type="lastRow">
      <w:rPr>
        <w:b/>
        <w:color w:val="FFFFFF" w:themeColor="light1"/>
        <w:sz w:val="22"/>
        <w14:textFill>
          <w14:solidFill>
            <w14:schemeClr w14:val="lt1"/>
          </w14:solidFill>
        </w14:textFill>
      </w:rPr>
    </w:tblStylePr>
    <w:tblStylePr w:type="firstCol">
      <w:rPr>
        <w:b/>
        <w:color w:val="FFFFFF" w:themeColor="light1"/>
        <w:sz w:val="22"/>
        <w14:textFill>
          <w14:solidFill>
            <w14:schemeClr w14:val="lt1"/>
          </w14:solidFill>
        </w14:textFill>
      </w:rPr>
      <w:tcPr>
        <w:tcBorders>
          <w:left w:val="single" w:color="4BACC6" w:themeColor="accent5" w:sz="32" w:space="0"/>
          <w:right w:val="single" w:color="FFFFFF" w:themeColor="light1" w:sz="4" w:space="0"/>
        </w:tcBorders>
      </w:tcPr>
    </w:tblStylePr>
    <w:tblStylePr w:type="lastCol">
      <w:tcPr>
        <w:tcBorders>
          <w:left w:val="single" w:color="FFFFFF" w:themeColor="light1" w:sz="4" w:space="0"/>
          <w:right w:val="single" w:color="4BACC6" w:themeColor="accent5" w:sz="32" w:space="0"/>
        </w:tcBorders>
      </w:tcPr>
    </w:tblStylePr>
    <w:tblStylePr w:type="band1Vert">
      <w:tcPr>
        <w:tcBorders>
          <w:left w:val="single" w:color="FFFFFF" w:themeColor="light1" w:sz="4" w:space="0"/>
          <w:right w:val="single" w:color="FFFFFF" w:themeColor="light1" w:sz="4" w:space="0"/>
        </w:tcBorders>
        <w:shd w:val="clear" w:color="92CCDC" w:fill="92CCDC" w:themeFill="accent5" w:themeFillTint="9A"/>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92CCDC" w:fill="92CCDC" w:themeFill="accent5" w:themeFillTint="9A"/>
      </w:tcPr>
    </w:tblStylePr>
    <w:tblStylePr w:type="band2Horz">
      <w:tcPr>
        <w:tcBorders>
          <w:top w:val="single" w:color="FFFFFF" w:themeColor="light1" w:sz="4" w:space="0"/>
          <w:bottom w:val="single" w:color="FFFFFF" w:themeColor="light1" w:sz="4" w:space="0"/>
        </w:tcBorders>
        <w:shd w:val="clear" w:color="92CCDC" w:fill="92CCDC" w:themeFill="accent5" w:themeFillTint="9A"/>
      </w:tcPr>
    </w:tblStylePr>
  </w:style>
  <w:style w:type="table" w:customStyle="1" w:styleId="325">
    <w:name w:val="List Table 5 Dark - Accent 6"/>
    <w:basedOn w:val="12"/>
    <w:qFormat/>
    <w:uiPriority w:val="99"/>
    <w:tblPr>
      <w:tblBorders>
        <w:top w:val="single" w:color="FAC090" w:themeColor="accent6" w:themeTint="98" w:sz="32" w:space="0"/>
        <w:left w:val="single" w:color="FAC090" w:themeColor="accent6" w:themeTint="98" w:sz="32" w:space="0"/>
        <w:bottom w:val="single" w:color="FAC090" w:themeColor="accent6" w:themeTint="98" w:sz="32" w:space="0"/>
        <w:right w:val="single" w:color="FAC090" w:themeColor="accent6" w:themeTint="98" w:sz="32" w:space="0"/>
      </w:tblBorders>
      <w:tblCellMar>
        <w:top w:w="0" w:type="dxa"/>
        <w:left w:w="108" w:type="dxa"/>
        <w:bottom w:w="0" w:type="dxa"/>
        <w:right w:w="108" w:type="dxa"/>
      </w:tblCellMar>
    </w:tblPr>
    <w:tblStylePr w:type="firstRow">
      <w:rPr>
        <w:b/>
        <w:color w:val="FFFFFF" w:themeColor="light1"/>
        <w:sz w:val="22"/>
        <w14:textFill>
          <w14:solidFill>
            <w14:schemeClr w14:val="lt1"/>
          </w14:solidFill>
        </w14:textFill>
      </w:rPr>
      <w:tcPr>
        <w:tcBorders>
          <w:top w:val="single" w:color="F79646" w:themeColor="accent6" w:sz="32" w:space="0"/>
          <w:bottom w:val="single" w:color="FFFFFF" w:themeColor="light1" w:sz="12" w:space="0"/>
        </w:tcBorders>
        <w:shd w:val="clear" w:color="FAC090" w:fill="FAC090" w:themeFill="accent6" w:themeFillTint="98"/>
      </w:tcPr>
    </w:tblStylePr>
    <w:tblStylePr w:type="lastRow">
      <w:rPr>
        <w:b/>
        <w:color w:val="FFFFFF" w:themeColor="light1"/>
        <w:sz w:val="22"/>
        <w14:textFill>
          <w14:solidFill>
            <w14:schemeClr w14:val="lt1"/>
          </w14:solidFill>
        </w14:textFill>
      </w:rPr>
    </w:tblStylePr>
    <w:tblStylePr w:type="firstCol">
      <w:rPr>
        <w:b/>
        <w:color w:val="FFFFFF" w:themeColor="light1"/>
        <w:sz w:val="22"/>
        <w14:textFill>
          <w14:solidFill>
            <w14:schemeClr w14:val="lt1"/>
          </w14:solidFill>
        </w14:textFill>
      </w:rPr>
      <w:tcPr>
        <w:tcBorders>
          <w:left w:val="single" w:color="F79646" w:themeColor="accent6" w:sz="32" w:space="0"/>
          <w:right w:val="single" w:color="FFFFFF" w:themeColor="light1" w:sz="4" w:space="0"/>
        </w:tcBorders>
      </w:tcPr>
    </w:tblStylePr>
    <w:tblStylePr w:type="lastCol">
      <w:tcPr>
        <w:tcBorders>
          <w:left w:val="single" w:color="FFFFFF" w:themeColor="light1" w:sz="4" w:space="0"/>
          <w:right w:val="single" w:color="F79646" w:themeColor="accent6" w:sz="32" w:space="0"/>
        </w:tcBorders>
      </w:tcPr>
    </w:tblStylePr>
    <w:tblStylePr w:type="band1Vert">
      <w:tcPr>
        <w:tcBorders>
          <w:left w:val="single" w:color="FFFFFF" w:themeColor="light1" w:sz="4" w:space="0"/>
          <w:right w:val="single" w:color="FFFFFF" w:themeColor="light1" w:sz="4" w:space="0"/>
        </w:tcBorders>
        <w:shd w:val="clear" w:color="FAC090" w:fill="FAC090" w:themeFill="accent6" w:themeFillTint="98"/>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FAC090" w:fill="FAC090" w:themeFill="accent6" w:themeFillTint="98"/>
      </w:tcPr>
    </w:tblStylePr>
    <w:tblStylePr w:type="band2Horz">
      <w:tcPr>
        <w:tcBorders>
          <w:top w:val="single" w:color="FFFFFF" w:themeColor="light1" w:sz="4" w:space="0"/>
          <w:bottom w:val="single" w:color="FFFFFF" w:themeColor="light1" w:sz="4" w:space="0"/>
        </w:tcBorders>
        <w:shd w:val="clear" w:color="FAC090" w:fill="FAC090" w:themeFill="accent6" w:themeFillTint="98"/>
      </w:tcPr>
    </w:tblStylePr>
  </w:style>
  <w:style w:type="table" w:customStyle="1" w:styleId="326">
    <w:name w:val="Tabela de Lista 6 Colorida1"/>
    <w:basedOn w:val="12"/>
    <w:qFormat/>
    <w:uiPriority w:val="99"/>
    <w:tblPr>
      <w:tblBorders>
        <w:top w:val="single" w:color="7E7E7E" w:themeColor="text1" w:themeTint="80" w:sz="4" w:space="0"/>
        <w:bottom w:val="single" w:color="7E7E7E" w:themeColor="text1" w:themeTint="80" w:sz="4" w:space="0"/>
      </w:tblBorders>
      <w:tblCellMar>
        <w:top w:w="0" w:type="dxa"/>
        <w:left w:w="108" w:type="dxa"/>
        <w:bottom w:w="0" w:type="dxa"/>
        <w:right w:w="108" w:type="dxa"/>
      </w:tblCellMar>
    </w:tblPr>
    <w:tblStylePr w:type="firstRow">
      <w:rPr>
        <w:b/>
        <w:color w:val="000000" w:themeColor="text1"/>
        <w14:textFill>
          <w14:solidFill>
            <w14:schemeClr w14:val="tx1"/>
          </w14:solidFill>
        </w14:textFill>
      </w:rPr>
      <w:tcPr>
        <w:tcBorders>
          <w:bottom w:val="single" w:color="000000" w:themeColor="text1" w:sz="4" w:space="0"/>
        </w:tcBorders>
      </w:tcPr>
    </w:tblStylePr>
    <w:tblStylePr w:type="lastRow">
      <w:rPr>
        <w:b/>
        <w:color w:val="000000" w:themeColor="text1"/>
        <w14:textFill>
          <w14:solidFill>
            <w14:schemeClr w14:val="tx1"/>
          </w14:solidFill>
        </w14:textFill>
      </w:rPr>
      <w:tcPr>
        <w:tcBorders>
          <w:top w:val="single" w:color="000000" w:themeColor="text1" w:sz="4" w:space="0"/>
        </w:tcBorders>
      </w:tcPr>
    </w:tblStylePr>
    <w:tblStylePr w:type="firstCol">
      <w:rPr>
        <w:b/>
        <w:color w:val="000000" w:themeColor="text1"/>
        <w14:textFill>
          <w14:solidFill>
            <w14:schemeClr w14:val="tx1"/>
          </w14:solidFill>
        </w14:textFill>
      </w:rPr>
    </w:tblStylePr>
    <w:tblStylePr w:type="lastCol">
      <w:rPr>
        <w:b/>
        <w:color w:val="000000" w:themeColor="text1"/>
        <w14:textFill>
          <w14:solidFill>
            <w14:schemeClr w14:val="tx1"/>
          </w14:solidFill>
        </w14:textFill>
      </w:rPr>
    </w:tblStylePr>
    <w:tblStylePr w:type="band1Vert">
      <w:tcPr>
        <w:shd w:val="clear" w:color="BFBFBF" w:fill="BEBEBE" w:themeFill="text1" w:themeFillTint="40"/>
      </w:tcPr>
    </w:tblStylePr>
    <w:tblStylePr w:type="band1Horz">
      <w:rPr>
        <w:color w:val="000000" w:themeColor="text1"/>
        <w:sz w:val="22"/>
        <w14:textFill>
          <w14:solidFill>
            <w14:schemeClr w14:val="tx1"/>
          </w14:solidFill>
        </w14:textFill>
      </w:rPr>
      <w:tcPr>
        <w:shd w:val="clear" w:color="BFBFBF" w:fill="BEBEBE" w:themeFill="text1" w:themeFillTint="40"/>
      </w:tcPr>
    </w:tblStylePr>
    <w:tblStylePr w:type="band2Horz">
      <w:rPr>
        <w:color w:val="000000" w:themeColor="text1"/>
        <w:sz w:val="22"/>
        <w14:textFill>
          <w14:solidFill>
            <w14:schemeClr w14:val="tx1"/>
          </w14:solidFill>
        </w14:textFill>
      </w:rPr>
    </w:tblStylePr>
  </w:style>
  <w:style w:type="table" w:customStyle="1" w:styleId="327">
    <w:name w:val="List Table 6 Colorful - Accent 1"/>
    <w:basedOn w:val="12"/>
    <w:qFormat/>
    <w:uiPriority w:val="99"/>
    <w:tblPr>
      <w:tblBorders>
        <w:top w:val="single" w:color="4F81BD" w:themeColor="accent1" w:sz="4" w:space="0"/>
        <w:bottom w:val="single" w:color="4F81BD" w:themeColor="accent1" w:sz="4" w:space="0"/>
      </w:tblBorders>
      <w:tblCellMar>
        <w:top w:w="0" w:type="dxa"/>
        <w:left w:w="108" w:type="dxa"/>
        <w:bottom w:w="0" w:type="dxa"/>
        <w:right w:w="108" w:type="dxa"/>
      </w:tblCellMar>
    </w:tblPr>
    <w:tblStylePr w:type="firstRow">
      <w:rPr>
        <w:b/>
        <w:color w:val="2A4B71" w:themeColor="accent1" w:themeShade="94"/>
      </w:rPr>
      <w:tcPr>
        <w:tcBorders>
          <w:bottom w:val="single" w:color="4F81BD" w:themeColor="accent1" w:sz="4" w:space="0"/>
        </w:tcBorders>
      </w:tcPr>
    </w:tblStylePr>
    <w:tblStylePr w:type="lastRow">
      <w:rPr>
        <w:b/>
        <w:color w:val="2A4B71" w:themeColor="accent1" w:themeShade="94"/>
      </w:rPr>
      <w:tcPr>
        <w:tcBorders>
          <w:top w:val="single" w:color="4F81BD" w:themeColor="accent1" w:sz="4" w:space="0"/>
        </w:tcBorders>
      </w:tcPr>
    </w:tblStylePr>
    <w:tblStylePr w:type="firstCol">
      <w:rPr>
        <w:b/>
        <w:color w:val="2A4B71" w:themeColor="accent1" w:themeShade="94"/>
      </w:rPr>
    </w:tblStylePr>
    <w:tblStylePr w:type="lastCol">
      <w:rPr>
        <w:b/>
        <w:color w:val="2A4B71" w:themeColor="accent1" w:themeShade="94"/>
      </w:rPr>
    </w:tblStylePr>
    <w:tblStylePr w:type="band1Vert">
      <w:tcPr>
        <w:shd w:val="clear" w:color="D2DFEE" w:fill="D2DFEE" w:themeFill="accent1" w:themeFillTint="40"/>
      </w:tcPr>
    </w:tblStylePr>
    <w:tblStylePr w:type="band1Horz">
      <w:rPr>
        <w:color w:val="2A4B71" w:themeColor="accent1" w:themeShade="94"/>
        <w:sz w:val="22"/>
      </w:rPr>
      <w:tcPr>
        <w:shd w:val="clear" w:color="D2DFEE" w:fill="D2DFEE" w:themeFill="accent1" w:themeFillTint="40"/>
      </w:tcPr>
    </w:tblStylePr>
    <w:tblStylePr w:type="band2Horz">
      <w:rPr>
        <w:color w:val="2A4B71" w:themeColor="accent1" w:themeShade="94"/>
        <w:sz w:val="22"/>
      </w:rPr>
    </w:tblStylePr>
  </w:style>
  <w:style w:type="table" w:customStyle="1" w:styleId="328">
    <w:name w:val="List Table 6 Colorful - Accent 2"/>
    <w:basedOn w:val="12"/>
    <w:qFormat/>
    <w:uiPriority w:val="99"/>
    <w:tblPr>
      <w:tblBorders>
        <w:top w:val="single" w:color="D99795" w:themeColor="accent2" w:themeTint="97" w:sz="4" w:space="0"/>
        <w:bottom w:val="single" w:color="D99795" w:themeColor="accent2" w:themeTint="97" w:sz="4" w:space="0"/>
      </w:tblBorders>
      <w:tblCellMar>
        <w:top w:w="0" w:type="dxa"/>
        <w:left w:w="108" w:type="dxa"/>
        <w:bottom w:w="0" w:type="dxa"/>
        <w:right w:w="108" w:type="dxa"/>
      </w:tblCellMar>
    </w:tblPr>
    <w:tblStylePr w:type="firstRow">
      <w:rPr>
        <w:b/>
        <w:color w:val="DA9896" w:themeColor="accent2" w:themeTint="96"/>
        <w14:textFill>
          <w14:solidFill>
            <w14:schemeClr w14:val="accent2">
              <w14:lumMod w14:val="59000"/>
              <w14:lumOff w14:val="41000"/>
            </w14:schemeClr>
          </w14:solidFill>
        </w14:textFill>
      </w:rPr>
      <w:tcPr>
        <w:tcBorders>
          <w:bottom w:val="single" w:color="C0504D" w:themeColor="accent2" w:sz="4" w:space="0"/>
        </w:tcBorders>
      </w:tcPr>
    </w:tblStylePr>
    <w:tblStylePr w:type="lastRow">
      <w:rPr>
        <w:b/>
        <w:color w:val="DA9896" w:themeColor="accent2" w:themeTint="96"/>
        <w14:textFill>
          <w14:solidFill>
            <w14:schemeClr w14:val="accent2">
              <w14:lumMod w14:val="59000"/>
              <w14:lumOff w14:val="41000"/>
            </w14:schemeClr>
          </w14:solidFill>
        </w14:textFill>
      </w:rPr>
      <w:tcPr>
        <w:tcBorders>
          <w:top w:val="single" w:color="C0504D" w:themeColor="accent2" w:sz="4" w:space="0"/>
        </w:tcBorders>
      </w:tcPr>
    </w:tblStylePr>
    <w:tblStylePr w:type="firstCol">
      <w:rPr>
        <w:b/>
        <w:color w:val="DA9896" w:themeColor="accent2" w:themeTint="96"/>
        <w14:textFill>
          <w14:solidFill>
            <w14:schemeClr w14:val="accent2">
              <w14:lumMod w14:val="59000"/>
              <w14:lumOff w14:val="41000"/>
            </w14:schemeClr>
          </w14:solidFill>
        </w14:textFill>
      </w:rPr>
    </w:tblStylePr>
    <w:tblStylePr w:type="lastCol">
      <w:rPr>
        <w:b/>
        <w:color w:val="DA9896" w:themeColor="accent2" w:themeTint="96"/>
        <w14:textFill>
          <w14:solidFill>
            <w14:schemeClr w14:val="accent2">
              <w14:lumMod w14:val="59000"/>
              <w14:lumOff w14:val="41000"/>
            </w14:schemeClr>
          </w14:solidFill>
        </w14:textFill>
      </w:rPr>
    </w:tblStylePr>
    <w:tblStylePr w:type="band1Vert">
      <w:tcPr>
        <w:shd w:val="clear" w:color="EFD2D2" w:fill="EFD3D2" w:themeFill="accent2" w:themeFillTint="40"/>
      </w:tcPr>
    </w:tblStylePr>
    <w:tblStylePr w:type="band1Horz">
      <w:rPr>
        <w:color w:val="DA9896" w:themeColor="accent2" w:themeTint="96"/>
        <w:sz w:val="22"/>
        <w14:textFill>
          <w14:solidFill>
            <w14:schemeClr w14:val="accent2">
              <w14:lumMod w14:val="59000"/>
              <w14:lumOff w14:val="41000"/>
            </w14:schemeClr>
          </w14:solidFill>
        </w14:textFill>
      </w:rPr>
      <w:tcPr>
        <w:shd w:val="clear" w:color="EFD2D2" w:fill="EFD3D2" w:themeFill="accent2" w:themeFillTint="40"/>
      </w:tcPr>
    </w:tblStylePr>
    <w:tblStylePr w:type="band2Horz">
      <w:rPr>
        <w:color w:val="DA9896" w:themeColor="accent2" w:themeTint="96"/>
        <w:sz w:val="22"/>
        <w14:textFill>
          <w14:solidFill>
            <w14:schemeClr w14:val="accent2">
              <w14:lumMod w14:val="59000"/>
              <w14:lumOff w14:val="41000"/>
            </w14:schemeClr>
          </w14:solidFill>
        </w14:textFill>
      </w:rPr>
    </w:tblStylePr>
  </w:style>
  <w:style w:type="table" w:customStyle="1" w:styleId="329">
    <w:name w:val="List Table 6 Colorful - Accent 3"/>
    <w:basedOn w:val="12"/>
    <w:qFormat/>
    <w:uiPriority w:val="99"/>
    <w:tblPr>
      <w:tblBorders>
        <w:top w:val="single" w:color="C3D69C" w:themeColor="accent3" w:themeTint="98" w:sz="4" w:space="0"/>
        <w:bottom w:val="single" w:color="C3D69C" w:themeColor="accent3" w:themeTint="98" w:sz="4" w:space="0"/>
      </w:tblBorders>
      <w:tblCellMar>
        <w:top w:w="0" w:type="dxa"/>
        <w:left w:w="108" w:type="dxa"/>
        <w:bottom w:w="0" w:type="dxa"/>
        <w:right w:w="108" w:type="dxa"/>
      </w:tblCellMar>
    </w:tblPr>
    <w:tblStylePr w:type="firstRow">
      <w:rPr>
        <w:b/>
        <w:color w:val="C3D69B" w:themeColor="accent3" w:themeTint="99"/>
        <w14:textFill>
          <w14:solidFill>
            <w14:schemeClr w14:val="accent3">
              <w14:lumMod w14:val="60000"/>
              <w14:lumOff w14:val="40000"/>
            </w14:schemeClr>
          </w14:solidFill>
        </w14:textFill>
      </w:rPr>
      <w:tcPr>
        <w:tcBorders>
          <w:bottom w:val="single" w:color="9BBB59" w:themeColor="accent3" w:sz="4" w:space="0"/>
        </w:tcBorders>
      </w:tcPr>
    </w:tblStylePr>
    <w:tblStylePr w:type="lastRow">
      <w:rPr>
        <w:b/>
        <w:color w:val="C3D69B" w:themeColor="accent3" w:themeTint="99"/>
        <w14:textFill>
          <w14:solidFill>
            <w14:schemeClr w14:val="accent3">
              <w14:lumMod w14:val="60000"/>
              <w14:lumOff w14:val="40000"/>
            </w14:schemeClr>
          </w14:solidFill>
        </w14:textFill>
      </w:rPr>
      <w:tcPr>
        <w:tcBorders>
          <w:top w:val="single" w:color="9BBB59" w:themeColor="accent3" w:sz="4" w:space="0"/>
        </w:tcBorders>
      </w:tcPr>
    </w:tblStylePr>
    <w:tblStylePr w:type="firstCol">
      <w:rPr>
        <w:b/>
        <w:color w:val="C3D69B" w:themeColor="accent3" w:themeTint="99"/>
        <w14:textFill>
          <w14:solidFill>
            <w14:schemeClr w14:val="accent3">
              <w14:lumMod w14:val="60000"/>
              <w14:lumOff w14:val="40000"/>
            </w14:schemeClr>
          </w14:solidFill>
        </w14:textFill>
      </w:rPr>
    </w:tblStylePr>
    <w:tblStylePr w:type="lastCol">
      <w:rPr>
        <w:b/>
        <w:color w:val="C3D69B" w:themeColor="accent3" w:themeTint="99"/>
        <w14:textFill>
          <w14:solidFill>
            <w14:schemeClr w14:val="accent3">
              <w14:lumMod w14:val="60000"/>
              <w14:lumOff w14:val="40000"/>
            </w14:schemeClr>
          </w14:solidFill>
        </w14:textFill>
      </w:rPr>
    </w:tblStylePr>
    <w:tblStylePr w:type="band1Vert">
      <w:tcPr>
        <w:shd w:val="clear" w:color="E5EED5" w:fill="E5EDD5" w:themeFill="accent3" w:themeFillTint="40"/>
      </w:tcPr>
    </w:tblStylePr>
    <w:tblStylePr w:type="band1Horz">
      <w:rPr>
        <w:color w:val="C3D69B" w:themeColor="accent3" w:themeTint="99"/>
        <w:sz w:val="22"/>
        <w14:textFill>
          <w14:solidFill>
            <w14:schemeClr w14:val="accent3">
              <w14:lumMod w14:val="60000"/>
              <w14:lumOff w14:val="40000"/>
            </w14:schemeClr>
          </w14:solidFill>
        </w14:textFill>
      </w:rPr>
      <w:tcPr>
        <w:shd w:val="clear" w:color="E5EED5" w:fill="E5EDD5" w:themeFill="accent3" w:themeFillTint="40"/>
      </w:tcPr>
    </w:tblStylePr>
    <w:tblStylePr w:type="band2Horz">
      <w:rPr>
        <w:color w:val="C3D69B" w:themeColor="accent3" w:themeTint="99"/>
        <w:sz w:val="22"/>
        <w14:textFill>
          <w14:solidFill>
            <w14:schemeClr w14:val="accent3">
              <w14:lumMod w14:val="60000"/>
              <w14:lumOff w14:val="40000"/>
            </w14:schemeClr>
          </w14:solidFill>
        </w14:textFill>
      </w:rPr>
    </w:tblStylePr>
  </w:style>
  <w:style w:type="table" w:customStyle="1" w:styleId="330">
    <w:name w:val="List Table 6 Colorful - Accent 4"/>
    <w:basedOn w:val="12"/>
    <w:qFormat/>
    <w:uiPriority w:val="99"/>
    <w:tblPr>
      <w:tblBorders>
        <w:top w:val="single" w:color="B2A1C6" w:themeColor="accent4" w:themeTint="9A" w:sz="4" w:space="0"/>
        <w:bottom w:val="single" w:color="B2A1C6" w:themeColor="accent4" w:themeTint="9A" w:sz="4" w:space="0"/>
      </w:tblBorders>
      <w:tblCellMar>
        <w:top w:w="0" w:type="dxa"/>
        <w:left w:w="108" w:type="dxa"/>
        <w:bottom w:w="0" w:type="dxa"/>
        <w:right w:w="108" w:type="dxa"/>
      </w:tblCellMar>
    </w:tblPr>
    <w:tblStylePr w:type="firstRow">
      <w:rPr>
        <w:b/>
        <w:color w:val="B3A2C7" w:themeColor="accent4" w:themeTint="99"/>
        <w14:textFill>
          <w14:solidFill>
            <w14:schemeClr w14:val="accent4">
              <w14:lumMod w14:val="60000"/>
              <w14:lumOff w14:val="40000"/>
            </w14:schemeClr>
          </w14:solidFill>
        </w14:textFill>
      </w:rPr>
      <w:tcPr>
        <w:tcBorders>
          <w:bottom w:val="single" w:color="8064A2" w:themeColor="accent4" w:sz="4" w:space="0"/>
        </w:tcBorders>
      </w:tcPr>
    </w:tblStylePr>
    <w:tblStylePr w:type="lastRow">
      <w:rPr>
        <w:b/>
        <w:color w:val="B3A2C7" w:themeColor="accent4" w:themeTint="99"/>
        <w14:textFill>
          <w14:solidFill>
            <w14:schemeClr w14:val="accent4">
              <w14:lumMod w14:val="60000"/>
              <w14:lumOff w14:val="40000"/>
            </w14:schemeClr>
          </w14:solidFill>
        </w14:textFill>
      </w:rPr>
      <w:tcPr>
        <w:tcBorders>
          <w:top w:val="single" w:color="8064A2" w:themeColor="accent4" w:sz="4" w:space="0"/>
        </w:tcBorders>
      </w:tcPr>
    </w:tblStylePr>
    <w:tblStylePr w:type="firstCol">
      <w:rPr>
        <w:b/>
        <w:color w:val="B3A2C7" w:themeColor="accent4" w:themeTint="99"/>
        <w14:textFill>
          <w14:solidFill>
            <w14:schemeClr w14:val="accent4">
              <w14:lumMod w14:val="60000"/>
              <w14:lumOff w14:val="40000"/>
            </w14:schemeClr>
          </w14:solidFill>
        </w14:textFill>
      </w:rPr>
    </w:tblStylePr>
    <w:tblStylePr w:type="lastCol">
      <w:rPr>
        <w:b/>
        <w:color w:val="B3A2C7" w:themeColor="accent4" w:themeTint="99"/>
        <w14:textFill>
          <w14:solidFill>
            <w14:schemeClr w14:val="accent4">
              <w14:lumMod w14:val="60000"/>
              <w14:lumOff w14:val="40000"/>
            </w14:schemeClr>
          </w14:solidFill>
        </w14:textFill>
      </w:rPr>
    </w:tblStylePr>
    <w:tblStylePr w:type="band1Vert">
      <w:tcPr>
        <w:shd w:val="clear" w:color="DFD8E7" w:fill="DFD8E7" w:themeFill="accent4" w:themeFillTint="40"/>
      </w:tcPr>
    </w:tblStylePr>
    <w:tblStylePr w:type="band1Horz">
      <w:rPr>
        <w:color w:val="B3A2C7" w:themeColor="accent4" w:themeTint="99"/>
        <w:sz w:val="22"/>
        <w14:textFill>
          <w14:solidFill>
            <w14:schemeClr w14:val="accent4">
              <w14:lumMod w14:val="60000"/>
              <w14:lumOff w14:val="40000"/>
            </w14:schemeClr>
          </w14:solidFill>
        </w14:textFill>
      </w:rPr>
      <w:tcPr>
        <w:shd w:val="clear" w:color="DFD8E7" w:fill="DFD8E7" w:themeFill="accent4" w:themeFillTint="40"/>
      </w:tcPr>
    </w:tblStylePr>
    <w:tblStylePr w:type="band2Horz">
      <w:rPr>
        <w:color w:val="B3A2C7" w:themeColor="accent4" w:themeTint="99"/>
        <w:sz w:val="22"/>
        <w14:textFill>
          <w14:solidFill>
            <w14:schemeClr w14:val="accent4">
              <w14:lumMod w14:val="60000"/>
              <w14:lumOff w14:val="40000"/>
            </w14:schemeClr>
          </w14:solidFill>
        </w14:textFill>
      </w:rPr>
    </w:tblStylePr>
  </w:style>
  <w:style w:type="table" w:customStyle="1" w:styleId="331">
    <w:name w:val="List Table 6 Colorful - Accent 5"/>
    <w:basedOn w:val="12"/>
    <w:qFormat/>
    <w:uiPriority w:val="99"/>
    <w:tblPr>
      <w:tblBorders>
        <w:top w:val="single" w:color="92CCDC" w:themeColor="accent5" w:themeTint="9A" w:sz="4" w:space="0"/>
        <w:bottom w:val="single" w:color="92CCDC" w:themeColor="accent5" w:themeTint="9A" w:sz="4" w:space="0"/>
      </w:tblBorders>
      <w:tblCellMar>
        <w:top w:w="0" w:type="dxa"/>
        <w:left w:w="108" w:type="dxa"/>
        <w:bottom w:w="0" w:type="dxa"/>
        <w:right w:w="108" w:type="dxa"/>
      </w:tblCellMar>
    </w:tblPr>
    <w:tblStylePr w:type="firstRow">
      <w:rPr>
        <w:b/>
        <w:color w:val="93CDDD" w:themeColor="accent5" w:themeTint="99"/>
        <w14:textFill>
          <w14:solidFill>
            <w14:schemeClr w14:val="accent5">
              <w14:lumMod w14:val="60000"/>
              <w14:lumOff w14:val="40000"/>
            </w14:schemeClr>
          </w14:solidFill>
        </w14:textFill>
      </w:rPr>
      <w:tcPr>
        <w:tcBorders>
          <w:bottom w:val="single" w:color="4BACC6" w:themeColor="accent5" w:sz="4" w:space="0"/>
        </w:tcBorders>
      </w:tcPr>
    </w:tblStylePr>
    <w:tblStylePr w:type="lastRow">
      <w:rPr>
        <w:b/>
        <w:color w:val="93CDDD" w:themeColor="accent5" w:themeTint="99"/>
        <w14:textFill>
          <w14:solidFill>
            <w14:schemeClr w14:val="accent5">
              <w14:lumMod w14:val="60000"/>
              <w14:lumOff w14:val="40000"/>
            </w14:schemeClr>
          </w14:solidFill>
        </w14:textFill>
      </w:rPr>
      <w:tcPr>
        <w:tcBorders>
          <w:top w:val="single" w:color="4BACC6" w:themeColor="accent5" w:sz="4" w:space="0"/>
        </w:tcBorders>
      </w:tcPr>
    </w:tblStylePr>
    <w:tblStylePr w:type="firstCol">
      <w:rPr>
        <w:b/>
        <w:color w:val="93CDDD" w:themeColor="accent5" w:themeTint="99"/>
        <w14:textFill>
          <w14:solidFill>
            <w14:schemeClr w14:val="accent5">
              <w14:lumMod w14:val="60000"/>
              <w14:lumOff w14:val="40000"/>
            </w14:schemeClr>
          </w14:solidFill>
        </w14:textFill>
      </w:rPr>
    </w:tblStylePr>
    <w:tblStylePr w:type="lastCol">
      <w:rPr>
        <w:b/>
        <w:color w:val="93CDDD" w:themeColor="accent5" w:themeTint="99"/>
        <w14:textFill>
          <w14:solidFill>
            <w14:schemeClr w14:val="accent5">
              <w14:lumMod w14:val="60000"/>
              <w14:lumOff w14:val="40000"/>
            </w14:schemeClr>
          </w14:solidFill>
        </w14:textFill>
      </w:rPr>
    </w:tblStylePr>
    <w:tblStylePr w:type="band1Vert">
      <w:tcPr>
        <w:shd w:val="clear" w:color="D1EAF0" w:fill="D1EAF0" w:themeFill="accent5" w:themeFillTint="40"/>
      </w:tcPr>
    </w:tblStylePr>
    <w:tblStylePr w:type="band1Horz">
      <w:rPr>
        <w:color w:val="93CDDD" w:themeColor="accent5" w:themeTint="99"/>
        <w:sz w:val="22"/>
        <w14:textFill>
          <w14:solidFill>
            <w14:schemeClr w14:val="accent5">
              <w14:lumMod w14:val="60000"/>
              <w14:lumOff w14:val="40000"/>
            </w14:schemeClr>
          </w14:solidFill>
        </w14:textFill>
      </w:rPr>
      <w:tcPr>
        <w:shd w:val="clear" w:color="D1EAF0" w:fill="D1EAF0" w:themeFill="accent5" w:themeFillTint="40"/>
      </w:tcPr>
    </w:tblStylePr>
    <w:tblStylePr w:type="band2Horz">
      <w:rPr>
        <w:color w:val="93CDDD" w:themeColor="accent5" w:themeTint="99"/>
        <w:sz w:val="22"/>
        <w14:textFill>
          <w14:solidFill>
            <w14:schemeClr w14:val="accent5">
              <w14:lumMod w14:val="60000"/>
              <w14:lumOff w14:val="40000"/>
            </w14:schemeClr>
          </w14:solidFill>
        </w14:textFill>
      </w:rPr>
    </w:tblStylePr>
  </w:style>
  <w:style w:type="table" w:customStyle="1" w:styleId="332">
    <w:name w:val="List Table 6 Colorful - Accent 6"/>
    <w:basedOn w:val="12"/>
    <w:qFormat/>
    <w:uiPriority w:val="99"/>
    <w:tblPr>
      <w:tblBorders>
        <w:top w:val="single" w:color="FAC090" w:themeColor="accent6" w:themeTint="98" w:sz="4" w:space="0"/>
        <w:bottom w:val="single" w:color="FAC090" w:themeColor="accent6" w:themeTint="98" w:sz="4" w:space="0"/>
      </w:tblBorders>
      <w:tblCellMar>
        <w:top w:w="0" w:type="dxa"/>
        <w:left w:w="108" w:type="dxa"/>
        <w:bottom w:w="0" w:type="dxa"/>
        <w:right w:w="108" w:type="dxa"/>
      </w:tblCellMar>
    </w:tblPr>
    <w:tblStylePr w:type="firstRow">
      <w:rPr>
        <w:b/>
        <w:color w:val="FAC090" w:themeColor="accent6" w:themeTint="99"/>
        <w14:textFill>
          <w14:solidFill>
            <w14:schemeClr w14:val="accent6">
              <w14:lumMod w14:val="60000"/>
              <w14:lumOff w14:val="40000"/>
            </w14:schemeClr>
          </w14:solidFill>
        </w14:textFill>
      </w:rPr>
      <w:tcPr>
        <w:tcBorders>
          <w:bottom w:val="single" w:color="F79646" w:themeColor="accent6" w:sz="4" w:space="0"/>
        </w:tcBorders>
      </w:tcPr>
    </w:tblStylePr>
    <w:tblStylePr w:type="lastRow">
      <w:rPr>
        <w:b/>
        <w:color w:val="FAC090" w:themeColor="accent6" w:themeTint="99"/>
        <w14:textFill>
          <w14:solidFill>
            <w14:schemeClr w14:val="accent6">
              <w14:lumMod w14:val="60000"/>
              <w14:lumOff w14:val="40000"/>
            </w14:schemeClr>
          </w14:solidFill>
        </w14:textFill>
      </w:rPr>
      <w:tcPr>
        <w:tcBorders>
          <w:top w:val="single" w:color="F79646" w:themeColor="accent6" w:sz="4" w:space="0"/>
        </w:tcBorders>
      </w:tcPr>
    </w:tblStylePr>
    <w:tblStylePr w:type="firstCol">
      <w:rPr>
        <w:b/>
        <w:color w:val="FAC090" w:themeColor="accent6" w:themeTint="99"/>
        <w14:textFill>
          <w14:solidFill>
            <w14:schemeClr w14:val="accent6">
              <w14:lumMod w14:val="60000"/>
              <w14:lumOff w14:val="40000"/>
            </w14:schemeClr>
          </w14:solidFill>
        </w14:textFill>
      </w:rPr>
    </w:tblStylePr>
    <w:tblStylePr w:type="lastCol">
      <w:rPr>
        <w:b/>
        <w:color w:val="FAC090" w:themeColor="accent6" w:themeTint="99"/>
        <w14:textFill>
          <w14:solidFill>
            <w14:schemeClr w14:val="accent6">
              <w14:lumMod w14:val="60000"/>
              <w14:lumOff w14:val="40000"/>
            </w14:schemeClr>
          </w14:solidFill>
        </w14:textFill>
      </w:rPr>
    </w:tblStylePr>
    <w:tblStylePr w:type="band1Vert">
      <w:tcPr>
        <w:shd w:val="clear" w:color="FDE4D0" w:fill="FCE4D0" w:themeFill="accent6" w:themeFillTint="40"/>
      </w:tcPr>
    </w:tblStylePr>
    <w:tblStylePr w:type="band1Horz">
      <w:rPr>
        <w:color w:val="FAC090" w:themeColor="accent6" w:themeTint="99"/>
        <w:sz w:val="22"/>
        <w14:textFill>
          <w14:solidFill>
            <w14:schemeClr w14:val="accent6">
              <w14:lumMod w14:val="60000"/>
              <w14:lumOff w14:val="40000"/>
            </w14:schemeClr>
          </w14:solidFill>
        </w14:textFill>
      </w:rPr>
      <w:tcPr>
        <w:shd w:val="clear" w:color="FDE4D0" w:fill="FCE4D0" w:themeFill="accent6" w:themeFillTint="40"/>
      </w:tcPr>
    </w:tblStylePr>
    <w:tblStylePr w:type="band2Horz">
      <w:rPr>
        <w:color w:val="FAC090" w:themeColor="accent6" w:themeTint="99"/>
        <w:sz w:val="22"/>
        <w14:textFill>
          <w14:solidFill>
            <w14:schemeClr w14:val="accent6">
              <w14:lumMod w14:val="60000"/>
              <w14:lumOff w14:val="40000"/>
            </w14:schemeClr>
          </w14:solidFill>
        </w14:textFill>
      </w:rPr>
    </w:tblStylePr>
  </w:style>
  <w:style w:type="table" w:customStyle="1" w:styleId="333">
    <w:name w:val="Tabela de Lista 7 Colorida1"/>
    <w:basedOn w:val="12"/>
    <w:qFormat/>
    <w:uiPriority w:val="99"/>
    <w:tblPr>
      <w:tblBorders>
        <w:right w:val="single" w:color="7E7E7E" w:themeColor="text1" w:themeTint="80" w:sz="4" w:space="0"/>
      </w:tblBorders>
      <w:tblCellMar>
        <w:top w:w="0" w:type="dxa"/>
        <w:left w:w="108" w:type="dxa"/>
        <w:bottom w:w="0" w:type="dxa"/>
        <w:right w:w="108" w:type="dxa"/>
      </w:tblCellMar>
    </w:tblPr>
    <w:tblStylePr w:type="firstRow">
      <w:rPr>
        <w:i/>
        <w:color w:val="808080" w:themeColor="text1" w:themeTint="80"/>
        <w:sz w:val="22"/>
        <w14:textFill>
          <w14:solidFill>
            <w14:schemeClr w14:val="tx1">
              <w14:lumMod w14:val="50000"/>
              <w14:lumOff w14:val="50000"/>
            </w14:schemeClr>
          </w14:solidFill>
        </w14:textFill>
      </w:rPr>
      <w:tcPr>
        <w:tcBorders>
          <w:top w:val="nil"/>
          <w:left w:val="nil"/>
          <w:bottom w:val="single" w:color="000000" w:themeColor="text1" w:sz="4" w:space="0"/>
          <w:right w:val="nil"/>
        </w:tcBorders>
        <w:shd w:val="clear" w:color="FFFFFF" w:fill="FFFFFF" w:themeFill="light1"/>
      </w:tcPr>
    </w:tblStylePr>
    <w:tblStylePr w:type="lastRow">
      <w:rPr>
        <w:i/>
        <w:color w:val="808080" w:themeColor="text1" w:themeTint="80"/>
        <w:sz w:val="22"/>
        <w14:textFill>
          <w14:solidFill>
            <w14:schemeClr w14:val="tx1">
              <w14:lumMod w14:val="50000"/>
              <w14:lumOff w14:val="50000"/>
            </w14:schemeClr>
          </w14:solidFill>
        </w14:textFill>
      </w:rPr>
      <w:tcPr>
        <w:tcBorders>
          <w:top w:val="single" w:color="000000" w:themeColor="text1" w:sz="4" w:space="0"/>
          <w:left w:val="nil"/>
          <w:bottom w:val="nil"/>
          <w:right w:val="nil"/>
        </w:tcBorders>
        <w:shd w:val="clear" w:color="FFFFFF" w:fill="FFFFFF" w:themeFill="light1"/>
      </w:tcPr>
    </w:tblStylePr>
    <w:tblStylePr w:type="firstCol">
      <w:pPr>
        <w:jc w:val="right"/>
      </w:pPr>
      <w:rPr>
        <w:i/>
        <w:color w:val="808080" w:themeColor="text1" w:themeTint="80"/>
        <w:sz w:val="22"/>
        <w14:textFill>
          <w14:solidFill>
            <w14:schemeClr w14:val="tx1">
              <w14:lumMod w14:val="50000"/>
              <w14:lumOff w14:val="50000"/>
            </w14:schemeClr>
          </w14:solidFill>
        </w14:textFill>
      </w:rPr>
      <w:tcPr>
        <w:tcBorders>
          <w:top w:val="nil"/>
          <w:left w:val="nil"/>
          <w:bottom w:val="nil"/>
          <w:right w:val="single" w:color="000000" w:themeColor="text1" w:sz="4" w:space="0"/>
        </w:tcBorders>
        <w:shd w:val="clear" w:color="FFFFFF" w:fill="auto"/>
      </w:tcPr>
    </w:tblStylePr>
    <w:tblStylePr w:type="lastCol">
      <w:rPr>
        <w:i/>
        <w:color w:val="808080" w:themeColor="text1" w:themeTint="80"/>
        <w:sz w:val="22"/>
        <w14:textFill>
          <w14:solidFill>
            <w14:schemeClr w14:val="tx1">
              <w14:lumMod w14:val="50000"/>
              <w14:lumOff w14:val="50000"/>
            </w14:schemeClr>
          </w14:solidFill>
        </w14:textFill>
      </w:rPr>
      <w:tcPr>
        <w:tcBorders>
          <w:top w:val="nil"/>
          <w:left w:val="single" w:color="000000" w:themeColor="text1" w:sz="4" w:space="0"/>
          <w:bottom w:val="nil"/>
          <w:right w:val="nil"/>
        </w:tcBorders>
        <w:shd w:val="clear" w:color="FFFFFF" w:fill="auto"/>
      </w:tcPr>
    </w:tblStylePr>
    <w:tblStylePr w:type="band1Vert">
      <w:tcPr>
        <w:shd w:val="clear" w:color="BFBFBF" w:fill="BEBEBE" w:themeFill="text1" w:themeFillTint="40"/>
      </w:tcPr>
    </w:tblStylePr>
    <w:tblStylePr w:type="band1Horz">
      <w:rPr>
        <w:color w:val="808080" w:themeColor="text1" w:themeTint="80"/>
        <w:sz w:val="22"/>
        <w14:textFill>
          <w14:solidFill>
            <w14:schemeClr w14:val="tx1">
              <w14:lumMod w14:val="50000"/>
              <w14:lumOff w14:val="50000"/>
            </w14:schemeClr>
          </w14:solidFill>
        </w14:textFill>
      </w:rPr>
      <w:tcPr>
        <w:shd w:val="clear" w:color="BFBFBF" w:fill="BEBEBE" w:themeFill="text1" w:themeFillTint="40"/>
      </w:tcPr>
    </w:tblStylePr>
    <w:tblStylePr w:type="band2Horz">
      <w:rPr>
        <w:color w:val="808080" w:themeColor="text1" w:themeTint="80"/>
        <w:sz w:val="22"/>
        <w14:textFill>
          <w14:solidFill>
            <w14:schemeClr w14:val="tx1">
              <w14:lumMod w14:val="50000"/>
              <w14:lumOff w14:val="50000"/>
            </w14:schemeClr>
          </w14:solidFill>
        </w14:textFill>
      </w:rPr>
    </w:tblStylePr>
  </w:style>
  <w:style w:type="table" w:customStyle="1" w:styleId="334">
    <w:name w:val="List Table 7 Colorful - Accent 1"/>
    <w:basedOn w:val="12"/>
    <w:qFormat/>
    <w:uiPriority w:val="99"/>
    <w:tblPr>
      <w:tblBorders>
        <w:right w:val="single" w:color="4F81BD" w:themeColor="accent1" w:sz="4" w:space="0"/>
      </w:tblBorders>
      <w:tblCellMar>
        <w:top w:w="0" w:type="dxa"/>
        <w:left w:w="108" w:type="dxa"/>
        <w:bottom w:w="0" w:type="dxa"/>
        <w:right w:w="108" w:type="dxa"/>
      </w:tblCellMar>
    </w:tblPr>
    <w:tblStylePr w:type="firstRow">
      <w:rPr>
        <w:i/>
        <w:color w:val="2A4B71" w:themeColor="accent1" w:themeShade="94"/>
        <w:sz w:val="22"/>
      </w:rPr>
      <w:tcPr>
        <w:tcBorders>
          <w:top w:val="nil"/>
          <w:left w:val="nil"/>
          <w:bottom w:val="single" w:color="4F81BD" w:themeColor="accent1" w:sz="4" w:space="0"/>
          <w:right w:val="nil"/>
        </w:tcBorders>
        <w:shd w:val="clear" w:color="FFFFFF" w:fill="FFFFFF" w:themeFill="light1"/>
      </w:tcPr>
    </w:tblStylePr>
    <w:tblStylePr w:type="lastRow">
      <w:rPr>
        <w:i/>
        <w:color w:val="2A4B71" w:themeColor="accent1" w:themeShade="94"/>
        <w:sz w:val="22"/>
      </w:rPr>
      <w:tcPr>
        <w:tcBorders>
          <w:top w:val="single" w:color="4F81BD" w:themeColor="accent1" w:sz="4" w:space="0"/>
          <w:left w:val="nil"/>
          <w:bottom w:val="nil"/>
          <w:right w:val="nil"/>
        </w:tcBorders>
        <w:shd w:val="clear" w:color="FFFFFF" w:fill="FFFFFF" w:themeFill="light1"/>
      </w:tcPr>
    </w:tblStylePr>
    <w:tblStylePr w:type="firstCol">
      <w:pPr>
        <w:jc w:val="right"/>
      </w:pPr>
      <w:rPr>
        <w:i/>
        <w:color w:val="2A4B71" w:themeColor="accent1" w:themeShade="94"/>
        <w:sz w:val="22"/>
      </w:rPr>
      <w:tcPr>
        <w:tcBorders>
          <w:top w:val="nil"/>
          <w:left w:val="nil"/>
          <w:bottom w:val="nil"/>
          <w:right w:val="single" w:color="4F81BD" w:themeColor="accent1" w:sz="4" w:space="0"/>
        </w:tcBorders>
        <w:shd w:val="clear" w:color="FFFFFF" w:fill="auto"/>
      </w:tcPr>
    </w:tblStylePr>
    <w:tblStylePr w:type="lastCol">
      <w:rPr>
        <w:i/>
        <w:color w:val="2A4B71" w:themeColor="accent1" w:themeShade="94"/>
        <w:sz w:val="22"/>
      </w:rPr>
      <w:tcPr>
        <w:tcBorders>
          <w:top w:val="nil"/>
          <w:left w:val="single" w:color="4F81BD" w:themeColor="accent1" w:sz="4" w:space="0"/>
          <w:bottom w:val="nil"/>
          <w:right w:val="nil"/>
        </w:tcBorders>
        <w:shd w:val="clear" w:color="FFFFFF" w:fill="auto"/>
      </w:tcPr>
    </w:tblStylePr>
    <w:tblStylePr w:type="band1Vert">
      <w:tcPr>
        <w:shd w:val="clear" w:color="D2DFEE" w:fill="D2DFEE" w:themeFill="accent1" w:themeFillTint="40"/>
      </w:tcPr>
    </w:tblStylePr>
    <w:tblStylePr w:type="band1Horz">
      <w:rPr>
        <w:color w:val="2A4B71" w:themeColor="accent1" w:themeShade="94"/>
        <w:sz w:val="22"/>
      </w:rPr>
      <w:tcPr>
        <w:shd w:val="clear" w:color="D2DFEE" w:fill="D2DFEE" w:themeFill="accent1" w:themeFillTint="40"/>
      </w:tcPr>
    </w:tblStylePr>
    <w:tblStylePr w:type="band2Horz">
      <w:rPr>
        <w:color w:val="2A4B71" w:themeColor="accent1" w:themeShade="94"/>
        <w:sz w:val="22"/>
      </w:rPr>
    </w:tblStylePr>
  </w:style>
  <w:style w:type="table" w:customStyle="1" w:styleId="335">
    <w:name w:val="List Table 7 Colorful - Accent 2"/>
    <w:basedOn w:val="12"/>
    <w:qFormat/>
    <w:uiPriority w:val="99"/>
    <w:tblPr>
      <w:tblBorders>
        <w:right w:val="single" w:color="D99795" w:themeColor="accent2" w:themeTint="97" w:sz="4" w:space="0"/>
      </w:tblBorders>
      <w:tblCellMar>
        <w:top w:w="0" w:type="dxa"/>
        <w:left w:w="108" w:type="dxa"/>
        <w:bottom w:w="0" w:type="dxa"/>
        <w:right w:w="108" w:type="dxa"/>
      </w:tblCellMar>
    </w:tblPr>
    <w:tblStylePr w:type="firstRow">
      <w:rPr>
        <w:i/>
        <w:color w:val="DA9896" w:themeColor="accent2" w:themeTint="96"/>
        <w:sz w:val="22"/>
        <w14:textFill>
          <w14:solidFill>
            <w14:schemeClr w14:val="accent2">
              <w14:lumMod w14:val="59000"/>
              <w14:lumOff w14:val="41000"/>
            </w14:schemeClr>
          </w14:solidFill>
        </w14:textFill>
      </w:rPr>
      <w:tcPr>
        <w:tcBorders>
          <w:top w:val="nil"/>
          <w:left w:val="nil"/>
          <w:bottom w:val="single" w:color="C0504D" w:themeColor="accent2" w:sz="4" w:space="0"/>
          <w:right w:val="nil"/>
        </w:tcBorders>
        <w:shd w:val="clear" w:color="FFFFFF" w:fill="FFFFFF" w:themeFill="light1"/>
      </w:tcPr>
    </w:tblStylePr>
    <w:tblStylePr w:type="lastRow">
      <w:rPr>
        <w:i/>
        <w:color w:val="DA9896" w:themeColor="accent2" w:themeTint="96"/>
        <w:sz w:val="22"/>
        <w14:textFill>
          <w14:solidFill>
            <w14:schemeClr w14:val="accent2">
              <w14:lumMod w14:val="59000"/>
              <w14:lumOff w14:val="41000"/>
            </w14:schemeClr>
          </w14:solidFill>
        </w14:textFill>
      </w:rPr>
      <w:tcPr>
        <w:tcBorders>
          <w:top w:val="single" w:color="C0504D" w:themeColor="accent2" w:sz="4" w:space="0"/>
          <w:left w:val="nil"/>
          <w:bottom w:val="nil"/>
          <w:right w:val="nil"/>
        </w:tcBorders>
        <w:shd w:val="clear" w:color="FFFFFF" w:fill="FFFFFF" w:themeFill="light1"/>
      </w:tcPr>
    </w:tblStylePr>
    <w:tblStylePr w:type="firstCol">
      <w:pPr>
        <w:jc w:val="right"/>
      </w:pPr>
      <w:rPr>
        <w:i/>
        <w:color w:val="DA9896" w:themeColor="accent2" w:themeTint="96"/>
        <w:sz w:val="22"/>
        <w14:textFill>
          <w14:solidFill>
            <w14:schemeClr w14:val="accent2">
              <w14:lumMod w14:val="59000"/>
              <w14:lumOff w14:val="41000"/>
            </w14:schemeClr>
          </w14:solidFill>
        </w14:textFill>
      </w:rPr>
      <w:tcPr>
        <w:tcBorders>
          <w:top w:val="nil"/>
          <w:left w:val="nil"/>
          <w:bottom w:val="nil"/>
          <w:right w:val="single" w:color="C0504D" w:themeColor="accent2" w:sz="4" w:space="0"/>
        </w:tcBorders>
        <w:shd w:val="clear" w:color="FFFFFF" w:fill="auto"/>
      </w:tcPr>
    </w:tblStylePr>
    <w:tblStylePr w:type="lastCol">
      <w:rPr>
        <w:i/>
        <w:color w:val="DA9896" w:themeColor="accent2" w:themeTint="96"/>
        <w:sz w:val="22"/>
        <w14:textFill>
          <w14:solidFill>
            <w14:schemeClr w14:val="accent2">
              <w14:lumMod w14:val="59000"/>
              <w14:lumOff w14:val="41000"/>
            </w14:schemeClr>
          </w14:solidFill>
        </w14:textFill>
      </w:rPr>
      <w:tcPr>
        <w:tcBorders>
          <w:top w:val="nil"/>
          <w:left w:val="single" w:color="C0504D" w:themeColor="accent2" w:sz="4" w:space="0"/>
          <w:bottom w:val="nil"/>
          <w:right w:val="nil"/>
        </w:tcBorders>
        <w:shd w:val="clear" w:color="FFFFFF" w:fill="auto"/>
      </w:tcPr>
    </w:tblStylePr>
    <w:tblStylePr w:type="band1Vert">
      <w:tcPr>
        <w:shd w:val="clear" w:color="EFD2D2" w:fill="EFD3D2" w:themeFill="accent2" w:themeFillTint="40"/>
      </w:tcPr>
    </w:tblStylePr>
    <w:tblStylePr w:type="band1Horz">
      <w:rPr>
        <w:color w:val="DA9896" w:themeColor="accent2" w:themeTint="96"/>
        <w:sz w:val="22"/>
        <w14:textFill>
          <w14:solidFill>
            <w14:schemeClr w14:val="accent2">
              <w14:lumMod w14:val="59000"/>
              <w14:lumOff w14:val="41000"/>
            </w14:schemeClr>
          </w14:solidFill>
        </w14:textFill>
      </w:rPr>
      <w:tcPr>
        <w:shd w:val="clear" w:color="EFD2D2" w:fill="EFD3D2" w:themeFill="accent2" w:themeFillTint="40"/>
      </w:tcPr>
    </w:tblStylePr>
    <w:tblStylePr w:type="band2Horz">
      <w:rPr>
        <w:color w:val="DA9896" w:themeColor="accent2" w:themeTint="96"/>
        <w:sz w:val="22"/>
        <w14:textFill>
          <w14:solidFill>
            <w14:schemeClr w14:val="accent2">
              <w14:lumMod w14:val="59000"/>
              <w14:lumOff w14:val="41000"/>
            </w14:schemeClr>
          </w14:solidFill>
        </w14:textFill>
      </w:rPr>
    </w:tblStylePr>
  </w:style>
  <w:style w:type="table" w:customStyle="1" w:styleId="336">
    <w:name w:val="List Table 7 Colorful - Accent 3"/>
    <w:basedOn w:val="12"/>
    <w:qFormat/>
    <w:uiPriority w:val="99"/>
    <w:tblPr>
      <w:tblBorders>
        <w:right w:val="single" w:color="C3D69C" w:themeColor="accent3" w:themeTint="98" w:sz="4" w:space="0"/>
      </w:tblBorders>
      <w:tblCellMar>
        <w:top w:w="0" w:type="dxa"/>
        <w:left w:w="108" w:type="dxa"/>
        <w:bottom w:w="0" w:type="dxa"/>
        <w:right w:w="108" w:type="dxa"/>
      </w:tblCellMar>
    </w:tblPr>
    <w:tblStylePr w:type="firstRow">
      <w:rPr>
        <w:i/>
        <w:color w:val="C3D69B" w:themeColor="accent3" w:themeTint="99"/>
        <w:sz w:val="22"/>
        <w14:textFill>
          <w14:solidFill>
            <w14:schemeClr w14:val="accent3">
              <w14:lumMod w14:val="60000"/>
              <w14:lumOff w14:val="40000"/>
            </w14:schemeClr>
          </w14:solidFill>
        </w14:textFill>
      </w:rPr>
      <w:tcPr>
        <w:tcBorders>
          <w:top w:val="nil"/>
          <w:left w:val="nil"/>
          <w:bottom w:val="single" w:color="9BBB59" w:themeColor="accent3" w:sz="4" w:space="0"/>
          <w:right w:val="nil"/>
        </w:tcBorders>
        <w:shd w:val="clear" w:color="FFFFFF" w:fill="FFFFFF" w:themeFill="light1"/>
      </w:tcPr>
    </w:tblStylePr>
    <w:tblStylePr w:type="lastRow">
      <w:rPr>
        <w:i/>
        <w:color w:val="C3D69B" w:themeColor="accent3" w:themeTint="99"/>
        <w:sz w:val="22"/>
        <w14:textFill>
          <w14:solidFill>
            <w14:schemeClr w14:val="accent3">
              <w14:lumMod w14:val="60000"/>
              <w14:lumOff w14:val="40000"/>
            </w14:schemeClr>
          </w14:solidFill>
        </w14:textFill>
      </w:rPr>
      <w:tcPr>
        <w:tcBorders>
          <w:top w:val="single" w:color="9BBB59" w:themeColor="accent3" w:sz="4" w:space="0"/>
          <w:left w:val="nil"/>
          <w:bottom w:val="nil"/>
          <w:right w:val="nil"/>
        </w:tcBorders>
        <w:shd w:val="clear" w:color="FFFFFF" w:fill="FFFFFF" w:themeFill="light1"/>
      </w:tcPr>
    </w:tblStylePr>
    <w:tblStylePr w:type="firstCol">
      <w:pPr>
        <w:jc w:val="right"/>
      </w:pPr>
      <w:rPr>
        <w:i/>
        <w:color w:val="C3D69B" w:themeColor="accent3" w:themeTint="99"/>
        <w:sz w:val="22"/>
        <w14:textFill>
          <w14:solidFill>
            <w14:schemeClr w14:val="accent3">
              <w14:lumMod w14:val="60000"/>
              <w14:lumOff w14:val="40000"/>
            </w14:schemeClr>
          </w14:solidFill>
        </w14:textFill>
      </w:rPr>
      <w:tcPr>
        <w:tcBorders>
          <w:top w:val="nil"/>
          <w:left w:val="nil"/>
          <w:bottom w:val="nil"/>
          <w:right w:val="single" w:color="9BBB59" w:themeColor="accent3" w:sz="4" w:space="0"/>
        </w:tcBorders>
        <w:shd w:val="clear" w:color="FFFFFF" w:fill="auto"/>
      </w:tcPr>
    </w:tblStylePr>
    <w:tblStylePr w:type="lastCol">
      <w:rPr>
        <w:i/>
        <w:color w:val="C3D69B" w:themeColor="accent3" w:themeTint="99"/>
        <w:sz w:val="22"/>
        <w14:textFill>
          <w14:solidFill>
            <w14:schemeClr w14:val="accent3">
              <w14:lumMod w14:val="60000"/>
              <w14:lumOff w14:val="40000"/>
            </w14:schemeClr>
          </w14:solidFill>
        </w14:textFill>
      </w:rPr>
      <w:tcPr>
        <w:tcBorders>
          <w:top w:val="nil"/>
          <w:left w:val="single" w:color="9BBB59" w:themeColor="accent3" w:sz="4" w:space="0"/>
          <w:bottom w:val="nil"/>
          <w:right w:val="nil"/>
        </w:tcBorders>
        <w:shd w:val="clear" w:color="FFFFFF" w:fill="auto"/>
      </w:tcPr>
    </w:tblStylePr>
    <w:tblStylePr w:type="band1Vert">
      <w:tcPr>
        <w:shd w:val="clear" w:color="E5EED5" w:fill="E5EDD5" w:themeFill="accent3" w:themeFillTint="40"/>
      </w:tcPr>
    </w:tblStylePr>
    <w:tblStylePr w:type="band1Horz">
      <w:rPr>
        <w:color w:val="C3D69B" w:themeColor="accent3" w:themeTint="99"/>
        <w:sz w:val="22"/>
        <w14:textFill>
          <w14:solidFill>
            <w14:schemeClr w14:val="accent3">
              <w14:lumMod w14:val="60000"/>
              <w14:lumOff w14:val="40000"/>
            </w14:schemeClr>
          </w14:solidFill>
        </w14:textFill>
      </w:rPr>
      <w:tcPr>
        <w:shd w:val="clear" w:color="E5EED5" w:fill="E5EDD5" w:themeFill="accent3" w:themeFillTint="40"/>
      </w:tcPr>
    </w:tblStylePr>
    <w:tblStylePr w:type="band2Horz">
      <w:rPr>
        <w:color w:val="C3D69B" w:themeColor="accent3" w:themeTint="99"/>
        <w:sz w:val="22"/>
        <w14:textFill>
          <w14:solidFill>
            <w14:schemeClr w14:val="accent3">
              <w14:lumMod w14:val="60000"/>
              <w14:lumOff w14:val="40000"/>
            </w14:schemeClr>
          </w14:solidFill>
        </w14:textFill>
      </w:rPr>
    </w:tblStylePr>
  </w:style>
  <w:style w:type="table" w:customStyle="1" w:styleId="337">
    <w:name w:val="List Table 7 Colorful - Accent 4"/>
    <w:basedOn w:val="12"/>
    <w:qFormat/>
    <w:uiPriority w:val="99"/>
    <w:tblPr>
      <w:tblBorders>
        <w:right w:val="single" w:color="B2A1C6" w:themeColor="accent4" w:themeTint="9A" w:sz="4" w:space="0"/>
      </w:tblBorders>
      <w:tblCellMar>
        <w:top w:w="0" w:type="dxa"/>
        <w:left w:w="108" w:type="dxa"/>
        <w:bottom w:w="0" w:type="dxa"/>
        <w:right w:w="108" w:type="dxa"/>
      </w:tblCellMar>
    </w:tblPr>
    <w:tblStylePr w:type="firstRow">
      <w:rPr>
        <w:i/>
        <w:color w:val="B3A2C7" w:themeColor="accent4" w:themeTint="99"/>
        <w:sz w:val="22"/>
        <w14:textFill>
          <w14:solidFill>
            <w14:schemeClr w14:val="accent4">
              <w14:lumMod w14:val="60000"/>
              <w14:lumOff w14:val="40000"/>
            </w14:schemeClr>
          </w14:solidFill>
        </w14:textFill>
      </w:rPr>
      <w:tcPr>
        <w:tcBorders>
          <w:top w:val="nil"/>
          <w:left w:val="nil"/>
          <w:bottom w:val="single" w:color="8064A2" w:themeColor="accent4" w:sz="4" w:space="0"/>
          <w:right w:val="nil"/>
        </w:tcBorders>
        <w:shd w:val="clear" w:color="FFFFFF" w:fill="FFFFFF" w:themeFill="light1"/>
      </w:tcPr>
    </w:tblStylePr>
    <w:tblStylePr w:type="lastRow">
      <w:rPr>
        <w:i/>
        <w:color w:val="B3A2C7" w:themeColor="accent4" w:themeTint="99"/>
        <w:sz w:val="22"/>
        <w14:textFill>
          <w14:solidFill>
            <w14:schemeClr w14:val="accent4">
              <w14:lumMod w14:val="60000"/>
              <w14:lumOff w14:val="40000"/>
            </w14:schemeClr>
          </w14:solidFill>
        </w14:textFill>
      </w:rPr>
      <w:tcPr>
        <w:tcBorders>
          <w:top w:val="single" w:color="8064A2" w:themeColor="accent4" w:sz="4" w:space="0"/>
          <w:left w:val="nil"/>
          <w:bottom w:val="nil"/>
          <w:right w:val="nil"/>
        </w:tcBorders>
        <w:shd w:val="clear" w:color="FFFFFF" w:fill="FFFFFF" w:themeFill="light1"/>
      </w:tcPr>
    </w:tblStylePr>
    <w:tblStylePr w:type="firstCol">
      <w:pPr>
        <w:jc w:val="right"/>
      </w:pPr>
      <w:rPr>
        <w:i/>
        <w:color w:val="B3A2C7" w:themeColor="accent4" w:themeTint="99"/>
        <w:sz w:val="22"/>
        <w14:textFill>
          <w14:solidFill>
            <w14:schemeClr w14:val="accent4">
              <w14:lumMod w14:val="60000"/>
              <w14:lumOff w14:val="40000"/>
            </w14:schemeClr>
          </w14:solidFill>
        </w14:textFill>
      </w:rPr>
      <w:tcPr>
        <w:tcBorders>
          <w:top w:val="nil"/>
          <w:left w:val="nil"/>
          <w:bottom w:val="nil"/>
          <w:right w:val="single" w:color="8064A2" w:themeColor="accent4" w:sz="4" w:space="0"/>
        </w:tcBorders>
        <w:shd w:val="clear" w:color="FFFFFF" w:fill="auto"/>
      </w:tcPr>
    </w:tblStylePr>
    <w:tblStylePr w:type="lastCol">
      <w:rPr>
        <w:i/>
        <w:color w:val="B3A2C7" w:themeColor="accent4" w:themeTint="99"/>
        <w:sz w:val="22"/>
        <w14:textFill>
          <w14:solidFill>
            <w14:schemeClr w14:val="accent4">
              <w14:lumMod w14:val="60000"/>
              <w14:lumOff w14:val="40000"/>
            </w14:schemeClr>
          </w14:solidFill>
        </w14:textFill>
      </w:rPr>
      <w:tcPr>
        <w:tcBorders>
          <w:top w:val="nil"/>
          <w:left w:val="single" w:color="8064A2" w:themeColor="accent4" w:sz="4" w:space="0"/>
          <w:bottom w:val="nil"/>
          <w:right w:val="nil"/>
        </w:tcBorders>
        <w:shd w:val="clear" w:color="FFFFFF" w:fill="auto"/>
      </w:tcPr>
    </w:tblStylePr>
    <w:tblStylePr w:type="band1Vert">
      <w:tcPr>
        <w:shd w:val="clear" w:color="DFD8E7" w:fill="DFD8E7" w:themeFill="accent4" w:themeFillTint="40"/>
      </w:tcPr>
    </w:tblStylePr>
    <w:tblStylePr w:type="band1Horz">
      <w:rPr>
        <w:color w:val="B3A2C7" w:themeColor="accent4" w:themeTint="99"/>
        <w:sz w:val="22"/>
        <w14:textFill>
          <w14:solidFill>
            <w14:schemeClr w14:val="accent4">
              <w14:lumMod w14:val="60000"/>
              <w14:lumOff w14:val="40000"/>
            </w14:schemeClr>
          </w14:solidFill>
        </w14:textFill>
      </w:rPr>
      <w:tcPr>
        <w:shd w:val="clear" w:color="DFD8E7" w:fill="DFD8E7" w:themeFill="accent4" w:themeFillTint="40"/>
      </w:tcPr>
    </w:tblStylePr>
    <w:tblStylePr w:type="band2Horz">
      <w:rPr>
        <w:color w:val="B3A2C7" w:themeColor="accent4" w:themeTint="99"/>
        <w:sz w:val="22"/>
        <w14:textFill>
          <w14:solidFill>
            <w14:schemeClr w14:val="accent4">
              <w14:lumMod w14:val="60000"/>
              <w14:lumOff w14:val="40000"/>
            </w14:schemeClr>
          </w14:solidFill>
        </w14:textFill>
      </w:rPr>
    </w:tblStylePr>
  </w:style>
  <w:style w:type="table" w:customStyle="1" w:styleId="338">
    <w:name w:val="List Table 7 Colorful - Accent 5"/>
    <w:basedOn w:val="12"/>
    <w:qFormat/>
    <w:uiPriority w:val="99"/>
    <w:tblPr>
      <w:tblBorders>
        <w:right w:val="single" w:color="92CCDC" w:themeColor="accent5" w:themeTint="9A" w:sz="4" w:space="0"/>
      </w:tblBorders>
      <w:tblCellMar>
        <w:top w:w="0" w:type="dxa"/>
        <w:left w:w="108" w:type="dxa"/>
        <w:bottom w:w="0" w:type="dxa"/>
        <w:right w:w="108" w:type="dxa"/>
      </w:tblCellMar>
    </w:tblPr>
    <w:tblStylePr w:type="firstRow">
      <w:rPr>
        <w:i/>
        <w:color w:val="93CDDD" w:themeColor="accent5" w:themeTint="99"/>
        <w:sz w:val="22"/>
        <w14:textFill>
          <w14:solidFill>
            <w14:schemeClr w14:val="accent5">
              <w14:lumMod w14:val="60000"/>
              <w14:lumOff w14:val="40000"/>
            </w14:schemeClr>
          </w14:solidFill>
        </w14:textFill>
      </w:rPr>
      <w:tcPr>
        <w:tcBorders>
          <w:top w:val="nil"/>
          <w:left w:val="nil"/>
          <w:bottom w:val="single" w:color="4BACC6" w:themeColor="accent5" w:sz="4" w:space="0"/>
          <w:right w:val="nil"/>
        </w:tcBorders>
        <w:shd w:val="clear" w:color="FFFFFF" w:fill="FFFFFF" w:themeFill="light1"/>
      </w:tcPr>
    </w:tblStylePr>
    <w:tblStylePr w:type="lastRow">
      <w:rPr>
        <w:i/>
        <w:color w:val="93CDDD" w:themeColor="accent5" w:themeTint="99"/>
        <w:sz w:val="22"/>
        <w14:textFill>
          <w14:solidFill>
            <w14:schemeClr w14:val="accent5">
              <w14:lumMod w14:val="60000"/>
              <w14:lumOff w14:val="40000"/>
            </w14:schemeClr>
          </w14:solidFill>
        </w14:textFill>
      </w:rPr>
      <w:tcPr>
        <w:tcBorders>
          <w:top w:val="single" w:color="4BACC6" w:themeColor="accent5" w:sz="4" w:space="0"/>
          <w:left w:val="nil"/>
          <w:bottom w:val="nil"/>
          <w:right w:val="nil"/>
        </w:tcBorders>
        <w:shd w:val="clear" w:color="FFFFFF" w:fill="FFFFFF" w:themeFill="light1"/>
      </w:tcPr>
    </w:tblStylePr>
    <w:tblStylePr w:type="firstCol">
      <w:pPr>
        <w:jc w:val="right"/>
      </w:pPr>
      <w:rPr>
        <w:i/>
        <w:color w:val="93CDDD" w:themeColor="accent5" w:themeTint="99"/>
        <w:sz w:val="22"/>
        <w14:textFill>
          <w14:solidFill>
            <w14:schemeClr w14:val="accent5">
              <w14:lumMod w14:val="60000"/>
              <w14:lumOff w14:val="40000"/>
            </w14:schemeClr>
          </w14:solidFill>
        </w14:textFill>
      </w:rPr>
      <w:tcPr>
        <w:tcBorders>
          <w:top w:val="nil"/>
          <w:left w:val="nil"/>
          <w:bottom w:val="nil"/>
          <w:right w:val="single" w:color="4BACC6" w:themeColor="accent5" w:sz="4" w:space="0"/>
        </w:tcBorders>
        <w:shd w:val="clear" w:color="FFFFFF" w:fill="auto"/>
      </w:tcPr>
    </w:tblStylePr>
    <w:tblStylePr w:type="lastCol">
      <w:rPr>
        <w:i/>
        <w:color w:val="93CDDD" w:themeColor="accent5" w:themeTint="99"/>
        <w:sz w:val="22"/>
        <w14:textFill>
          <w14:solidFill>
            <w14:schemeClr w14:val="accent5">
              <w14:lumMod w14:val="60000"/>
              <w14:lumOff w14:val="40000"/>
            </w14:schemeClr>
          </w14:solidFill>
        </w14:textFill>
      </w:rPr>
      <w:tcPr>
        <w:tcBorders>
          <w:top w:val="nil"/>
          <w:left w:val="single" w:color="4BACC6" w:themeColor="accent5" w:sz="4" w:space="0"/>
          <w:bottom w:val="nil"/>
          <w:right w:val="nil"/>
        </w:tcBorders>
        <w:shd w:val="clear" w:color="FFFFFF" w:fill="auto"/>
      </w:tcPr>
    </w:tblStylePr>
    <w:tblStylePr w:type="band1Vert">
      <w:tcPr>
        <w:shd w:val="clear" w:color="D1EAF0" w:fill="D1EAF0" w:themeFill="accent5" w:themeFillTint="40"/>
      </w:tcPr>
    </w:tblStylePr>
    <w:tblStylePr w:type="band1Horz">
      <w:rPr>
        <w:color w:val="93CDDD" w:themeColor="accent5" w:themeTint="99"/>
        <w:sz w:val="22"/>
        <w14:textFill>
          <w14:solidFill>
            <w14:schemeClr w14:val="accent5">
              <w14:lumMod w14:val="60000"/>
              <w14:lumOff w14:val="40000"/>
            </w14:schemeClr>
          </w14:solidFill>
        </w14:textFill>
      </w:rPr>
      <w:tcPr>
        <w:shd w:val="clear" w:color="D1EAF0" w:fill="D1EAF0" w:themeFill="accent5" w:themeFillTint="40"/>
      </w:tcPr>
    </w:tblStylePr>
    <w:tblStylePr w:type="band2Horz">
      <w:rPr>
        <w:color w:val="93CDDD" w:themeColor="accent5" w:themeTint="99"/>
        <w:sz w:val="22"/>
        <w14:textFill>
          <w14:solidFill>
            <w14:schemeClr w14:val="accent5">
              <w14:lumMod w14:val="60000"/>
              <w14:lumOff w14:val="40000"/>
            </w14:schemeClr>
          </w14:solidFill>
        </w14:textFill>
      </w:rPr>
    </w:tblStylePr>
  </w:style>
  <w:style w:type="table" w:customStyle="1" w:styleId="339">
    <w:name w:val="List Table 7 Colorful - Accent 6"/>
    <w:basedOn w:val="12"/>
    <w:qFormat/>
    <w:uiPriority w:val="99"/>
    <w:tblPr>
      <w:tblBorders>
        <w:right w:val="single" w:color="FAC090" w:themeColor="accent6" w:themeTint="98" w:sz="4" w:space="0"/>
      </w:tblBorders>
      <w:tblCellMar>
        <w:top w:w="0" w:type="dxa"/>
        <w:left w:w="108" w:type="dxa"/>
        <w:bottom w:w="0" w:type="dxa"/>
        <w:right w:w="108" w:type="dxa"/>
      </w:tblCellMar>
    </w:tblPr>
    <w:tblStylePr w:type="firstRow">
      <w:rPr>
        <w:i/>
        <w:color w:val="FAC090" w:themeColor="accent6" w:themeTint="99"/>
        <w:sz w:val="22"/>
        <w14:textFill>
          <w14:solidFill>
            <w14:schemeClr w14:val="accent6">
              <w14:lumMod w14:val="60000"/>
              <w14:lumOff w14:val="40000"/>
            </w14:schemeClr>
          </w14:solidFill>
        </w14:textFill>
      </w:rPr>
      <w:tcPr>
        <w:tcBorders>
          <w:top w:val="nil"/>
          <w:left w:val="nil"/>
          <w:bottom w:val="single" w:color="F79646" w:themeColor="accent6" w:sz="4" w:space="0"/>
          <w:right w:val="nil"/>
        </w:tcBorders>
        <w:shd w:val="clear" w:color="FFFFFF" w:fill="FFFFFF" w:themeFill="light1"/>
      </w:tcPr>
    </w:tblStylePr>
    <w:tblStylePr w:type="lastRow">
      <w:rPr>
        <w:i/>
        <w:color w:val="FAC090" w:themeColor="accent6" w:themeTint="99"/>
        <w:sz w:val="22"/>
        <w14:textFill>
          <w14:solidFill>
            <w14:schemeClr w14:val="accent6">
              <w14:lumMod w14:val="60000"/>
              <w14:lumOff w14:val="40000"/>
            </w14:schemeClr>
          </w14:solidFill>
        </w14:textFill>
      </w:rPr>
      <w:tcPr>
        <w:tcBorders>
          <w:top w:val="single" w:color="F79646" w:themeColor="accent6" w:sz="4" w:space="0"/>
          <w:left w:val="nil"/>
          <w:bottom w:val="nil"/>
          <w:right w:val="nil"/>
        </w:tcBorders>
        <w:shd w:val="clear" w:color="FFFFFF" w:fill="FFFFFF" w:themeFill="light1"/>
      </w:tcPr>
    </w:tblStylePr>
    <w:tblStylePr w:type="firstCol">
      <w:pPr>
        <w:jc w:val="right"/>
      </w:pPr>
      <w:rPr>
        <w:i/>
        <w:color w:val="FAC090" w:themeColor="accent6" w:themeTint="99"/>
        <w:sz w:val="22"/>
        <w14:textFill>
          <w14:solidFill>
            <w14:schemeClr w14:val="accent6">
              <w14:lumMod w14:val="60000"/>
              <w14:lumOff w14:val="40000"/>
            </w14:schemeClr>
          </w14:solidFill>
        </w14:textFill>
      </w:rPr>
      <w:tcPr>
        <w:tcBorders>
          <w:top w:val="nil"/>
          <w:left w:val="nil"/>
          <w:bottom w:val="nil"/>
          <w:right w:val="single" w:color="F79646" w:themeColor="accent6" w:sz="4" w:space="0"/>
        </w:tcBorders>
        <w:shd w:val="clear" w:color="FFFFFF" w:fill="auto"/>
      </w:tcPr>
    </w:tblStylePr>
    <w:tblStylePr w:type="lastCol">
      <w:rPr>
        <w:i/>
        <w:color w:val="FAC090" w:themeColor="accent6" w:themeTint="99"/>
        <w:sz w:val="22"/>
        <w14:textFill>
          <w14:solidFill>
            <w14:schemeClr w14:val="accent6">
              <w14:lumMod w14:val="60000"/>
              <w14:lumOff w14:val="40000"/>
            </w14:schemeClr>
          </w14:solidFill>
        </w14:textFill>
      </w:rPr>
      <w:tcPr>
        <w:tcBorders>
          <w:top w:val="nil"/>
          <w:left w:val="single" w:color="F79646" w:themeColor="accent6" w:sz="4" w:space="0"/>
          <w:bottom w:val="nil"/>
          <w:right w:val="nil"/>
        </w:tcBorders>
        <w:shd w:val="clear" w:color="FFFFFF" w:fill="auto"/>
      </w:tcPr>
    </w:tblStylePr>
    <w:tblStylePr w:type="band1Vert">
      <w:tcPr>
        <w:shd w:val="clear" w:color="FDE4D0" w:fill="FCE4D0" w:themeFill="accent6" w:themeFillTint="40"/>
      </w:tcPr>
    </w:tblStylePr>
    <w:tblStylePr w:type="band1Horz">
      <w:rPr>
        <w:color w:val="FAC090" w:themeColor="accent6" w:themeTint="99"/>
        <w:sz w:val="22"/>
        <w14:textFill>
          <w14:solidFill>
            <w14:schemeClr w14:val="accent6">
              <w14:lumMod w14:val="60000"/>
              <w14:lumOff w14:val="40000"/>
            </w14:schemeClr>
          </w14:solidFill>
        </w14:textFill>
      </w:rPr>
      <w:tcPr>
        <w:shd w:val="clear" w:color="FDE4D0" w:fill="FCE4D0" w:themeFill="accent6" w:themeFillTint="40"/>
      </w:tcPr>
    </w:tblStylePr>
    <w:tblStylePr w:type="band2Horz">
      <w:rPr>
        <w:color w:val="FAC090" w:themeColor="accent6" w:themeTint="99"/>
        <w:sz w:val="22"/>
        <w14:textFill>
          <w14:solidFill>
            <w14:schemeClr w14:val="accent6">
              <w14:lumMod w14:val="60000"/>
              <w14:lumOff w14:val="40000"/>
            </w14:schemeClr>
          </w14:solidFill>
        </w14:textFill>
      </w:rPr>
    </w:tblStylePr>
  </w:style>
  <w:style w:type="table" w:customStyle="1" w:styleId="340">
    <w:name w:val="Lined - Accent"/>
    <w:basedOn w:val="12"/>
    <w:qFormat/>
    <w:uiPriority w:val="99"/>
    <w:rPr>
      <w:color w:val="404040"/>
    </w:rPr>
    <w:tblPr>
      <w:tblCellMar>
        <w:top w:w="0" w:type="dxa"/>
        <w:left w:w="108" w:type="dxa"/>
        <w:bottom w:w="0" w:type="dxa"/>
        <w:right w:w="108" w:type="dxa"/>
      </w:tblCellMar>
    </w:tblPr>
    <w:tblStylePr w:type="firstRow">
      <w:rPr>
        <w:color w:val="F2F2F2"/>
        <w:sz w:val="22"/>
      </w:rPr>
      <w:tcPr>
        <w:shd w:val="clear" w:color="7F7F7F" w:fill="7E7E7E" w:themeFill="text1" w:themeFillTint="80"/>
      </w:tcPr>
    </w:tblStylePr>
    <w:tblStylePr w:type="lastRow">
      <w:rPr>
        <w:color w:val="F2F2F2"/>
        <w:sz w:val="22"/>
      </w:rPr>
      <w:tcPr>
        <w:shd w:val="clear" w:color="7F7F7F" w:fill="7E7E7E" w:themeFill="text1" w:themeFillTint="80"/>
      </w:tcPr>
    </w:tblStylePr>
    <w:tblStylePr w:type="firstCol">
      <w:rPr>
        <w:color w:val="F2F2F2"/>
        <w:sz w:val="22"/>
      </w:rPr>
      <w:tcPr>
        <w:shd w:val="clear" w:color="7F7F7F" w:fill="7E7E7E" w:themeFill="text1" w:themeFillTint="80"/>
      </w:tcPr>
    </w:tblStylePr>
    <w:tblStylePr w:type="lastCol">
      <w:rPr>
        <w:color w:val="F2F2F2"/>
        <w:sz w:val="22"/>
      </w:rPr>
      <w:tcPr>
        <w:shd w:val="clear" w:color="7F7F7F" w:fill="7E7E7E" w:themeFill="text1" w:themeFillTint="80"/>
      </w:tcPr>
    </w:tblStylePr>
    <w:tblStylePr w:type="band1Vert">
      <w:rPr>
        <w:color w:val="404040"/>
        <w:sz w:val="22"/>
      </w:rPr>
    </w:tblStylePr>
    <w:tblStylePr w:type="band2Vert">
      <w:rPr>
        <w:color w:val="404040"/>
        <w:sz w:val="22"/>
      </w:rPr>
      <w:tcPr>
        <w:shd w:val="clear" w:color="F2F2F2" w:fill="F1F1F1" w:themeFill="text1" w:themeFillTint="0D"/>
      </w:tcPr>
    </w:tblStylePr>
    <w:tblStylePr w:type="band1Horz">
      <w:rPr>
        <w:color w:val="404040"/>
        <w:sz w:val="22"/>
      </w:rPr>
    </w:tblStylePr>
    <w:tblStylePr w:type="band2Horz">
      <w:rPr>
        <w:color w:val="404040"/>
        <w:sz w:val="22"/>
      </w:rPr>
      <w:tcPr>
        <w:shd w:val="clear" w:color="F2F2F2" w:fill="F1F1F1" w:themeFill="text1" w:themeFillTint="0D"/>
      </w:tcPr>
    </w:tblStylePr>
  </w:style>
  <w:style w:type="table" w:customStyle="1" w:styleId="341">
    <w:name w:val="Lined - Accent 1"/>
    <w:basedOn w:val="12"/>
    <w:qFormat/>
    <w:uiPriority w:val="99"/>
    <w:rPr>
      <w:color w:val="404040"/>
    </w:rPr>
    <w:tblPr>
      <w:tblCellMar>
        <w:top w:w="0" w:type="dxa"/>
        <w:left w:w="108" w:type="dxa"/>
        <w:bottom w:w="0" w:type="dxa"/>
        <w:right w:w="108" w:type="dxa"/>
      </w:tblCellMar>
    </w:tblPr>
    <w:tblStylePr w:type="firstRow">
      <w:rPr>
        <w:color w:val="F2F2F2"/>
        <w:sz w:val="22"/>
      </w:rPr>
      <w:tcPr>
        <w:shd w:val="clear" w:color="5D8AC2" w:fill="5D8BC2" w:themeFill="accent1" w:themeFillTint="EA"/>
      </w:tcPr>
    </w:tblStylePr>
    <w:tblStylePr w:type="lastRow">
      <w:rPr>
        <w:color w:val="F2F2F2"/>
        <w:sz w:val="22"/>
      </w:rPr>
      <w:tcPr>
        <w:shd w:val="clear" w:color="5D8AC2" w:fill="5D8BC2" w:themeFill="accent1" w:themeFillTint="EA"/>
      </w:tcPr>
    </w:tblStylePr>
    <w:tblStylePr w:type="firstCol">
      <w:rPr>
        <w:color w:val="F2F2F2"/>
        <w:sz w:val="22"/>
      </w:rPr>
      <w:tcPr>
        <w:shd w:val="clear" w:color="5D8AC2" w:fill="5D8BC2" w:themeFill="accent1" w:themeFillTint="EA"/>
      </w:tcPr>
    </w:tblStylePr>
    <w:tblStylePr w:type="lastCol">
      <w:rPr>
        <w:color w:val="F2F2F2"/>
        <w:sz w:val="22"/>
      </w:rPr>
      <w:tcPr>
        <w:shd w:val="clear" w:color="5D8AC2" w:fill="5D8BC2" w:themeFill="accent1" w:themeFillTint="EA"/>
      </w:tcPr>
    </w:tblStylePr>
    <w:tblStylePr w:type="band1Vert">
      <w:rPr>
        <w:color w:val="404040"/>
        <w:sz w:val="22"/>
      </w:rPr>
    </w:tblStylePr>
    <w:tblStylePr w:type="band2Vert">
      <w:rPr>
        <w:color w:val="404040"/>
        <w:sz w:val="22"/>
      </w:rPr>
      <w:tcPr>
        <w:shd w:val="clear" w:color="C7D7EA" w:fill="C7D7EA" w:themeFill="accent1" w:themeFillTint="50"/>
      </w:tcPr>
    </w:tblStylePr>
    <w:tblStylePr w:type="band1Horz">
      <w:rPr>
        <w:color w:val="404040"/>
        <w:sz w:val="22"/>
      </w:rPr>
    </w:tblStylePr>
    <w:tblStylePr w:type="band2Horz">
      <w:rPr>
        <w:color w:val="404040"/>
        <w:sz w:val="22"/>
      </w:rPr>
      <w:tcPr>
        <w:shd w:val="clear" w:color="C7D7EA" w:fill="C7D7EA" w:themeFill="accent1" w:themeFillTint="50"/>
      </w:tcPr>
    </w:tblStylePr>
  </w:style>
  <w:style w:type="table" w:customStyle="1" w:styleId="342">
    <w:name w:val="Lined - Accent 2"/>
    <w:basedOn w:val="12"/>
    <w:qFormat/>
    <w:uiPriority w:val="99"/>
    <w:rPr>
      <w:color w:val="404040"/>
    </w:rPr>
    <w:tblPr>
      <w:tblCellMar>
        <w:top w:w="0" w:type="dxa"/>
        <w:left w:w="108" w:type="dxa"/>
        <w:bottom w:w="0" w:type="dxa"/>
        <w:right w:w="108" w:type="dxa"/>
      </w:tblCellMar>
    </w:tblPr>
    <w:tblStylePr w:type="firstRow">
      <w:rPr>
        <w:color w:val="F2F2F2"/>
        <w:sz w:val="22"/>
      </w:rPr>
      <w:tcPr>
        <w:shd w:val="clear" w:color="D99695" w:fill="D99795" w:themeFill="accent2" w:themeFillTint="97"/>
      </w:tcPr>
    </w:tblStylePr>
    <w:tblStylePr w:type="lastRow">
      <w:rPr>
        <w:color w:val="F2F2F2"/>
        <w:sz w:val="22"/>
      </w:rPr>
      <w:tcPr>
        <w:shd w:val="clear" w:color="D99695" w:fill="D99795" w:themeFill="accent2" w:themeFillTint="97"/>
      </w:tcPr>
    </w:tblStylePr>
    <w:tblStylePr w:type="firstCol">
      <w:rPr>
        <w:color w:val="F2F2F2"/>
        <w:sz w:val="22"/>
      </w:rPr>
      <w:tcPr>
        <w:shd w:val="clear" w:color="D99695" w:fill="D99795" w:themeFill="accent2" w:themeFillTint="97"/>
      </w:tcPr>
    </w:tblStylePr>
    <w:tblStylePr w:type="lastCol">
      <w:rPr>
        <w:color w:val="F2F2F2"/>
        <w:sz w:val="22"/>
      </w:rPr>
      <w:tcPr>
        <w:shd w:val="clear" w:color="D99695" w:fill="D99795" w:themeFill="accent2" w:themeFillTint="97"/>
      </w:tcPr>
    </w:tblStylePr>
    <w:tblStylePr w:type="band1Vert">
      <w:rPr>
        <w:color w:val="404040"/>
        <w:sz w:val="22"/>
      </w:rPr>
    </w:tblStylePr>
    <w:tblStylePr w:type="band2Vert">
      <w:rPr>
        <w:color w:val="404040"/>
        <w:sz w:val="22"/>
      </w:rPr>
      <w:tcPr>
        <w:shd w:val="clear" w:color="F2DCDC" w:fill="F2DCDC" w:themeFill="accent2" w:themeFillTint="32"/>
      </w:tcPr>
    </w:tblStylePr>
    <w:tblStylePr w:type="band1Horz">
      <w:rPr>
        <w:color w:val="404040"/>
        <w:sz w:val="22"/>
      </w:rPr>
    </w:tblStylePr>
    <w:tblStylePr w:type="band2Horz">
      <w:rPr>
        <w:color w:val="404040"/>
        <w:sz w:val="22"/>
      </w:rPr>
      <w:tcPr>
        <w:shd w:val="clear" w:color="F2DCDC" w:fill="F2DCDC" w:themeFill="accent2" w:themeFillTint="32"/>
      </w:tcPr>
    </w:tblStylePr>
  </w:style>
  <w:style w:type="table" w:customStyle="1" w:styleId="343">
    <w:name w:val="Lined - Accent 3"/>
    <w:basedOn w:val="12"/>
    <w:qFormat/>
    <w:uiPriority w:val="99"/>
    <w:rPr>
      <w:color w:val="404040"/>
    </w:rPr>
    <w:tblPr>
      <w:tblCellMar>
        <w:top w:w="0" w:type="dxa"/>
        <w:left w:w="108" w:type="dxa"/>
        <w:bottom w:w="0" w:type="dxa"/>
        <w:right w:w="108" w:type="dxa"/>
      </w:tblCellMar>
    </w:tblPr>
    <w:tblStylePr w:type="firstRow">
      <w:rPr>
        <w:color w:val="F2F2F2"/>
        <w:sz w:val="22"/>
      </w:rPr>
      <w:tcPr>
        <w:shd w:val="clear" w:color="9ABB59" w:fill="9BBB59" w:themeFill="accent3" w:themeFillTint="FE"/>
      </w:tcPr>
    </w:tblStylePr>
    <w:tblStylePr w:type="lastRow">
      <w:rPr>
        <w:color w:val="F2F2F2"/>
        <w:sz w:val="22"/>
      </w:rPr>
      <w:tcPr>
        <w:shd w:val="clear" w:color="9ABB59" w:fill="9BBB59" w:themeFill="accent3" w:themeFillTint="FE"/>
      </w:tcPr>
    </w:tblStylePr>
    <w:tblStylePr w:type="firstCol">
      <w:rPr>
        <w:color w:val="F2F2F2"/>
        <w:sz w:val="22"/>
      </w:rPr>
      <w:tcPr>
        <w:shd w:val="clear" w:color="9ABB59" w:fill="9BBB59" w:themeFill="accent3" w:themeFillTint="FE"/>
      </w:tcPr>
    </w:tblStylePr>
    <w:tblStylePr w:type="lastCol">
      <w:rPr>
        <w:color w:val="F2F2F2"/>
        <w:sz w:val="22"/>
      </w:rPr>
      <w:tcPr>
        <w:shd w:val="clear" w:color="9ABB59" w:fill="9BBB59" w:themeFill="accent3" w:themeFillTint="FE"/>
      </w:tcPr>
    </w:tblStylePr>
    <w:tblStylePr w:type="band1Vert">
      <w:rPr>
        <w:color w:val="404040"/>
        <w:sz w:val="22"/>
      </w:rPr>
    </w:tblStylePr>
    <w:tblStylePr w:type="band2Vert">
      <w:rPr>
        <w:color w:val="404040"/>
        <w:sz w:val="22"/>
      </w:rPr>
      <w:tcPr>
        <w:shd w:val="clear" w:color="EAF1DC" w:fill="EAF1DD" w:themeFill="accent3" w:themeFillTint="34"/>
      </w:tcPr>
    </w:tblStylePr>
    <w:tblStylePr w:type="band1Horz">
      <w:rPr>
        <w:color w:val="404040"/>
        <w:sz w:val="22"/>
      </w:rPr>
    </w:tblStylePr>
    <w:tblStylePr w:type="band2Horz">
      <w:rPr>
        <w:color w:val="404040"/>
        <w:sz w:val="22"/>
      </w:rPr>
      <w:tcPr>
        <w:shd w:val="clear" w:color="EAF1DC" w:fill="EAF1DD" w:themeFill="accent3" w:themeFillTint="34"/>
      </w:tcPr>
    </w:tblStylePr>
  </w:style>
  <w:style w:type="table" w:customStyle="1" w:styleId="344">
    <w:name w:val="Lined - Accent 4"/>
    <w:basedOn w:val="12"/>
    <w:qFormat/>
    <w:uiPriority w:val="99"/>
    <w:rPr>
      <w:color w:val="404040"/>
    </w:rPr>
    <w:tblPr>
      <w:tblCellMar>
        <w:top w:w="0" w:type="dxa"/>
        <w:left w:w="108" w:type="dxa"/>
        <w:bottom w:w="0" w:type="dxa"/>
        <w:right w:w="108" w:type="dxa"/>
      </w:tblCellMar>
    </w:tblPr>
    <w:tblStylePr w:type="firstRow">
      <w:rPr>
        <w:color w:val="F2F2F2"/>
        <w:sz w:val="22"/>
      </w:rPr>
      <w:tcPr>
        <w:shd w:val="clear" w:color="B2A1C6" w:fill="B2A1C6" w:themeFill="accent4" w:themeFillTint="9A"/>
      </w:tcPr>
    </w:tblStylePr>
    <w:tblStylePr w:type="lastRow">
      <w:rPr>
        <w:color w:val="F2F2F2"/>
        <w:sz w:val="22"/>
      </w:rPr>
      <w:tcPr>
        <w:shd w:val="clear" w:color="B2A1C6" w:fill="B2A1C6" w:themeFill="accent4" w:themeFillTint="9A"/>
      </w:tcPr>
    </w:tblStylePr>
    <w:tblStylePr w:type="firstCol">
      <w:rPr>
        <w:color w:val="F2F2F2"/>
        <w:sz w:val="22"/>
      </w:rPr>
      <w:tcPr>
        <w:shd w:val="clear" w:color="B2A1C6" w:fill="B2A1C6" w:themeFill="accent4" w:themeFillTint="9A"/>
      </w:tcPr>
    </w:tblStylePr>
    <w:tblStylePr w:type="lastCol">
      <w:rPr>
        <w:color w:val="F2F2F2"/>
        <w:sz w:val="22"/>
      </w:rPr>
      <w:tcPr>
        <w:shd w:val="clear" w:color="B2A1C6" w:fill="B2A1C6" w:themeFill="accent4" w:themeFillTint="9A"/>
      </w:tcPr>
    </w:tblStylePr>
    <w:tblStylePr w:type="band1Vert">
      <w:rPr>
        <w:color w:val="404040"/>
        <w:sz w:val="22"/>
      </w:rPr>
    </w:tblStylePr>
    <w:tblStylePr w:type="band2Vert">
      <w:rPr>
        <w:color w:val="404040"/>
        <w:sz w:val="22"/>
      </w:rPr>
      <w:tcPr>
        <w:shd w:val="clear" w:color="E5DFEC" w:fill="E5DFEC" w:themeFill="accent4" w:themeFillTint="34"/>
      </w:tcPr>
    </w:tblStylePr>
    <w:tblStylePr w:type="band1Horz">
      <w:rPr>
        <w:color w:val="404040"/>
        <w:sz w:val="22"/>
      </w:rPr>
    </w:tblStylePr>
    <w:tblStylePr w:type="band2Horz">
      <w:rPr>
        <w:color w:val="404040"/>
        <w:sz w:val="22"/>
      </w:rPr>
      <w:tcPr>
        <w:shd w:val="clear" w:color="E5DFEC" w:fill="E5DFEC" w:themeFill="accent4" w:themeFillTint="34"/>
      </w:tcPr>
    </w:tblStylePr>
  </w:style>
  <w:style w:type="table" w:customStyle="1" w:styleId="345">
    <w:name w:val="Lined - Accent 5"/>
    <w:basedOn w:val="12"/>
    <w:qFormat/>
    <w:uiPriority w:val="99"/>
    <w:rPr>
      <w:color w:val="404040"/>
    </w:rPr>
    <w:tblPr>
      <w:tblCellMar>
        <w:top w:w="0" w:type="dxa"/>
        <w:left w:w="108" w:type="dxa"/>
        <w:bottom w:w="0" w:type="dxa"/>
        <w:right w:w="108" w:type="dxa"/>
      </w:tblCellMar>
    </w:tblPr>
    <w:tblStylePr w:type="firstRow">
      <w:rPr>
        <w:color w:val="F2F2F2"/>
        <w:sz w:val="22"/>
      </w:rPr>
      <w:tcPr>
        <w:shd w:val="clear" w:color="4BACC6" w:fill="4BACC6" w:themeFill="accent5"/>
      </w:tcPr>
    </w:tblStylePr>
    <w:tblStylePr w:type="lastRow">
      <w:rPr>
        <w:color w:val="F2F2F2"/>
        <w:sz w:val="22"/>
      </w:rPr>
      <w:tcPr>
        <w:shd w:val="clear" w:color="4BACC6" w:fill="4BACC6" w:themeFill="accent5"/>
      </w:tcPr>
    </w:tblStylePr>
    <w:tblStylePr w:type="firstCol">
      <w:rPr>
        <w:color w:val="F2F2F2"/>
        <w:sz w:val="22"/>
      </w:rPr>
      <w:tcPr>
        <w:shd w:val="clear" w:color="4BACC6" w:fill="4BACC6" w:themeFill="accent5"/>
      </w:tcPr>
    </w:tblStylePr>
    <w:tblStylePr w:type="lastCol">
      <w:rPr>
        <w:color w:val="F2F2F2"/>
        <w:sz w:val="22"/>
      </w:rPr>
      <w:tcPr>
        <w:shd w:val="clear" w:color="4BACC6" w:fill="4BACC6" w:themeFill="accent5"/>
      </w:tcPr>
    </w:tblStylePr>
    <w:tblStylePr w:type="band1Vert">
      <w:rPr>
        <w:color w:val="404040"/>
        <w:sz w:val="22"/>
      </w:rPr>
    </w:tblStylePr>
    <w:tblStylePr w:type="band2Vert">
      <w:rPr>
        <w:color w:val="404040"/>
        <w:sz w:val="22"/>
      </w:rPr>
      <w:tcPr>
        <w:shd w:val="clear" w:color="DAEEF3" w:fill="DAEEF3" w:themeFill="accent5" w:themeFillTint="34"/>
      </w:tcPr>
    </w:tblStylePr>
    <w:tblStylePr w:type="band1Horz">
      <w:rPr>
        <w:color w:val="404040"/>
        <w:sz w:val="22"/>
      </w:rPr>
    </w:tblStylePr>
    <w:tblStylePr w:type="band2Horz">
      <w:rPr>
        <w:color w:val="404040"/>
        <w:sz w:val="22"/>
      </w:rPr>
      <w:tcPr>
        <w:shd w:val="clear" w:color="DAEEF3" w:fill="DAEEF3" w:themeFill="accent5" w:themeFillTint="34"/>
      </w:tcPr>
    </w:tblStylePr>
  </w:style>
  <w:style w:type="table" w:customStyle="1" w:styleId="346">
    <w:name w:val="Lined - Accent 6"/>
    <w:basedOn w:val="12"/>
    <w:qFormat/>
    <w:uiPriority w:val="99"/>
    <w:rPr>
      <w:color w:val="404040"/>
    </w:rPr>
    <w:tblPr>
      <w:tblCellMar>
        <w:top w:w="0" w:type="dxa"/>
        <w:left w:w="108" w:type="dxa"/>
        <w:bottom w:w="0" w:type="dxa"/>
        <w:right w:w="108" w:type="dxa"/>
      </w:tblCellMar>
    </w:tblPr>
    <w:tblStylePr w:type="firstRow">
      <w:rPr>
        <w:color w:val="F2F2F2"/>
        <w:sz w:val="22"/>
      </w:rPr>
      <w:tcPr>
        <w:shd w:val="clear" w:color="F79646" w:fill="F79646" w:themeFill="accent6"/>
      </w:tcPr>
    </w:tblStylePr>
    <w:tblStylePr w:type="lastRow">
      <w:rPr>
        <w:color w:val="F2F2F2"/>
        <w:sz w:val="22"/>
      </w:rPr>
      <w:tcPr>
        <w:shd w:val="clear" w:color="F79646" w:fill="F79646" w:themeFill="accent6"/>
      </w:tcPr>
    </w:tblStylePr>
    <w:tblStylePr w:type="firstCol">
      <w:rPr>
        <w:color w:val="F2F2F2"/>
        <w:sz w:val="22"/>
      </w:rPr>
      <w:tcPr>
        <w:shd w:val="clear" w:color="F79646" w:fill="F79646" w:themeFill="accent6"/>
      </w:tcPr>
    </w:tblStylePr>
    <w:tblStylePr w:type="lastCol">
      <w:rPr>
        <w:color w:val="F2F2F2"/>
        <w:sz w:val="22"/>
      </w:rPr>
      <w:tcPr>
        <w:shd w:val="clear" w:color="F79646" w:fill="F79646" w:themeFill="accent6"/>
      </w:tcPr>
    </w:tblStylePr>
    <w:tblStylePr w:type="band1Vert">
      <w:rPr>
        <w:color w:val="404040"/>
        <w:sz w:val="22"/>
      </w:rPr>
    </w:tblStylePr>
    <w:tblStylePr w:type="band2Vert">
      <w:rPr>
        <w:color w:val="404040"/>
        <w:sz w:val="22"/>
      </w:rPr>
      <w:tcPr>
        <w:shd w:val="clear" w:color="FDE9D8" w:fill="FDE9D9" w:themeFill="accent6" w:themeFillTint="34"/>
      </w:tcPr>
    </w:tblStylePr>
    <w:tblStylePr w:type="band1Horz">
      <w:rPr>
        <w:color w:val="404040"/>
        <w:sz w:val="22"/>
      </w:rPr>
    </w:tblStylePr>
    <w:tblStylePr w:type="band2Horz">
      <w:rPr>
        <w:color w:val="404040"/>
        <w:sz w:val="22"/>
      </w:rPr>
      <w:tcPr>
        <w:shd w:val="clear" w:color="FDE9D8" w:fill="FDE9D9" w:themeFill="accent6" w:themeFillTint="34"/>
      </w:tcPr>
    </w:tblStylePr>
  </w:style>
  <w:style w:type="table" w:customStyle="1" w:styleId="347">
    <w:name w:val="Bordered &amp; Lined - Accent"/>
    <w:basedOn w:val="12"/>
    <w:qFormat/>
    <w:uiPriority w:val="99"/>
    <w:rPr>
      <w:color w:val="404040"/>
    </w:rPr>
    <w:tblPr>
      <w:tblBorders>
        <w:top w:val="single" w:color="585858" w:themeColor="text1" w:themeTint="A6" w:sz="4" w:space="0"/>
        <w:left w:val="single" w:color="585858" w:themeColor="text1" w:themeTint="A6" w:sz="4" w:space="0"/>
        <w:bottom w:val="single" w:color="585858" w:themeColor="text1" w:themeTint="A6" w:sz="4" w:space="0"/>
        <w:right w:val="single" w:color="585858" w:themeColor="text1" w:themeTint="A6" w:sz="4" w:space="0"/>
        <w:insideH w:val="single" w:color="585858" w:themeColor="text1" w:themeTint="A6" w:sz="4" w:space="0"/>
        <w:insideV w:val="single" w:color="585858" w:themeColor="text1" w:themeTint="A6" w:sz="4" w:space="0"/>
      </w:tblBorders>
      <w:tblCellMar>
        <w:top w:w="0" w:type="dxa"/>
        <w:left w:w="108" w:type="dxa"/>
        <w:bottom w:w="0" w:type="dxa"/>
        <w:right w:w="108" w:type="dxa"/>
      </w:tblCellMar>
    </w:tblPr>
    <w:tblStylePr w:type="firstRow">
      <w:rPr>
        <w:color w:val="F2F2F2"/>
        <w:sz w:val="22"/>
      </w:rPr>
      <w:tcPr>
        <w:shd w:val="clear" w:color="7F7F7F" w:fill="7E7E7E" w:themeFill="text1" w:themeFillTint="80"/>
      </w:tcPr>
    </w:tblStylePr>
    <w:tblStylePr w:type="lastRow">
      <w:rPr>
        <w:color w:val="F2F2F2"/>
        <w:sz w:val="22"/>
      </w:rPr>
      <w:tcPr>
        <w:shd w:val="clear" w:color="7F7F7F" w:fill="7E7E7E" w:themeFill="text1" w:themeFillTint="80"/>
      </w:tcPr>
    </w:tblStylePr>
    <w:tblStylePr w:type="firstCol">
      <w:rPr>
        <w:color w:val="F2F2F2"/>
        <w:sz w:val="22"/>
      </w:rPr>
      <w:tcPr>
        <w:shd w:val="clear" w:color="7F7F7F" w:fill="7E7E7E" w:themeFill="text1" w:themeFillTint="80"/>
      </w:tcPr>
    </w:tblStylePr>
    <w:tblStylePr w:type="lastCol">
      <w:rPr>
        <w:color w:val="F2F2F2"/>
        <w:sz w:val="22"/>
      </w:rPr>
      <w:tcPr>
        <w:shd w:val="clear" w:color="7F7F7F" w:fill="7E7E7E" w:themeFill="text1" w:themeFillTint="80"/>
      </w:tcPr>
    </w:tblStylePr>
    <w:tblStylePr w:type="band1Vert">
      <w:rPr>
        <w:color w:val="404040"/>
        <w:sz w:val="22"/>
      </w:rPr>
    </w:tblStylePr>
    <w:tblStylePr w:type="band2Vert">
      <w:rPr>
        <w:color w:val="404040"/>
        <w:sz w:val="22"/>
      </w:rPr>
      <w:tcPr>
        <w:shd w:val="clear" w:color="F2F2F2" w:fill="F1F1F1" w:themeFill="text1" w:themeFillTint="0D"/>
      </w:tcPr>
    </w:tblStylePr>
    <w:tblStylePr w:type="band1Horz">
      <w:rPr>
        <w:color w:val="404040"/>
        <w:sz w:val="22"/>
      </w:rPr>
    </w:tblStylePr>
    <w:tblStylePr w:type="band2Horz">
      <w:rPr>
        <w:color w:val="404040"/>
        <w:sz w:val="22"/>
      </w:rPr>
      <w:tcPr>
        <w:shd w:val="clear" w:color="F2F2F2" w:fill="F1F1F1" w:themeFill="text1" w:themeFillTint="0D"/>
      </w:tcPr>
    </w:tblStylePr>
  </w:style>
  <w:style w:type="table" w:customStyle="1" w:styleId="348">
    <w:name w:val="Bordered &amp; Lined - Accent 1"/>
    <w:basedOn w:val="12"/>
    <w:qFormat/>
    <w:uiPriority w:val="99"/>
    <w:rPr>
      <w:color w:val="404040"/>
    </w:rPr>
    <w:tblPr>
      <w:tblBorders>
        <w:top w:val="single" w:color="4F81BD" w:themeColor="accent1" w:sz="4" w:space="0"/>
        <w:left w:val="single" w:color="4F81BD" w:themeColor="accent1" w:sz="4" w:space="0"/>
        <w:bottom w:val="single" w:color="4F81BD" w:themeColor="accent1" w:sz="4" w:space="0"/>
        <w:right w:val="single" w:color="4F81BD" w:themeColor="accent1" w:sz="4" w:space="0"/>
        <w:insideH w:val="single" w:color="4F81BD" w:themeColor="accent1" w:sz="4" w:space="0"/>
        <w:insideV w:val="single" w:color="4F81BD" w:themeColor="accent1" w:sz="4" w:space="0"/>
      </w:tblBorders>
      <w:tblCellMar>
        <w:top w:w="0" w:type="dxa"/>
        <w:left w:w="108" w:type="dxa"/>
        <w:bottom w:w="0" w:type="dxa"/>
        <w:right w:w="108" w:type="dxa"/>
      </w:tblCellMar>
    </w:tblPr>
    <w:tblStylePr w:type="firstRow">
      <w:rPr>
        <w:color w:val="F2F2F2"/>
        <w:sz w:val="22"/>
      </w:rPr>
      <w:tcPr>
        <w:shd w:val="clear" w:color="5D8AC2" w:fill="5D8BC2" w:themeFill="accent1" w:themeFillTint="EA"/>
      </w:tcPr>
    </w:tblStylePr>
    <w:tblStylePr w:type="lastRow">
      <w:rPr>
        <w:color w:val="F2F2F2"/>
        <w:sz w:val="22"/>
      </w:rPr>
      <w:tcPr>
        <w:shd w:val="clear" w:color="5D8AC2" w:fill="5D8BC2" w:themeFill="accent1" w:themeFillTint="EA"/>
      </w:tcPr>
    </w:tblStylePr>
    <w:tblStylePr w:type="firstCol">
      <w:rPr>
        <w:color w:val="F2F2F2"/>
        <w:sz w:val="22"/>
      </w:rPr>
      <w:tcPr>
        <w:shd w:val="clear" w:color="5D8AC2" w:fill="5D8BC2" w:themeFill="accent1" w:themeFillTint="EA"/>
      </w:tcPr>
    </w:tblStylePr>
    <w:tblStylePr w:type="lastCol">
      <w:rPr>
        <w:color w:val="F2F2F2"/>
        <w:sz w:val="22"/>
      </w:rPr>
      <w:tcPr>
        <w:shd w:val="clear" w:color="5D8AC2" w:fill="5D8BC2" w:themeFill="accent1" w:themeFillTint="EA"/>
      </w:tcPr>
    </w:tblStylePr>
    <w:tblStylePr w:type="band1Vert">
      <w:rPr>
        <w:color w:val="404040"/>
        <w:sz w:val="22"/>
      </w:rPr>
    </w:tblStylePr>
    <w:tblStylePr w:type="band2Vert">
      <w:rPr>
        <w:color w:val="404040"/>
        <w:sz w:val="22"/>
      </w:rPr>
      <w:tcPr>
        <w:shd w:val="clear" w:color="C7D7EA" w:fill="C7D7EA" w:themeFill="accent1" w:themeFillTint="50"/>
      </w:tcPr>
    </w:tblStylePr>
    <w:tblStylePr w:type="band1Horz">
      <w:rPr>
        <w:color w:val="404040"/>
        <w:sz w:val="22"/>
      </w:rPr>
    </w:tblStylePr>
    <w:tblStylePr w:type="band2Horz">
      <w:rPr>
        <w:color w:val="404040"/>
        <w:sz w:val="22"/>
      </w:rPr>
      <w:tcPr>
        <w:shd w:val="clear" w:color="C7D7EA" w:fill="C7D7EA" w:themeFill="accent1" w:themeFillTint="50"/>
      </w:tcPr>
    </w:tblStylePr>
  </w:style>
  <w:style w:type="table" w:customStyle="1" w:styleId="349">
    <w:name w:val="Bordered &amp; Lined - Accent 2"/>
    <w:basedOn w:val="12"/>
    <w:qFormat/>
    <w:uiPriority w:val="99"/>
    <w:rPr>
      <w:color w:val="404040"/>
    </w:rPr>
    <w:tblPr>
      <w:tblBorders>
        <w:top w:val="single" w:color="C0504D" w:themeColor="accent2" w:sz="4" w:space="0"/>
        <w:left w:val="single" w:color="C0504D" w:themeColor="accent2" w:sz="4" w:space="0"/>
        <w:bottom w:val="single" w:color="C0504D" w:themeColor="accent2" w:sz="4" w:space="0"/>
        <w:right w:val="single" w:color="C0504D" w:themeColor="accent2" w:sz="4" w:space="0"/>
        <w:insideH w:val="single" w:color="C0504D" w:themeColor="accent2" w:sz="4" w:space="0"/>
        <w:insideV w:val="single" w:color="C0504D" w:themeColor="accent2" w:sz="4" w:space="0"/>
      </w:tblBorders>
      <w:tblCellMar>
        <w:top w:w="0" w:type="dxa"/>
        <w:left w:w="108" w:type="dxa"/>
        <w:bottom w:w="0" w:type="dxa"/>
        <w:right w:w="108" w:type="dxa"/>
      </w:tblCellMar>
    </w:tblPr>
    <w:tblStylePr w:type="firstRow">
      <w:rPr>
        <w:color w:val="F2F2F2"/>
        <w:sz w:val="22"/>
      </w:rPr>
      <w:tcPr>
        <w:shd w:val="clear" w:color="D99695" w:fill="D99795" w:themeFill="accent2" w:themeFillTint="97"/>
      </w:tcPr>
    </w:tblStylePr>
    <w:tblStylePr w:type="lastRow">
      <w:rPr>
        <w:color w:val="F2F2F2"/>
        <w:sz w:val="22"/>
      </w:rPr>
      <w:tcPr>
        <w:shd w:val="clear" w:color="D99695" w:fill="D99795" w:themeFill="accent2" w:themeFillTint="97"/>
      </w:tcPr>
    </w:tblStylePr>
    <w:tblStylePr w:type="firstCol">
      <w:rPr>
        <w:color w:val="F2F2F2"/>
        <w:sz w:val="22"/>
      </w:rPr>
      <w:tcPr>
        <w:shd w:val="clear" w:color="D99695" w:fill="D99795" w:themeFill="accent2" w:themeFillTint="97"/>
      </w:tcPr>
    </w:tblStylePr>
    <w:tblStylePr w:type="lastCol">
      <w:rPr>
        <w:color w:val="F2F2F2"/>
        <w:sz w:val="22"/>
      </w:rPr>
      <w:tcPr>
        <w:shd w:val="clear" w:color="D99695" w:fill="D99795" w:themeFill="accent2" w:themeFillTint="97"/>
      </w:tcPr>
    </w:tblStylePr>
    <w:tblStylePr w:type="band1Vert">
      <w:rPr>
        <w:color w:val="404040"/>
        <w:sz w:val="22"/>
      </w:rPr>
    </w:tblStylePr>
    <w:tblStylePr w:type="band2Vert">
      <w:rPr>
        <w:color w:val="404040"/>
        <w:sz w:val="22"/>
      </w:rPr>
      <w:tcPr>
        <w:shd w:val="clear" w:color="F2DCDC" w:fill="F2DCDC" w:themeFill="accent2" w:themeFillTint="32"/>
      </w:tcPr>
    </w:tblStylePr>
    <w:tblStylePr w:type="band1Horz">
      <w:rPr>
        <w:color w:val="404040"/>
        <w:sz w:val="22"/>
      </w:rPr>
    </w:tblStylePr>
    <w:tblStylePr w:type="band2Horz">
      <w:rPr>
        <w:color w:val="404040"/>
        <w:sz w:val="22"/>
      </w:rPr>
      <w:tcPr>
        <w:shd w:val="clear" w:color="F2DCDC" w:fill="F2DCDC" w:themeFill="accent2" w:themeFillTint="32"/>
      </w:tcPr>
    </w:tblStylePr>
  </w:style>
  <w:style w:type="table" w:customStyle="1" w:styleId="350">
    <w:name w:val="Bordered &amp; Lined - Accent 3"/>
    <w:basedOn w:val="12"/>
    <w:qFormat/>
    <w:uiPriority w:val="99"/>
    <w:rPr>
      <w:color w:val="404040"/>
    </w:rPr>
    <w:tblPr>
      <w:tblBorders>
        <w:top w:val="single" w:color="9BBB59" w:themeColor="accent3" w:sz="4" w:space="0"/>
        <w:left w:val="single" w:color="9BBB59" w:themeColor="accent3" w:sz="4" w:space="0"/>
        <w:bottom w:val="single" w:color="9BBB59" w:themeColor="accent3" w:sz="4" w:space="0"/>
        <w:right w:val="single" w:color="9BBB59" w:themeColor="accent3" w:sz="4" w:space="0"/>
        <w:insideH w:val="single" w:color="9BBB59" w:themeColor="accent3" w:sz="4" w:space="0"/>
        <w:insideV w:val="single" w:color="9BBB59" w:themeColor="accent3" w:sz="4" w:space="0"/>
      </w:tblBorders>
      <w:tblCellMar>
        <w:top w:w="0" w:type="dxa"/>
        <w:left w:w="108" w:type="dxa"/>
        <w:bottom w:w="0" w:type="dxa"/>
        <w:right w:w="108" w:type="dxa"/>
      </w:tblCellMar>
    </w:tblPr>
    <w:tblStylePr w:type="firstRow">
      <w:rPr>
        <w:color w:val="F2F2F2"/>
        <w:sz w:val="22"/>
      </w:rPr>
      <w:tcPr>
        <w:shd w:val="clear" w:color="9ABB59" w:fill="9BBB59" w:themeFill="accent3" w:themeFillTint="FE"/>
      </w:tcPr>
    </w:tblStylePr>
    <w:tblStylePr w:type="lastRow">
      <w:rPr>
        <w:color w:val="F2F2F2"/>
        <w:sz w:val="22"/>
      </w:rPr>
      <w:tcPr>
        <w:shd w:val="clear" w:color="9ABB59" w:fill="9BBB59" w:themeFill="accent3" w:themeFillTint="FE"/>
      </w:tcPr>
    </w:tblStylePr>
    <w:tblStylePr w:type="firstCol">
      <w:rPr>
        <w:color w:val="F2F2F2"/>
        <w:sz w:val="22"/>
      </w:rPr>
      <w:tcPr>
        <w:shd w:val="clear" w:color="9ABB59" w:fill="9BBB59" w:themeFill="accent3" w:themeFillTint="FE"/>
      </w:tcPr>
    </w:tblStylePr>
    <w:tblStylePr w:type="lastCol">
      <w:rPr>
        <w:color w:val="F2F2F2"/>
        <w:sz w:val="22"/>
      </w:rPr>
      <w:tcPr>
        <w:shd w:val="clear" w:color="9ABB59" w:fill="9BBB59" w:themeFill="accent3" w:themeFillTint="FE"/>
      </w:tcPr>
    </w:tblStylePr>
    <w:tblStylePr w:type="band1Vert">
      <w:rPr>
        <w:color w:val="404040"/>
        <w:sz w:val="22"/>
      </w:rPr>
    </w:tblStylePr>
    <w:tblStylePr w:type="band2Vert">
      <w:rPr>
        <w:color w:val="404040"/>
        <w:sz w:val="22"/>
      </w:rPr>
      <w:tcPr>
        <w:shd w:val="clear" w:color="EAF1DC" w:fill="EAF1DD" w:themeFill="accent3" w:themeFillTint="34"/>
      </w:tcPr>
    </w:tblStylePr>
    <w:tblStylePr w:type="band1Horz">
      <w:rPr>
        <w:color w:val="404040"/>
        <w:sz w:val="22"/>
      </w:rPr>
    </w:tblStylePr>
    <w:tblStylePr w:type="band2Horz">
      <w:rPr>
        <w:color w:val="404040"/>
        <w:sz w:val="22"/>
      </w:rPr>
      <w:tcPr>
        <w:shd w:val="clear" w:color="EAF1DC" w:fill="EAF1DD" w:themeFill="accent3" w:themeFillTint="34"/>
      </w:tcPr>
    </w:tblStylePr>
  </w:style>
  <w:style w:type="table" w:customStyle="1" w:styleId="351">
    <w:name w:val="Bordered &amp; Lined - Accent 4"/>
    <w:basedOn w:val="12"/>
    <w:qFormat/>
    <w:uiPriority w:val="99"/>
    <w:rPr>
      <w:color w:val="404040"/>
    </w:rPr>
    <w:tblPr>
      <w:tblBorders>
        <w:top w:val="single" w:color="8064A2" w:themeColor="accent4" w:sz="4" w:space="0"/>
        <w:left w:val="single" w:color="8064A2" w:themeColor="accent4" w:sz="4" w:space="0"/>
        <w:bottom w:val="single" w:color="8064A2" w:themeColor="accent4" w:sz="4" w:space="0"/>
        <w:right w:val="single" w:color="8064A2" w:themeColor="accent4" w:sz="4" w:space="0"/>
        <w:insideH w:val="single" w:color="8064A2" w:themeColor="accent4" w:sz="4" w:space="0"/>
        <w:insideV w:val="single" w:color="8064A2" w:themeColor="accent4" w:sz="4" w:space="0"/>
      </w:tblBorders>
      <w:tblCellMar>
        <w:top w:w="0" w:type="dxa"/>
        <w:left w:w="108" w:type="dxa"/>
        <w:bottom w:w="0" w:type="dxa"/>
        <w:right w:w="108" w:type="dxa"/>
      </w:tblCellMar>
    </w:tblPr>
    <w:tblStylePr w:type="firstRow">
      <w:rPr>
        <w:color w:val="F2F2F2"/>
        <w:sz w:val="22"/>
      </w:rPr>
      <w:tcPr>
        <w:shd w:val="clear" w:color="B2A1C6" w:fill="B2A1C6" w:themeFill="accent4" w:themeFillTint="9A"/>
      </w:tcPr>
    </w:tblStylePr>
    <w:tblStylePr w:type="lastRow">
      <w:rPr>
        <w:color w:val="F2F2F2"/>
        <w:sz w:val="22"/>
      </w:rPr>
      <w:tcPr>
        <w:shd w:val="clear" w:color="B2A1C6" w:fill="B2A1C6" w:themeFill="accent4" w:themeFillTint="9A"/>
      </w:tcPr>
    </w:tblStylePr>
    <w:tblStylePr w:type="firstCol">
      <w:rPr>
        <w:color w:val="F2F2F2"/>
        <w:sz w:val="22"/>
      </w:rPr>
      <w:tcPr>
        <w:shd w:val="clear" w:color="B2A1C6" w:fill="B2A1C6" w:themeFill="accent4" w:themeFillTint="9A"/>
      </w:tcPr>
    </w:tblStylePr>
    <w:tblStylePr w:type="lastCol">
      <w:rPr>
        <w:color w:val="F2F2F2"/>
        <w:sz w:val="22"/>
      </w:rPr>
      <w:tcPr>
        <w:shd w:val="clear" w:color="B2A1C6" w:fill="B2A1C6" w:themeFill="accent4" w:themeFillTint="9A"/>
      </w:tcPr>
    </w:tblStylePr>
    <w:tblStylePr w:type="band1Vert">
      <w:rPr>
        <w:color w:val="404040"/>
        <w:sz w:val="22"/>
      </w:rPr>
    </w:tblStylePr>
    <w:tblStylePr w:type="band2Vert">
      <w:rPr>
        <w:color w:val="404040"/>
        <w:sz w:val="22"/>
      </w:rPr>
      <w:tcPr>
        <w:shd w:val="clear" w:color="E5DFEC" w:fill="E5DFEC" w:themeFill="accent4" w:themeFillTint="34"/>
      </w:tcPr>
    </w:tblStylePr>
    <w:tblStylePr w:type="band1Horz">
      <w:rPr>
        <w:color w:val="404040"/>
        <w:sz w:val="22"/>
      </w:rPr>
    </w:tblStylePr>
    <w:tblStylePr w:type="band2Horz">
      <w:rPr>
        <w:color w:val="404040"/>
        <w:sz w:val="22"/>
      </w:rPr>
      <w:tcPr>
        <w:shd w:val="clear" w:color="E5DFEC" w:fill="E5DFEC" w:themeFill="accent4" w:themeFillTint="34"/>
      </w:tcPr>
    </w:tblStylePr>
  </w:style>
  <w:style w:type="table" w:customStyle="1" w:styleId="352">
    <w:name w:val="Bordered &amp; Lined - Accent 5"/>
    <w:basedOn w:val="12"/>
    <w:qFormat/>
    <w:uiPriority w:val="99"/>
    <w:rPr>
      <w:color w:val="404040"/>
    </w:rPr>
    <w:tblPr>
      <w:tblBorders>
        <w:top w:val="single" w:color="4BACC6" w:themeColor="accent5" w:sz="4" w:space="0"/>
        <w:left w:val="single" w:color="4BACC6" w:themeColor="accent5" w:sz="4" w:space="0"/>
        <w:bottom w:val="single" w:color="4BACC6" w:themeColor="accent5" w:sz="4" w:space="0"/>
        <w:right w:val="single" w:color="4BACC6" w:themeColor="accent5" w:sz="4" w:space="0"/>
        <w:insideH w:val="single" w:color="4BACC6" w:themeColor="accent5" w:sz="4" w:space="0"/>
        <w:insideV w:val="single" w:color="4BACC6" w:themeColor="accent5" w:sz="4" w:space="0"/>
      </w:tblBorders>
      <w:tblCellMar>
        <w:top w:w="0" w:type="dxa"/>
        <w:left w:w="108" w:type="dxa"/>
        <w:bottom w:w="0" w:type="dxa"/>
        <w:right w:w="108" w:type="dxa"/>
      </w:tblCellMar>
    </w:tblPr>
    <w:tblStylePr w:type="firstRow">
      <w:rPr>
        <w:color w:val="F2F2F2"/>
        <w:sz w:val="22"/>
      </w:rPr>
      <w:tcPr>
        <w:shd w:val="clear" w:color="4BACC6" w:fill="4BACC6" w:themeFill="accent5"/>
      </w:tcPr>
    </w:tblStylePr>
    <w:tblStylePr w:type="lastRow">
      <w:rPr>
        <w:color w:val="F2F2F2"/>
        <w:sz w:val="22"/>
      </w:rPr>
      <w:tcPr>
        <w:shd w:val="clear" w:color="4BACC6" w:fill="4BACC6" w:themeFill="accent5"/>
      </w:tcPr>
    </w:tblStylePr>
    <w:tblStylePr w:type="firstCol">
      <w:rPr>
        <w:color w:val="F2F2F2"/>
        <w:sz w:val="22"/>
      </w:rPr>
      <w:tcPr>
        <w:shd w:val="clear" w:color="4BACC6" w:fill="4BACC6" w:themeFill="accent5"/>
      </w:tcPr>
    </w:tblStylePr>
    <w:tblStylePr w:type="lastCol">
      <w:rPr>
        <w:color w:val="F2F2F2"/>
        <w:sz w:val="22"/>
      </w:rPr>
      <w:tcPr>
        <w:shd w:val="clear" w:color="4BACC6" w:fill="4BACC6" w:themeFill="accent5"/>
      </w:tcPr>
    </w:tblStylePr>
    <w:tblStylePr w:type="band1Vert">
      <w:rPr>
        <w:color w:val="404040"/>
        <w:sz w:val="22"/>
      </w:rPr>
    </w:tblStylePr>
    <w:tblStylePr w:type="band2Vert">
      <w:rPr>
        <w:color w:val="404040"/>
        <w:sz w:val="22"/>
      </w:rPr>
      <w:tcPr>
        <w:shd w:val="clear" w:color="DAEEF3" w:fill="DAEEF3" w:themeFill="accent5" w:themeFillTint="34"/>
      </w:tcPr>
    </w:tblStylePr>
    <w:tblStylePr w:type="band1Horz">
      <w:rPr>
        <w:color w:val="404040"/>
        <w:sz w:val="22"/>
      </w:rPr>
    </w:tblStylePr>
    <w:tblStylePr w:type="band2Horz">
      <w:rPr>
        <w:color w:val="404040"/>
        <w:sz w:val="22"/>
      </w:rPr>
      <w:tcPr>
        <w:shd w:val="clear" w:color="DAEEF3" w:fill="DAEEF3" w:themeFill="accent5" w:themeFillTint="34"/>
      </w:tcPr>
    </w:tblStylePr>
  </w:style>
  <w:style w:type="table" w:customStyle="1" w:styleId="353">
    <w:name w:val="Bordered &amp; Lined - Accent 6"/>
    <w:basedOn w:val="12"/>
    <w:qFormat/>
    <w:uiPriority w:val="99"/>
    <w:rPr>
      <w:color w:val="404040"/>
    </w:rPr>
    <w:tblPr>
      <w:tblBorders>
        <w:top w:val="single" w:color="F79646" w:themeColor="accent6" w:sz="4" w:space="0"/>
        <w:left w:val="single" w:color="F79646" w:themeColor="accent6" w:sz="4" w:space="0"/>
        <w:bottom w:val="single" w:color="F79646" w:themeColor="accent6" w:sz="4" w:space="0"/>
        <w:right w:val="single" w:color="F79646" w:themeColor="accent6" w:sz="4" w:space="0"/>
        <w:insideH w:val="single" w:color="F79646" w:themeColor="accent6" w:sz="4" w:space="0"/>
        <w:insideV w:val="single" w:color="F79646" w:themeColor="accent6" w:sz="4" w:space="0"/>
      </w:tblBorders>
      <w:tblCellMar>
        <w:top w:w="0" w:type="dxa"/>
        <w:left w:w="108" w:type="dxa"/>
        <w:bottom w:w="0" w:type="dxa"/>
        <w:right w:w="108" w:type="dxa"/>
      </w:tblCellMar>
    </w:tblPr>
    <w:tblStylePr w:type="firstRow">
      <w:rPr>
        <w:color w:val="F2F2F2"/>
        <w:sz w:val="22"/>
      </w:rPr>
      <w:tcPr>
        <w:shd w:val="clear" w:color="F79646" w:fill="F79646" w:themeFill="accent6"/>
      </w:tcPr>
    </w:tblStylePr>
    <w:tblStylePr w:type="lastRow">
      <w:rPr>
        <w:color w:val="F2F2F2"/>
        <w:sz w:val="22"/>
      </w:rPr>
      <w:tcPr>
        <w:shd w:val="clear" w:color="F79646" w:fill="F79646" w:themeFill="accent6"/>
      </w:tcPr>
    </w:tblStylePr>
    <w:tblStylePr w:type="firstCol">
      <w:rPr>
        <w:color w:val="F2F2F2"/>
        <w:sz w:val="22"/>
      </w:rPr>
      <w:tcPr>
        <w:shd w:val="clear" w:color="F79646" w:fill="F79646" w:themeFill="accent6"/>
      </w:tcPr>
    </w:tblStylePr>
    <w:tblStylePr w:type="lastCol">
      <w:rPr>
        <w:color w:val="F2F2F2"/>
        <w:sz w:val="22"/>
      </w:rPr>
      <w:tcPr>
        <w:shd w:val="clear" w:color="F79646" w:fill="F79646" w:themeFill="accent6"/>
      </w:tcPr>
    </w:tblStylePr>
    <w:tblStylePr w:type="band1Vert">
      <w:rPr>
        <w:color w:val="404040"/>
        <w:sz w:val="22"/>
      </w:rPr>
    </w:tblStylePr>
    <w:tblStylePr w:type="band2Vert">
      <w:rPr>
        <w:color w:val="404040"/>
        <w:sz w:val="22"/>
      </w:rPr>
      <w:tcPr>
        <w:shd w:val="clear" w:color="FDE9D8" w:fill="FDE9D9" w:themeFill="accent6" w:themeFillTint="34"/>
      </w:tcPr>
    </w:tblStylePr>
    <w:tblStylePr w:type="band1Horz">
      <w:rPr>
        <w:color w:val="404040"/>
        <w:sz w:val="22"/>
      </w:rPr>
    </w:tblStylePr>
    <w:tblStylePr w:type="band2Horz">
      <w:rPr>
        <w:color w:val="404040"/>
        <w:sz w:val="22"/>
      </w:rPr>
      <w:tcPr>
        <w:shd w:val="clear" w:color="FDE9D8" w:fill="FDE9D9" w:themeFill="accent6" w:themeFillTint="34"/>
      </w:tcPr>
    </w:tblStylePr>
  </w:style>
  <w:style w:type="table" w:customStyle="1" w:styleId="354">
    <w:name w:val="Bordered"/>
    <w:basedOn w:val="12"/>
    <w:qFormat/>
    <w:uiPriority w:val="99"/>
    <w:tblPr>
      <w:tblBorders>
        <w:top w:val="single" w:color="D8D8D8" w:themeColor="text1" w:themeTint="26" w:sz="4" w:space="0"/>
        <w:left w:val="single" w:color="D8D8D8" w:themeColor="text1" w:themeTint="26" w:sz="4" w:space="0"/>
        <w:bottom w:val="single" w:color="D8D8D8" w:themeColor="text1" w:themeTint="26" w:sz="4" w:space="0"/>
        <w:right w:val="single" w:color="D8D8D8" w:themeColor="text1" w:themeTint="26" w:sz="4" w:space="0"/>
        <w:insideH w:val="single" w:color="D8D8D8" w:themeColor="text1" w:themeTint="26" w:sz="4" w:space="0"/>
        <w:insideV w:val="single" w:color="D8D8D8" w:themeColor="text1" w:themeTint="26" w:sz="4" w:space="0"/>
      </w:tblBorders>
      <w:tblCellMar>
        <w:top w:w="0" w:type="dxa"/>
        <w:left w:w="108" w:type="dxa"/>
        <w:bottom w:w="0" w:type="dxa"/>
        <w:right w:w="108" w:type="dxa"/>
      </w:tblCellMar>
    </w:tblPr>
    <w:tblStylePr w:type="firstRow">
      <w:rPr>
        <w:color w:val="404040"/>
        <w:sz w:val="22"/>
      </w:rPr>
      <w:tcPr>
        <w:tcBorders>
          <w:bottom w:val="single" w:color="000000" w:themeColor="text1" w:sz="12" w:space="0"/>
        </w:tcBorders>
      </w:tcPr>
    </w:tblStylePr>
    <w:tblStylePr w:type="lastRow">
      <w:rPr>
        <w:color w:val="404040"/>
        <w:sz w:val="22"/>
      </w:rPr>
      <w:tcPr>
        <w:tcBorders>
          <w:top w:val="single" w:color="000000" w:themeColor="text1" w:sz="12" w:space="0"/>
        </w:tcBorders>
      </w:tcPr>
    </w:tblStylePr>
    <w:tblStylePr w:type="firstCol">
      <w:rPr>
        <w:color w:val="404040"/>
        <w:sz w:val="22"/>
      </w:rPr>
    </w:tblStylePr>
    <w:tblStylePr w:type="lastCol">
      <w:rPr>
        <w:color w:val="404040"/>
        <w:sz w:val="22"/>
      </w:rPr>
      <w:tcPr>
        <w:tcBorders>
          <w:left w:val="single" w:color="000000" w:themeColor="text1" w:sz="12" w:space="0"/>
        </w:tcBorders>
      </w:tcPr>
    </w:tblStylePr>
    <w:tblStylePr w:type="band1Horz">
      <w:rPr>
        <w:color w:val="404040"/>
        <w:sz w:val="22"/>
      </w:rPr>
      <w:tcPr>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style>
  <w:style w:type="table" w:customStyle="1" w:styleId="355">
    <w:name w:val="Bordered - Accent 1"/>
    <w:basedOn w:val="12"/>
    <w:qFormat/>
    <w:uiPriority w:val="99"/>
    <w:tblPr>
      <w:tblBorders>
        <w:top w:val="single" w:color="B7CCE4" w:themeColor="accent1" w:themeTint="67" w:sz="4" w:space="0"/>
        <w:left w:val="single" w:color="B7CCE4" w:themeColor="accent1" w:themeTint="67" w:sz="4" w:space="0"/>
        <w:bottom w:val="single" w:color="B7CCE4" w:themeColor="accent1" w:themeTint="67" w:sz="4" w:space="0"/>
        <w:right w:val="single" w:color="B7CCE4" w:themeColor="accent1" w:themeTint="67" w:sz="4" w:space="0"/>
        <w:insideH w:val="single" w:color="B7CCE4" w:themeColor="accent1" w:themeTint="67" w:sz="4" w:space="0"/>
        <w:insideV w:val="single" w:color="B7CCE4" w:themeColor="accent1" w:themeTint="67" w:sz="4" w:space="0"/>
      </w:tblBorders>
      <w:tblCellMar>
        <w:top w:w="0" w:type="dxa"/>
        <w:left w:w="108" w:type="dxa"/>
        <w:bottom w:w="0" w:type="dxa"/>
        <w:right w:w="108" w:type="dxa"/>
      </w:tblCellMar>
    </w:tblPr>
    <w:tblStylePr w:type="firstRow">
      <w:rPr>
        <w:color w:val="404040"/>
        <w:sz w:val="22"/>
      </w:rPr>
      <w:tcPr>
        <w:tcBorders>
          <w:bottom w:val="single" w:color="4F81BD" w:themeColor="accent1" w:sz="12" w:space="0"/>
        </w:tcBorders>
      </w:tcPr>
    </w:tblStylePr>
    <w:tblStylePr w:type="lastRow">
      <w:rPr>
        <w:color w:val="404040"/>
        <w:sz w:val="22"/>
      </w:rPr>
      <w:tcPr>
        <w:tcBorders>
          <w:top w:val="single" w:color="4F81BD" w:themeColor="accent1" w:sz="12" w:space="0"/>
        </w:tcBorders>
      </w:tcPr>
    </w:tblStylePr>
    <w:tblStylePr w:type="firstCol">
      <w:rPr>
        <w:color w:val="404040"/>
        <w:sz w:val="22"/>
      </w:rPr>
    </w:tblStylePr>
    <w:tblStylePr w:type="lastCol">
      <w:rPr>
        <w:color w:val="404040"/>
        <w:sz w:val="22"/>
      </w:rPr>
      <w:tcPr>
        <w:tcBorders>
          <w:left w:val="single" w:color="4F81BD" w:themeColor="accent1" w:sz="12" w:space="0"/>
        </w:tcBorders>
      </w:tcPr>
    </w:tblStylePr>
    <w:tblStylePr w:type="band1Horz">
      <w:rPr>
        <w:color w:val="404040"/>
        <w:sz w:val="22"/>
      </w:rPr>
      <w:tcPr>
        <w:tcBorders>
          <w:top w:val="single" w:color="4F81BD" w:themeColor="accent1" w:sz="4" w:space="0"/>
          <w:left w:val="single" w:color="4F81BD" w:themeColor="accent1" w:sz="4" w:space="0"/>
          <w:bottom w:val="single" w:color="4F81BD" w:themeColor="accent1" w:sz="4" w:space="0"/>
          <w:right w:val="single" w:color="4F81BD" w:themeColor="accent1" w:sz="4" w:space="0"/>
        </w:tcBorders>
      </w:tcPr>
    </w:tblStylePr>
  </w:style>
  <w:style w:type="table" w:customStyle="1" w:styleId="356">
    <w:name w:val="Bordered - Accent 2"/>
    <w:basedOn w:val="12"/>
    <w:qFormat/>
    <w:uiPriority w:val="99"/>
    <w:tblPr>
      <w:tblBorders>
        <w:top w:val="single" w:color="E5B8B7" w:themeColor="accent2" w:themeTint="67" w:sz="4" w:space="0"/>
        <w:left w:val="single" w:color="E5B8B7" w:themeColor="accent2" w:themeTint="67" w:sz="4" w:space="0"/>
        <w:bottom w:val="single" w:color="E5B8B7" w:themeColor="accent2" w:themeTint="67" w:sz="4" w:space="0"/>
        <w:right w:val="single" w:color="E5B8B7" w:themeColor="accent2" w:themeTint="67" w:sz="4" w:space="0"/>
        <w:insideH w:val="single" w:color="E5B8B7" w:themeColor="accent2" w:themeTint="67" w:sz="4" w:space="0"/>
        <w:insideV w:val="single" w:color="E5B8B7" w:themeColor="accent2" w:themeTint="67" w:sz="4" w:space="0"/>
      </w:tblBorders>
      <w:tblCellMar>
        <w:top w:w="0" w:type="dxa"/>
        <w:left w:w="108" w:type="dxa"/>
        <w:bottom w:w="0" w:type="dxa"/>
        <w:right w:w="108" w:type="dxa"/>
      </w:tblCellMar>
    </w:tblPr>
    <w:tblStylePr w:type="firstRow">
      <w:rPr>
        <w:color w:val="404040"/>
        <w:sz w:val="22"/>
      </w:rPr>
      <w:tcPr>
        <w:tcBorders>
          <w:bottom w:val="single" w:color="C0504D" w:themeColor="accent2" w:sz="12" w:space="0"/>
        </w:tcBorders>
      </w:tcPr>
    </w:tblStylePr>
    <w:tblStylePr w:type="lastRow">
      <w:rPr>
        <w:color w:val="404040"/>
        <w:sz w:val="22"/>
      </w:rPr>
      <w:tcPr>
        <w:tcBorders>
          <w:top w:val="single" w:color="C0504D" w:themeColor="accent2" w:sz="12" w:space="0"/>
        </w:tcBorders>
      </w:tcPr>
    </w:tblStylePr>
    <w:tblStylePr w:type="firstCol">
      <w:rPr>
        <w:color w:val="404040"/>
        <w:sz w:val="22"/>
      </w:rPr>
    </w:tblStylePr>
    <w:tblStylePr w:type="lastCol">
      <w:rPr>
        <w:color w:val="404040"/>
        <w:sz w:val="22"/>
      </w:rPr>
      <w:tcPr>
        <w:tcBorders>
          <w:left w:val="single" w:color="C0504D" w:themeColor="accent2" w:sz="12" w:space="0"/>
        </w:tcBorders>
      </w:tcPr>
    </w:tblStylePr>
    <w:tblStylePr w:type="band1Horz">
      <w:rPr>
        <w:color w:val="404040"/>
        <w:sz w:val="22"/>
      </w:rPr>
      <w:tcPr>
        <w:tcBorders>
          <w:top w:val="single" w:color="C0504D" w:themeColor="accent2" w:sz="4" w:space="0"/>
          <w:left w:val="single" w:color="C0504D" w:themeColor="accent2" w:sz="4" w:space="0"/>
          <w:bottom w:val="single" w:color="C0504D" w:themeColor="accent2" w:sz="4" w:space="0"/>
          <w:right w:val="single" w:color="C0504D" w:themeColor="accent2" w:sz="4" w:space="0"/>
        </w:tcBorders>
      </w:tcPr>
    </w:tblStylePr>
  </w:style>
  <w:style w:type="table" w:customStyle="1" w:styleId="357">
    <w:name w:val="Bordered - Accent 3"/>
    <w:basedOn w:val="12"/>
    <w:qFormat/>
    <w:uiPriority w:val="99"/>
    <w:tblPr>
      <w:tblBorders>
        <w:top w:val="single" w:color="D6E3BB" w:themeColor="accent3" w:themeTint="67" w:sz="4" w:space="0"/>
        <w:left w:val="single" w:color="D6E3BB" w:themeColor="accent3" w:themeTint="67" w:sz="4" w:space="0"/>
        <w:bottom w:val="single" w:color="D6E3BB" w:themeColor="accent3" w:themeTint="67" w:sz="4" w:space="0"/>
        <w:right w:val="single" w:color="D6E3BB" w:themeColor="accent3" w:themeTint="67" w:sz="4" w:space="0"/>
        <w:insideH w:val="single" w:color="D6E3BB" w:themeColor="accent3" w:themeTint="67" w:sz="4" w:space="0"/>
        <w:insideV w:val="single" w:color="D6E3BB" w:themeColor="accent3" w:themeTint="67" w:sz="4" w:space="0"/>
      </w:tblBorders>
      <w:tblCellMar>
        <w:top w:w="0" w:type="dxa"/>
        <w:left w:w="108" w:type="dxa"/>
        <w:bottom w:w="0" w:type="dxa"/>
        <w:right w:w="108" w:type="dxa"/>
      </w:tblCellMar>
    </w:tblPr>
    <w:tblStylePr w:type="firstRow">
      <w:rPr>
        <w:color w:val="404040"/>
        <w:sz w:val="22"/>
      </w:rPr>
      <w:tcPr>
        <w:tcBorders>
          <w:bottom w:val="single" w:color="9BBB59" w:themeColor="accent3" w:sz="12" w:space="0"/>
        </w:tcBorders>
      </w:tcPr>
    </w:tblStylePr>
    <w:tblStylePr w:type="lastRow">
      <w:rPr>
        <w:color w:val="404040"/>
        <w:sz w:val="22"/>
      </w:rPr>
      <w:tcPr>
        <w:tcBorders>
          <w:top w:val="single" w:color="9BBB59" w:themeColor="accent3" w:sz="12" w:space="0"/>
        </w:tcBorders>
      </w:tcPr>
    </w:tblStylePr>
    <w:tblStylePr w:type="firstCol">
      <w:rPr>
        <w:color w:val="404040"/>
        <w:sz w:val="22"/>
      </w:rPr>
    </w:tblStylePr>
    <w:tblStylePr w:type="lastCol">
      <w:rPr>
        <w:color w:val="404040"/>
        <w:sz w:val="22"/>
      </w:rPr>
      <w:tcPr>
        <w:tcBorders>
          <w:left w:val="single" w:color="9BBB59" w:themeColor="accent3" w:sz="12" w:space="0"/>
        </w:tcBorders>
      </w:tcPr>
    </w:tblStylePr>
    <w:tblStylePr w:type="band1Horz">
      <w:rPr>
        <w:color w:val="404040"/>
        <w:sz w:val="22"/>
      </w:rPr>
      <w:tcPr>
        <w:tcBorders>
          <w:top w:val="single" w:color="9BBB59" w:themeColor="accent3" w:sz="4" w:space="0"/>
          <w:left w:val="single" w:color="9BBB59" w:themeColor="accent3" w:sz="4" w:space="0"/>
          <w:bottom w:val="single" w:color="9BBB59" w:themeColor="accent3" w:sz="4" w:space="0"/>
          <w:right w:val="single" w:color="9BBB59" w:themeColor="accent3" w:sz="4" w:space="0"/>
        </w:tcBorders>
      </w:tcPr>
    </w:tblStylePr>
  </w:style>
  <w:style w:type="table" w:customStyle="1" w:styleId="358">
    <w:name w:val="Bordered - Accent 4"/>
    <w:basedOn w:val="12"/>
    <w:qFormat/>
    <w:uiPriority w:val="99"/>
    <w:tblPr>
      <w:tblBorders>
        <w:top w:val="single" w:color="CBC0D9" w:themeColor="accent4" w:themeTint="67" w:sz="4" w:space="0"/>
        <w:left w:val="single" w:color="CBC0D9" w:themeColor="accent4" w:themeTint="67" w:sz="4" w:space="0"/>
        <w:bottom w:val="single" w:color="CBC0D9" w:themeColor="accent4" w:themeTint="67" w:sz="4" w:space="0"/>
        <w:right w:val="single" w:color="CBC0D9" w:themeColor="accent4" w:themeTint="67" w:sz="4" w:space="0"/>
        <w:insideH w:val="single" w:color="CBC0D9" w:themeColor="accent4" w:themeTint="67" w:sz="4" w:space="0"/>
        <w:insideV w:val="single" w:color="CBC0D9" w:themeColor="accent4" w:themeTint="67" w:sz="4" w:space="0"/>
      </w:tblBorders>
      <w:tblCellMar>
        <w:top w:w="0" w:type="dxa"/>
        <w:left w:w="108" w:type="dxa"/>
        <w:bottom w:w="0" w:type="dxa"/>
        <w:right w:w="108" w:type="dxa"/>
      </w:tblCellMar>
    </w:tblPr>
    <w:tblStylePr w:type="firstRow">
      <w:rPr>
        <w:color w:val="404040"/>
        <w:sz w:val="22"/>
      </w:rPr>
      <w:tcPr>
        <w:tcBorders>
          <w:bottom w:val="single" w:color="8064A2" w:themeColor="accent4" w:sz="12" w:space="0"/>
        </w:tcBorders>
      </w:tcPr>
    </w:tblStylePr>
    <w:tblStylePr w:type="lastRow">
      <w:rPr>
        <w:color w:val="404040"/>
        <w:sz w:val="22"/>
      </w:rPr>
      <w:tcPr>
        <w:tcBorders>
          <w:top w:val="single" w:color="8064A2" w:themeColor="accent4" w:sz="12" w:space="0"/>
        </w:tcBorders>
      </w:tcPr>
    </w:tblStylePr>
    <w:tblStylePr w:type="firstCol">
      <w:rPr>
        <w:color w:val="404040"/>
        <w:sz w:val="22"/>
      </w:rPr>
    </w:tblStylePr>
    <w:tblStylePr w:type="lastCol">
      <w:rPr>
        <w:color w:val="404040"/>
        <w:sz w:val="22"/>
      </w:rPr>
      <w:tcPr>
        <w:tcBorders>
          <w:left w:val="single" w:color="8064A2" w:themeColor="accent4" w:sz="12" w:space="0"/>
        </w:tcBorders>
      </w:tcPr>
    </w:tblStylePr>
    <w:tblStylePr w:type="band1Horz">
      <w:rPr>
        <w:color w:val="404040"/>
        <w:sz w:val="22"/>
      </w:rPr>
      <w:tcPr>
        <w:tcBorders>
          <w:top w:val="single" w:color="8064A2" w:themeColor="accent4" w:sz="4" w:space="0"/>
          <w:left w:val="single" w:color="8064A2" w:themeColor="accent4" w:sz="4" w:space="0"/>
          <w:bottom w:val="single" w:color="8064A2" w:themeColor="accent4" w:sz="4" w:space="0"/>
          <w:right w:val="single" w:color="8064A2" w:themeColor="accent4" w:sz="4" w:space="0"/>
        </w:tcBorders>
      </w:tcPr>
    </w:tblStylePr>
  </w:style>
  <w:style w:type="table" w:customStyle="1" w:styleId="359">
    <w:name w:val="Bordered - Accent 5"/>
    <w:basedOn w:val="12"/>
    <w:qFormat/>
    <w:uiPriority w:val="99"/>
    <w:tblPr>
      <w:tblBorders>
        <w:top w:val="single" w:color="B6DDE7" w:themeColor="accent5" w:themeTint="67" w:sz="4" w:space="0"/>
        <w:left w:val="single" w:color="B6DDE7" w:themeColor="accent5" w:themeTint="67" w:sz="4" w:space="0"/>
        <w:bottom w:val="single" w:color="B6DDE7" w:themeColor="accent5" w:themeTint="67" w:sz="4" w:space="0"/>
        <w:right w:val="single" w:color="B6DDE7" w:themeColor="accent5" w:themeTint="67" w:sz="4" w:space="0"/>
        <w:insideH w:val="single" w:color="B6DDE7" w:themeColor="accent5" w:themeTint="67" w:sz="4" w:space="0"/>
        <w:insideV w:val="single" w:color="B6DDE7" w:themeColor="accent5" w:themeTint="67" w:sz="4" w:space="0"/>
      </w:tblBorders>
      <w:tblCellMar>
        <w:top w:w="0" w:type="dxa"/>
        <w:left w:w="108" w:type="dxa"/>
        <w:bottom w:w="0" w:type="dxa"/>
        <w:right w:w="108" w:type="dxa"/>
      </w:tblCellMar>
    </w:tblPr>
    <w:tblStylePr w:type="firstRow">
      <w:rPr>
        <w:color w:val="404040"/>
        <w:sz w:val="22"/>
      </w:rPr>
      <w:tcPr>
        <w:tcBorders>
          <w:bottom w:val="single" w:color="4BACC6" w:themeColor="accent5" w:sz="12" w:space="0"/>
        </w:tcBorders>
      </w:tcPr>
    </w:tblStylePr>
    <w:tblStylePr w:type="lastRow">
      <w:rPr>
        <w:color w:val="404040"/>
        <w:sz w:val="22"/>
      </w:rPr>
      <w:tcPr>
        <w:tcBorders>
          <w:top w:val="single" w:color="4BACC6" w:themeColor="accent5" w:sz="12" w:space="0"/>
        </w:tcBorders>
      </w:tcPr>
    </w:tblStylePr>
    <w:tblStylePr w:type="firstCol">
      <w:rPr>
        <w:color w:val="404040"/>
        <w:sz w:val="22"/>
      </w:rPr>
    </w:tblStylePr>
    <w:tblStylePr w:type="lastCol">
      <w:rPr>
        <w:color w:val="404040"/>
        <w:sz w:val="22"/>
      </w:rPr>
      <w:tcPr>
        <w:tcBorders>
          <w:left w:val="single" w:color="4BACC6" w:themeColor="accent5" w:sz="12" w:space="0"/>
        </w:tcBorders>
      </w:tcPr>
    </w:tblStylePr>
    <w:tblStylePr w:type="band1Horz">
      <w:rPr>
        <w:color w:val="404040"/>
        <w:sz w:val="22"/>
      </w:rPr>
      <w:tcPr>
        <w:tcBorders>
          <w:top w:val="single" w:color="4BACC6" w:themeColor="accent5" w:sz="4" w:space="0"/>
          <w:left w:val="single" w:color="4BACC6" w:themeColor="accent5" w:sz="4" w:space="0"/>
          <w:bottom w:val="single" w:color="4BACC6" w:themeColor="accent5" w:sz="4" w:space="0"/>
          <w:right w:val="single" w:color="4BACC6" w:themeColor="accent5" w:sz="4" w:space="0"/>
        </w:tcBorders>
      </w:tcPr>
    </w:tblStylePr>
  </w:style>
  <w:style w:type="table" w:customStyle="1" w:styleId="360">
    <w:name w:val="Bordered - Accent 6"/>
    <w:basedOn w:val="12"/>
    <w:qFormat/>
    <w:uiPriority w:val="99"/>
    <w:tblPr>
      <w:tblBorders>
        <w:top w:val="single" w:color="FBD4B4" w:themeColor="accent6" w:themeTint="67" w:sz="4" w:space="0"/>
        <w:left w:val="single" w:color="FBD4B4" w:themeColor="accent6" w:themeTint="67" w:sz="4" w:space="0"/>
        <w:bottom w:val="single" w:color="FBD4B4" w:themeColor="accent6" w:themeTint="67" w:sz="4" w:space="0"/>
        <w:right w:val="single" w:color="FBD4B4" w:themeColor="accent6" w:themeTint="67" w:sz="4" w:space="0"/>
        <w:insideH w:val="single" w:color="FBD4B4" w:themeColor="accent6" w:themeTint="67" w:sz="4" w:space="0"/>
        <w:insideV w:val="single" w:color="FBD4B4" w:themeColor="accent6" w:themeTint="67" w:sz="4" w:space="0"/>
      </w:tblBorders>
      <w:tblCellMar>
        <w:top w:w="0" w:type="dxa"/>
        <w:left w:w="108" w:type="dxa"/>
        <w:bottom w:w="0" w:type="dxa"/>
        <w:right w:w="108" w:type="dxa"/>
      </w:tblCellMar>
    </w:tblPr>
    <w:tblStylePr w:type="firstRow">
      <w:rPr>
        <w:color w:val="404040"/>
        <w:sz w:val="22"/>
      </w:rPr>
      <w:tcPr>
        <w:tcBorders>
          <w:bottom w:val="single" w:color="F79646" w:themeColor="accent6" w:sz="12" w:space="0"/>
        </w:tcBorders>
      </w:tcPr>
    </w:tblStylePr>
    <w:tblStylePr w:type="lastRow">
      <w:rPr>
        <w:color w:val="404040"/>
        <w:sz w:val="22"/>
      </w:rPr>
      <w:tcPr>
        <w:tcBorders>
          <w:top w:val="single" w:color="F79646" w:themeColor="accent6" w:sz="12" w:space="0"/>
        </w:tcBorders>
      </w:tcPr>
    </w:tblStylePr>
    <w:tblStylePr w:type="firstCol">
      <w:rPr>
        <w:color w:val="404040"/>
        <w:sz w:val="22"/>
      </w:rPr>
    </w:tblStylePr>
    <w:tblStylePr w:type="lastCol">
      <w:rPr>
        <w:color w:val="404040"/>
        <w:sz w:val="22"/>
      </w:rPr>
      <w:tcPr>
        <w:tcBorders>
          <w:left w:val="single" w:color="F79646" w:themeColor="accent6" w:sz="12" w:space="0"/>
        </w:tcBorders>
      </w:tcPr>
    </w:tblStylePr>
    <w:tblStylePr w:type="band1Horz">
      <w:rPr>
        <w:color w:val="404040"/>
        <w:sz w:val="22"/>
      </w:rPr>
      <w:tcPr>
        <w:tcBorders>
          <w:top w:val="single" w:color="F79646" w:themeColor="accent6" w:sz="4" w:space="0"/>
          <w:left w:val="single" w:color="F79646" w:themeColor="accent6" w:sz="4" w:space="0"/>
          <w:bottom w:val="single" w:color="F79646" w:themeColor="accent6" w:sz="4" w:space="0"/>
          <w:right w:val="single" w:color="F79646" w:themeColor="accent6" w:sz="4" w:space="0"/>
        </w:tcBorders>
      </w:tcPr>
    </w:tblStyle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2.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go:gDocsCustomXmlDataStorage xmlns:go="http://customooxmlschemas.google.com/" xmlns:r="http://schemas.openxmlformats.org/officeDocument/2006/relationships" uri="GoogleDocsCustomDataVersion2">
  <go:docsCustomData roundtripDataSignature="AMtx7mg9hsHzos7n27iRBPt/qm9rF6HRBw==">CgMxLjAyDmgudnZ3YmE1ZTZza2FkMg5oLnFsb3I1dmh3cDhoNzIOaC5lOXV1OTg4N3dwMnIyDWgubWE4ZDBkOW5wN3gyDmgucGg1NmJxdjFndTkzMg5oLjJucGNjMXpmbDRsbzIOaC5wc2N2YXE3cTJqYzIyDmgueGRyOWk4bzU4OTZpMg5oLm1nZ240ZjdlN2hsMjIOaC55b2lnZWQxdXl0a2gyDmgucHhleXc0ZXJkaGZ3Mg5oLmRtajh6eG5nb2hrdjINaC50OG1qbWVydGh2djIOaC51MTcyeWNmdDJla2cyDmguZ3E0Znd1NTMxazJzMg5oLml2b3Z0YXpnYm05bjIOaC5ycXMzM3FvbDNzZzMyD2lkLm14b3NvaGpoNHltYjIOaC5manM0c2d3cDRid3UyDmguNWg1OWlsOHNjeG9mMg1oLjZ4em45Y2cyajk4Mg5oLjk0NHN6cDI3MG5vOTIOaC5icWh2MmhmNDR2MW8yDWgucnJqYnc3cTNueTMyDmguMTVoa2o3eTlpZG5qMg5oLmNueThkbWV6dm1ibjIOaC5uajM0ZHZkOXYyZTIyDmguNTYyZnBlajRsMGRuMg5oLjNkb3Y5bHFmdHRjczIOaC54enZocXg5aDN3aWUyDmguNDNpcDc4M2szaDZrMg1oLjZ5enM0anFlaDZ1Mg5oLnk5ZG03ZmhkOHBmNjIOaC54dG56MjM0ODA2cWUyDmgudDFhZm81emVucHR3Mg5oLjM0MmZpdzU4cnJ3NjIOaC5yaTB4eGk1aTk2NngyDmguYWk2NnV0eXV2c25tMg5oLnlvZ2RzamEwNzgxdDIOaC55N21icm9zaTF3d3IyDmgudjY5bnh6ZWVxMDFzMg5oLm5zcGU4cnVobjY0bTIOaC5qMzh5dW05c3VzOWwyDmguMnBoMjAzaTF1eDR2Mg5oLjFnNHlnYnhvZ21vbzIOaC5yMGNucmZib2NhdHoyDmguc2F0ZzkyanE3azR2Mg5oLmFsNTNvb2dlcTAxcjIOaC5pZjFkNGVzbTNvbWMyDmgudXZkcGdtMzd2ZWQ3Mg5oLmhuZ3d5eThtNXJyYzIOaC41MnhtenFlOXF1ZGQyDmguOHJuaDMyNzJzZjd1Mg5oLnQydHY4NXVqdGN2YjIOaC52NXBwdzhybGZkemMyDmguY2t2MnQwNGw2YzQ4Mg5oLjluNDlvdHVhbGZmODIOaC43NHYwY3BubWF2eGgyDmguOGNidWNvOXhjY2NnMg5oLjRnMXl4YXZhbzVjaDIOaC5ycjA1cmU2MzVoNGgyDmguN2w2MnQ4bzJmaDZoMg5oLjJhczc5OWxzeWltYTIOaC5xcG9jNzJxMXZuNmgyDmgubmV3bHhjd3J5MzhpMg5oLnQ0ZGxjb3BnMjQwdjIOaC5yZDNtdGd6N3h6azQyDmguNWFkbmN4c3puZnlyOAByITFuQXJJVlo0VjNpYmJtRmJ5VWZOYlZhLW1oNGZUQm1hWg==</go:docsCustomData>
</go:gDocsCustomXmlDataStorag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Template>Normal</Template>
  <Pages>95</Pages>
  <Words>46885</Words>
  <Characters>253180</Characters>
  <Lines>2109</Lines>
  <Paragraphs>598</Paragraphs>
  <TotalTime>3</TotalTime>
  <ScaleCrop>false</ScaleCrop>
  <LinksUpToDate>false</LinksUpToDate>
  <CharactersWithSpaces>299467</CharactersWithSpaces>
  <Application>WPS Office_12.2.0.21931_F1E327BC-269C-435d-A152-05C5408002CA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2025-08-04T18:48:00Z</dcterms:created>
  <dcterms:modified xsi:type="dcterms:W3CDTF">2025-08-07T13:22:31Z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1046-12.2.0.21931</vt:lpwstr>
  </property>
  <property fmtid="{D5CDD505-2E9C-101B-9397-08002B2CF9AE}" pid="3" name="ICV">
    <vt:lpwstr>E2DDB850ECC74C92BD96CB7120B00EFD_12</vt:lpwstr>
  </property>
</Properties>
</file>